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FISCAL ANALYSIS — Military Service Retirement Bridge</w:t>
      </w:r>
    </w:p>
    <w:p>
      <w:pPr>
        <w:pStyle w:val="Heading3"/>
      </w:pPr>
      <w:r>
        <w:rPr>
          <w:b w:val="0"/>
          <w:i w:val="0"/>
          <w:strike w:val="0"/>
        </w:rPr>
        <w:t>Price versus value of accelerated unreduced retirement under draft Va. Code § 51.1-142.4</w:t>
      </w:r>
    </w:p>
    <w:p>
      <w:r>
        <w:rPr>
          <w:b/>
          <w:i w:val="0"/>
          <w:strike w:val="0"/>
        </w:rPr>
        <w:t>Prepared for:</w:t>
      </w:r>
      <w:r>
        <w:rPr>
          <w:b w:val="0"/>
          <w:i w:val="0"/>
          <w:strike w:val="0"/>
        </w:rPr>
        <w:t xml:space="preserve"> Joint Leadership Council of Veterans Service Organizations; prospective patron; VRS and Commonwealth budget reviewers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Issue:</w:t>
      </w:r>
      <w:r>
        <w:rPr>
          <w:b w:val="0"/>
          <w:i w:val="0"/>
          <w:strike w:val="0"/>
        </w:rPr>
        <w:t xml:space="preserve"> MOO-259 (parent: MOO-257) </w:t>
      </w:r>
      <w:r>
        <w:rPr>
          <w:b/>
          <w:i w:val="0"/>
          <w:strike w:val="0"/>
        </w:rPr>
        <w:t>Version:</w:t>
      </w:r>
      <w:r>
        <w:rPr>
          <w:b w:val="0"/>
          <w:i w:val="0"/>
          <w:strike w:val="0"/>
        </w:rPr>
        <w:t xml:space="preserve"> 1.0 | </w:t>
      </w:r>
      <w:r>
        <w:rPr>
          <w:b/>
          <w:i w:val="0"/>
          <w:strike w:val="0"/>
        </w:rPr>
        <w:t>Date:</w:t>
      </w:r>
      <w:r>
        <w:rPr>
          <w:b w:val="0"/>
          <w:i w:val="0"/>
          <w:strike w:val="0"/>
        </w:rPr>
        <w:t xml:space="preserve"> October 19, 2026 </w:t>
      </w:r>
      <w:r>
        <w:rPr>
          <w:b/>
          <w:i w:val="0"/>
          <w:strike w:val="0"/>
        </w:rPr>
        <w:t>Model, tables and reproducible code:</w:t>
      </w:r>
      <w:r>
        <w:rPr>
          <w:b w:val="0"/>
          <w:i w:val="0"/>
          <w:strike w:val="0"/>
        </w:rPr>
        <w:t xml:space="preserve"> </w:t>
      </w:r>
      <w:r>
        <w:rPr>
          <w:rFonts w:ascii="Consolas" w:hAnsi="Consolas"/>
          <w:b w:val="0"/>
          <w:i w:val="0"/>
          <w:strike w:val="0"/>
          <w:color w:val="303030"/>
          <w:sz w:val="19"/>
        </w:rPr>
        <w:t>fiscal-model/</w:t>
      </w:r>
      <w:r>
        <w:rPr>
          <w:b w:val="0"/>
          <w:i w:val="0"/>
          <w:strike w:val="0"/>
        </w:rPr>
        <w:t xml:space="preserve"> (methodology and reconciliation in </w:t>
      </w:r>
      <w:r>
        <w:rPr>
          <w:rFonts w:ascii="Consolas" w:hAnsi="Consolas"/>
          <w:b w:val="0"/>
          <w:i w:val="0"/>
          <w:strike w:val="0"/>
          <w:color w:val="303030"/>
          <w:sz w:val="19"/>
        </w:rPr>
        <w:t>fiscal-model/README.md</w:t>
      </w:r>
      <w:r>
        <w:rPr>
          <w:b w:val="0"/>
          <w:i w:val="0"/>
          <w:strike w:val="0"/>
        </w:rPr>
        <w:t xml:space="preserve">; every table in </w:t>
      </w:r>
      <w:r>
        <w:rPr>
          <w:rFonts w:ascii="Consolas" w:hAnsi="Consolas"/>
          <w:b w:val="0"/>
          <w:i w:val="0"/>
          <w:strike w:val="0"/>
          <w:color w:val="303030"/>
          <w:sz w:val="19"/>
        </w:rPr>
        <w:t>fiscal-model/out/</w:t>
      </w:r>
      <w:r>
        <w:rPr>
          <w:b w:val="0"/>
          <w:i w:val="0"/>
          <w:strike w:val="0"/>
        </w:rPr>
        <w:t>)</w:t>
      </w:r>
    </w:p>
    <w:p>
      <w:pPr>
        <w:spacing w:after="80"/>
        <w:ind w:left="480"/>
      </w:pPr>
      <w:r>
        <w:rPr>
          <w:b/>
          <w:i w:val="0"/>
          <w:strike w:val="0"/>
          <w:sz w:val="20"/>
        </w:rPr>
        <w:t>Status.</w:t>
      </w:r>
      <w:r>
        <w:rPr>
          <w:b w:val="0"/>
          <w:i w:val="0"/>
          <w:strike w:val="0"/>
          <w:sz w:val="20"/>
        </w:rPr>
        <w:t xml:space="preserve"> This is an illustrative public-finance model built entirely from published VRS, Commonwealth and federal documents. </w:t>
      </w:r>
      <w:r>
        <w:rPr>
          <w:b/>
          <w:i w:val="0"/>
          <w:strike w:val="0"/>
          <w:sz w:val="20"/>
        </w:rPr>
        <w:t>It is not an actuarial certification, not the VRS Board impact statement required by Va. Code § 30-19.1:7, and not a General Assembly fiscal impact statement.</w:t>
      </w:r>
      <w:r>
        <w:rPr>
          <w:b w:val="0"/>
          <w:i w:val="0"/>
          <w:strike w:val="0"/>
          <w:sz w:val="20"/>
        </w:rPr>
        <w:t xml:space="preserve"> Every figure is tagged as a published fact (</w:t>
      </w:r>
      <w:r>
        <w:rPr>
          <w:rFonts w:ascii="Consolas" w:hAnsi="Consolas"/>
          <w:b w:val="0"/>
          <w:i w:val="0"/>
          <w:strike w:val="0"/>
          <w:color w:val="303030"/>
          <w:sz w:val="20"/>
        </w:rPr>
        <w:t>SRC-xx</w:t>
      </w:r>
      <w:r>
        <w:rPr>
          <w:b w:val="0"/>
          <w:i w:val="0"/>
          <w:strike w:val="0"/>
          <w:sz w:val="20"/>
        </w:rPr>
        <w:t>), an analytical assumption (</w:t>
      </w:r>
      <w:r>
        <w:rPr>
          <w:rFonts w:ascii="Consolas" w:hAnsi="Consolas"/>
          <w:b w:val="0"/>
          <w:i w:val="0"/>
          <w:strike w:val="0"/>
          <w:color w:val="303030"/>
          <w:sz w:val="20"/>
        </w:rPr>
        <w:t>ASM-xx</w:t>
      </w:r>
      <w:r>
        <w:rPr>
          <w:b w:val="0"/>
          <w:i w:val="0"/>
          <w:strike w:val="0"/>
          <w:sz w:val="20"/>
        </w:rPr>
        <w:t>), or a scenario value. No member-level VRS data was used, because none is public.</w:t>
      </w:r>
    </w:p>
    <w:p>
      <w:pPr>
        <w:spacing w:after="80"/>
        <w:ind w:left="480"/>
      </w:pPr>
      <w:r>
        <w:rPr>
          <w:b/>
          <w:i w:val="0"/>
          <w:strike w:val="0"/>
          <w:sz w:val="20"/>
        </w:rPr>
        <w:t>Scope note added October 20, 2026 — this model prices bill version 1.1, and the bill is now at version 1.2.</w:t>
      </w:r>
      <w:r>
        <w:rPr>
          <w:b w:val="0"/>
          <w:i w:val="0"/>
          <w:strike w:val="0"/>
          <w:sz w:val="20"/>
        </w:rPr>
        <w:t xml:space="preserve"> Two policy decisions taken on October 20 change the population and the strategy set, and </w:t>
      </w:r>
      <w:r>
        <w:rPr>
          <w:b/>
          <w:i w:val="0"/>
          <w:strike w:val="0"/>
          <w:sz w:val="20"/>
        </w:rPr>
        <w:t>both run in the favorable direction</w:t>
      </w:r>
      <w:r>
        <w:rPr>
          <w:b w:val="0"/>
          <w:i w:val="0"/>
          <w:strike w:val="0"/>
          <w:sz w:val="20"/>
        </w:rPr>
        <w:t>, so no figure in this memorandum is an understatement on their account:</w:t>
      </w:r>
    </w:p>
    <w:p>
      <w:pPr>
        <w:spacing w:after="80"/>
        <w:ind w:left="480"/>
      </w:pPr>
      <w:r>
        <w:rPr>
          <w:b w:val="0"/>
          <w:i w:val="0"/>
          <w:strike w:val="0"/>
          <w:sz w:val="20"/>
        </w:rPr>
        <w:t xml:space="preserve">1. </w:t>
      </w:r>
      <w:r>
        <w:rPr>
          <w:b/>
          <w:i w:val="0"/>
          <w:strike w:val="0"/>
          <w:sz w:val="20"/>
        </w:rPr>
        <w:t>DECISION 8 closed the deferred-member path.</w:t>
      </w:r>
      <w:r>
        <w:rPr>
          <w:b w:val="0"/>
          <w:i w:val="0"/>
          <w:strike w:val="0"/>
          <w:sz w:val="20"/>
        </w:rPr>
        <w:t xml:space="preserve"> New § 51.1-142.4 E 3 and the conforming amendment to § 51.1-153 C require member-in-service status at retirement. This model priced </w:t>
      </w:r>
      <w:r>
        <w:rPr>
          <w:b/>
          <w:i w:val="0"/>
          <w:strike w:val="0"/>
          <w:sz w:val="20"/>
        </w:rPr>
        <w:t>four</w:t>
      </w:r>
      <w:r>
        <w:rPr>
          <w:b w:val="0"/>
          <w:i w:val="0"/>
          <w:strike w:val="0"/>
          <w:sz w:val="20"/>
        </w:rPr>
        <w:t xml:space="preserve"> years of acceleration and never priced the fifteen-year deferred case, which was the single largest known gap in it. That gap is now closed in the bill rather than in the model.</w:t>
      </w:r>
    </w:p>
    <w:p>
      <w:pPr>
        <w:spacing w:after="80"/>
        <w:ind w:left="480"/>
      </w:pPr>
      <w:r>
        <w:rPr>
          <w:b w:val="0"/>
          <w:i w:val="0"/>
          <w:strike w:val="0"/>
          <w:sz w:val="20"/>
        </w:rPr>
        <w:t xml:space="preserve">2. </w:t>
      </w:r>
      <w:r>
        <w:rPr>
          <w:b/>
          <w:i w:val="0"/>
          <w:strike w:val="0"/>
          <w:sz w:val="20"/>
        </w:rPr>
        <w:t>Clause B 1(iv) excluded post-2014 § 51.1-153 B 4 public-safety employees.</w:t>
      </w:r>
      <w:r>
        <w:rPr>
          <w:b w:val="0"/>
          <w:i w:val="0"/>
          <w:strike w:val="0"/>
          <w:sz w:val="20"/>
        </w:rPr>
        <w:t xml:space="preserve"> The population counts here include that group, so the modeled population is now </w:t>
      </w:r>
      <w:r>
        <w:rPr>
          <w:b/>
          <w:i w:val="0"/>
          <w:strike w:val="0"/>
          <w:sz w:val="20"/>
        </w:rPr>
        <w:t>too large</w:t>
      </w:r>
      <w:r>
        <w:rPr>
          <w:b w:val="0"/>
          <w:i w:val="0"/>
          <w:strike w:val="0"/>
          <w:sz w:val="20"/>
        </w:rPr>
        <w:t xml:space="preserve"> rather than too small.</w:t>
      </w:r>
    </w:p>
    <w:p>
      <w:pPr>
        <w:spacing w:after="80"/>
        <w:ind w:left="480"/>
      </w:pPr>
      <w:r>
        <w:rPr>
          <w:b/>
          <w:i w:val="0"/>
          <w:strike w:val="0"/>
          <w:sz w:val="20"/>
        </w:rPr>
        <w:t>DECISION 9 accepted the health insurance credit and COLA commencement cost rather than curing it.</w:t>
      </w:r>
      <w:r>
        <w:rPr>
          <w:b w:val="0"/>
          <w:i w:val="0"/>
          <w:strike w:val="0"/>
          <w:sz w:val="20"/>
        </w:rPr>
        <w:t xml:space="preserve"> That exposure remains outside every contribution-rate figure in this memorandum, because both run on separately funded trusts; the per-member health insurance credit order of magnitude (≈ $5,300) is estimated in § 10 and </w:t>
      </w:r>
      <w:r>
        <w:rPr>
          <w:b/>
          <w:i w:val="0"/>
          <w:strike w:val="0"/>
          <w:sz w:val="20"/>
        </w:rPr>
        <w:t>the COLA exposure is not quantified at all.</w:t>
      </w:r>
      <w:r>
        <w:rPr>
          <w:b w:val="0"/>
          <w:i w:val="0"/>
          <w:strike w:val="0"/>
          <w:sz w:val="20"/>
        </w:rPr>
        <w:t xml:space="preserve"> It is the one acknowledged gap in the fiscal case and should be raised before a committee finds it. Enactment clause 3(vi) directs the Board to report both, stated separately by trust.</w:t>
      </w:r>
    </w:p>
    <w:p>
      <w:pPr>
        <w:spacing w:after="80"/>
        <w:ind w:left="480"/>
      </w:pPr>
      <w:r>
        <w:rPr>
          <w:b/>
          <w:i w:val="0"/>
          <w:strike w:val="0"/>
          <w:sz w:val="20"/>
        </w:rPr>
        <w:t>The model should be re-run against version 1.2 before introduction</w:t>
      </w:r>
      <w:r>
        <w:rPr>
          <w:b w:val="0"/>
          <w:i w:val="0"/>
          <w:strike w:val="0"/>
          <w:sz w:val="20"/>
        </w:rPr>
        <w:t>, so that what the money committees see describes the bill actually filed.</w:t>
      </w:r>
    </w:p>
    <w:p>
      <w:pPr>
        <w:jc w:val="center"/>
      </w:pPr>
      <w:r>
        <w:rPr>
          <w:color w:val="909090"/>
          <w:sz w:val="18"/>
        </w:rPr>
        <w:t>* * *</w:t>
      </w:r>
    </w:p>
    <w:p>
      <w:pPr>
        <w:pStyle w:val="Heading2"/>
      </w:pPr>
      <w:r>
        <w:rPr>
          <w:b w:val="0"/>
          <w:i w:val="0"/>
          <w:strike w:val="0"/>
        </w:rPr>
        <w:t>1. Executive summary</w:t>
      </w:r>
    </w:p>
    <w:p>
      <w:r>
        <w:rPr>
          <w:b/>
          <w:i w:val="0"/>
          <w:strike w:val="0"/>
        </w:rPr>
        <w:t>The bill is not cost neutral, and it must not be presented as cost neutral.</w:t>
      </w:r>
      <w:r>
        <w:rPr>
          <w:b w:val="0"/>
          <w:i w:val="0"/>
          <w:strike w:val="0"/>
        </w:rPr>
        <w:t xml:space="preserve"> The approximate normal cost is the price of a year of </w:t>
      </w:r>
      <w:r>
        <w:rPr>
          <w:b w:val="0"/>
          <w:i/>
          <w:strike w:val="0"/>
        </w:rPr>
        <w:t>benefit accrual</w:t>
      </w:r>
      <w:r>
        <w:rPr>
          <w:b w:val="0"/>
          <w:i w:val="0"/>
          <w:strike w:val="0"/>
        </w:rPr>
        <w:t xml:space="preserve">. The bridge sells a different good — removal of the actuarial early-retirement reduction, and in the Plan 2 case the creation of retirement eligibility where current law offers none. On the measure that isolates that good, holding service, average final compensation and retirement date constant, </w:t>
      </w:r>
      <w:r>
        <w:rPr>
          <w:b/>
          <w:i w:val="0"/>
          <w:strike w:val="0"/>
        </w:rPr>
        <w:t>the statutory price recovers between 11% and 78% of the value conferred</w:t>
      </w:r>
      <w:r>
        <w:rPr>
          <w:b w:val="0"/>
          <w:i w:val="0"/>
          <w:strike w:val="0"/>
        </w:rPr>
        <w:t xml:space="preserve">, depending on the member. For the maximum-acceleration Plan 1 profile the member pays </w:t>
      </w:r>
      <w:r>
        <w:rPr>
          <w:b/>
          <w:i w:val="0"/>
          <w:strike w:val="0"/>
        </w:rPr>
        <w:t>$42,500</w:t>
      </w:r>
      <w:r>
        <w:rPr>
          <w:b w:val="0"/>
          <w:i w:val="0"/>
          <w:strike w:val="0"/>
        </w:rPr>
        <w:t xml:space="preserve"> for </w:t>
      </w:r>
      <w:r>
        <w:rPr>
          <w:b/>
          <w:i w:val="0"/>
          <w:strike w:val="0"/>
        </w:rPr>
        <w:t>$383,565</w:t>
      </w:r>
      <w:r>
        <w:rPr>
          <w:b w:val="0"/>
          <w:i w:val="0"/>
          <w:strike w:val="0"/>
        </w:rPr>
        <w:t xml:space="preserve"> of value — a </w:t>
      </w:r>
      <w:r>
        <w:rPr>
          <w:b/>
          <w:i w:val="0"/>
          <w:strike w:val="0"/>
        </w:rPr>
        <w:t>$341,065 per-member subsidy at 11.1% cost recovery</w:t>
      </w:r>
      <w:r>
        <w:rPr>
          <w:b w:val="0"/>
          <w:i w:val="0"/>
          <w:strike w:val="0"/>
        </w:rPr>
        <w:t xml:space="preserve">. Charging an actuarially equivalent price for that acceleration would require roughly </w:t>
      </w:r>
      <w:r>
        <w:rPr>
          <w:b/>
          <w:i w:val="0"/>
          <w:strike w:val="0"/>
        </w:rPr>
        <w:t>112.8% of salary per year purchased</w:t>
      </w:r>
      <w:r>
        <w:rPr>
          <w:b w:val="0"/>
          <w:i w:val="0"/>
          <w:strike w:val="0"/>
        </w:rPr>
        <w:t>, not 12.50%.</w:t>
      </w:r>
    </w:p>
    <w:p>
      <w:r>
        <w:rPr>
          <w:b/>
          <w:i w:val="0"/>
          <w:strike w:val="0"/>
        </w:rPr>
        <w:t>And the aggregate employer contribution rate impact is a fraction of one basis point.</w:t>
      </w:r>
      <w:r>
        <w:rPr>
          <w:b w:val="0"/>
          <w:i w:val="0"/>
          <w:strike w:val="0"/>
        </w:rPr>
        <w:t xml:space="preserve"> Modeled over the FY2029–FY2038 cohort at moderate take-up: </w:t>
      </w:r>
      <w:r>
        <w:rPr>
          <w:b/>
          <w:i w:val="0"/>
          <w:strike w:val="0"/>
        </w:rPr>
        <w:t>0.22 basis points</w:t>
      </w:r>
      <w:r>
        <w:rPr>
          <w:b w:val="0"/>
          <w:i w:val="0"/>
          <w:strike w:val="0"/>
        </w:rPr>
        <w:t xml:space="preserve"> on the state plan, </w:t>
      </w:r>
      <w:r>
        <w:rPr>
          <w:b/>
          <w:i w:val="0"/>
          <w:strike w:val="0"/>
        </w:rPr>
        <w:t>0.20</w:t>
      </w:r>
      <w:r>
        <w:rPr>
          <w:b w:val="0"/>
          <w:i w:val="0"/>
          <w:strike w:val="0"/>
        </w:rPr>
        <w:t xml:space="preserve"> on the teacher plan, </w:t>
      </w:r>
      <w:r>
        <w:rPr>
          <w:b/>
          <w:i w:val="0"/>
          <w:strike w:val="0"/>
        </w:rPr>
        <w:t>0.14</w:t>
      </w:r>
      <w:r>
        <w:rPr>
          <w:b w:val="0"/>
          <w:i w:val="0"/>
          <w:strike w:val="0"/>
        </w:rPr>
        <w:t xml:space="preserve"> on the participating political subdivision plans, </w:t>
      </w:r>
      <w:r>
        <w:rPr>
          <w:b/>
          <w:i w:val="0"/>
          <w:strike w:val="0"/>
        </w:rPr>
        <w:t>0.19</w:t>
      </w:r>
      <w:r>
        <w:rPr>
          <w:b w:val="0"/>
          <w:i w:val="0"/>
          <w:strike w:val="0"/>
        </w:rPr>
        <w:t xml:space="preserve"> combined. Across every sensitivity tested — including the adverse case in which the subsidy measure is applied to every purchaser at high take-up — no plan exceeds </w:t>
      </w:r>
      <w:r>
        <w:rPr>
          <w:b/>
          <w:i w:val="0"/>
          <w:strike w:val="0"/>
        </w:rPr>
        <w:t>0.84 basis points</w:t>
      </w:r>
      <w:r>
        <w:rPr>
          <w:b w:val="0"/>
          <w:i w:val="0"/>
          <w:strike w:val="0"/>
        </w:rPr>
        <w:t xml:space="preserve">. The reason is arithmetic, not optimism: roughly </w:t>
      </w:r>
      <w:r>
        <w:rPr>
          <w:b/>
          <w:i w:val="0"/>
          <w:strike w:val="0"/>
        </w:rPr>
        <w:t>222 members</w:t>
      </w:r>
      <w:r>
        <w:rPr>
          <w:b w:val="0"/>
          <w:i w:val="0"/>
          <w:strike w:val="0"/>
        </w:rPr>
        <w:t xml:space="preserve"> are modeled to purchase over ten years against </w:t>
      </w:r>
      <w:r>
        <w:rPr>
          <w:b/>
          <w:i w:val="0"/>
          <w:strike w:val="0"/>
        </w:rPr>
        <w:t>$26.05 billion</w:t>
      </w:r>
      <w:r>
        <w:rPr>
          <w:b w:val="0"/>
          <w:i w:val="0"/>
          <w:strike w:val="0"/>
        </w:rPr>
        <w:t xml:space="preserve"> of combined covered payroll.</w:t>
      </w:r>
    </w:p>
    <w:p>
      <w:r>
        <w:rPr>
          <w:b w:val="0"/>
          <w:i w:val="0"/>
          <w:strike w:val="0"/>
        </w:rPr>
        <w:t xml:space="preserve">Those two statements are both true, and the brief has to carry both. A committee told "no cost" will be contradicted by the Board's § 30-19.1:7 statement. A committee told "a $341,000 subsidy per veteran" without the denominator will kill the bill. The defensible framing is: </w:t>
      </w:r>
      <w:r>
        <w:rPr>
          <w:b/>
          <w:i w:val="0"/>
          <w:strike w:val="0"/>
        </w:rPr>
        <w:t>a deliberate, quantified subsidy for a small and closing population, costing employers less than one basis point.</w:t>
      </w:r>
    </w:p>
    <w:p>
      <w:r>
        <w:rPr>
          <w:b/>
          <w:i w:val="0"/>
          <w:strike w:val="0"/>
        </w:rPr>
        <w:t>Three findings change how the package should be argued.</w:t>
      </w:r>
    </w:p>
    <w:p>
      <w:pPr>
        <w:pStyle w:val="ListNumber"/>
      </w:pPr>
      <w:r>
        <w:rPr>
          <w:b/>
          <w:i w:val="0"/>
          <w:strike w:val="0"/>
        </w:rPr>
        <w:t>The sign of the per-member result depends on behaviour, not on pricing.</w:t>
      </w:r>
      <w:r>
        <w:rPr>
          <w:b w:val="0"/>
          <w:i w:val="0"/>
          <w:strike w:val="0"/>
        </w:rPr>
        <w:t xml:space="preserve"> A member who would otherwise have worked on to unreduced eligibility and then retired </w:t>
      </w:r>
      <w:r>
        <w:rPr>
          <w:b/>
          <w:i w:val="0"/>
          <w:strike w:val="0"/>
        </w:rPr>
        <w:t>overpays</w:t>
      </w:r>
      <w:r>
        <w:rPr>
          <w:b w:val="0"/>
          <w:i w:val="0"/>
          <w:strike w:val="0"/>
        </w:rPr>
        <w:t xml:space="preserve"> — in every one of the seven profiles modeled. Profile A pays $42,500 to create a </w:t>
      </w:r>
      <w:r>
        <w:rPr>
          <w:b/>
          <w:i w:val="0"/>
          <w:strike w:val="0"/>
        </w:rPr>
        <w:t>$21,000</w:t>
      </w:r>
      <w:r>
        <w:rPr>
          <w:b w:val="0"/>
          <w:i w:val="0"/>
          <w:strike w:val="0"/>
        </w:rPr>
        <w:t xml:space="preserve"> increase in the present value of their own benefit stream, because the bridge requires them to surrender four years of accrual (30 years of creditable service becomes 26) and four years of average-final-compensation growth. The subsidy exists only for members who were going to leave anyway. The fiscal answer therefore turns on an unknowable behavioural mix, and the model reports both ends of it rather than picking one.</w:t>
      </w:r>
    </w:p>
    <w:p>
      <w:pPr>
        <w:pStyle w:val="ListNumber"/>
      </w:pPr>
      <w:r>
        <w:rPr>
          <w:b/>
          <w:i w:val="0"/>
          <w:strike w:val="0"/>
        </w:rPr>
        <w:t>Extending the bridge to hybrid retirement program participants (DECISION 2) costs essentially nothing through FY2038.</w:t>
      </w:r>
      <w:r>
        <w:rPr>
          <w:b w:val="0"/>
          <w:i w:val="0"/>
          <w:strike w:val="0"/>
        </w:rPr>
        <w:t xml:space="preserve"> Not because the hybrid defined benefit is cheap, but because almost no hybrid participant can satisfy § 51.1-142.4 B 5 and C inside the window. Modeled effect of inclusion: </w:t>
      </w:r>
      <w:r>
        <w:rPr>
          <w:b/>
          <w:i w:val="0"/>
          <w:strike w:val="0"/>
        </w:rPr>
        <w:t>+5 purchasers over ten years and −0.00 basis points.</w:t>
      </w:r>
      <w:r>
        <w:rPr>
          <w:b w:val="0"/>
          <w:i w:val="0"/>
          <w:strike w:val="0"/>
        </w:rPr>
        <w:t xml:space="preserve"> The earliest hybrid participant who can qualify at all overpays on both measures. </w:t>
      </w:r>
      <w:r>
        <w:rPr>
          <w:b/>
          <w:i w:val="0"/>
          <w:strike w:val="0"/>
        </w:rPr>
        <w:t>DECISION 2 is an equity and precedent question, not a near-term fiscal one</w:t>
      </w:r>
      <w:r>
        <w:rPr>
          <w:b w:val="0"/>
          <w:i w:val="0"/>
          <w:strike w:val="0"/>
        </w:rPr>
        <w:t xml:space="preserve"> — which removes the strongest objection to resolving it in favour of inclusion.</w:t>
      </w:r>
    </w:p>
    <w:p>
      <w:pPr>
        <w:pStyle w:val="ListNumber"/>
      </w:pPr>
      <w:r>
        <w:rPr>
          <w:b/>
          <w:i w:val="0"/>
          <w:strike w:val="0"/>
        </w:rPr>
        <w:t>Plan 1 and Plan 2 are closed benefit structures, so this is a one-time, exhausting cost, not a permanent liability.</w:t>
      </w:r>
      <w:r>
        <w:rPr>
          <w:b w:val="0"/>
          <w:i w:val="0"/>
          <w:strike w:val="0"/>
        </w:rPr>
        <w:t xml:space="preserve"> The § 51.1-153 B 2 population drains as Plan 1 members pass 30 years of service; the § 51.1-153 B 3 population fills and then drains as Plan 2 members accumulate service. Unless hybrid participants are included, the bridge extinguishes itself.</w:t>
      </w:r>
    </w:p>
    <w:p>
      <w:r>
        <w:rPr>
          <w:b/>
          <w:i w:val="0"/>
          <w:strike w:val="0"/>
        </w:rPr>
        <w:t>Principal uncertainty.</w:t>
      </w:r>
      <w:r>
        <w:rPr>
          <w:b w:val="0"/>
          <w:i w:val="0"/>
          <w:strike w:val="0"/>
        </w:rPr>
        <w:t xml:space="preserve"> The number of active members with verified, unpurchased, non-retired-pay-barred qualifying active duty military service is not published by VRS and is not derivable from any public source. The model builds it from a Virginia Department of Human Resource Management veteran share and four assumed filters (ASM-15 through ASM-18, ASM-25). Across the low and high cases that funnel moves the aggregate from </w:t>
      </w:r>
      <w:r>
        <w:rPr>
          <w:b/>
          <w:i w:val="0"/>
          <w:strike w:val="0"/>
        </w:rPr>
        <w:t>0.07 to 0.44 basis points</w:t>
      </w:r>
      <w:r>
        <w:rPr>
          <w:b w:val="0"/>
          <w:i w:val="0"/>
          <w:strike w:val="0"/>
        </w:rPr>
        <w:t>. Everything else — discount rate, mortality improvement, salary growth, decrements — moves the answer by less than 0.05 basis points.</w:t>
      </w:r>
    </w:p>
    <w:p>
      <w:pPr>
        <w:jc w:val="center"/>
      </w:pPr>
      <w:r>
        <w:rPr>
          <w:color w:val="909090"/>
          <w:sz w:val="18"/>
        </w:rPr>
        <w:t>* * *</w:t>
      </w:r>
    </w:p>
    <w:p>
      <w:pPr>
        <w:pStyle w:val="Heading2"/>
      </w:pPr>
      <w:r>
        <w:rPr>
          <w:b w:val="0"/>
          <w:i w:val="0"/>
          <w:strike w:val="0"/>
        </w:rPr>
        <w:t>2. Why the policy change is being considered</w:t>
      </w:r>
    </w:p>
    <w:p>
      <w:r>
        <w:rPr>
          <w:b/>
          <w:i w:val="0"/>
          <w:strike w:val="0"/>
        </w:rPr>
        <w:t>Current rule.</w:t>
      </w:r>
      <w:r>
        <w:rPr>
          <w:b w:val="0"/>
          <w:i w:val="0"/>
          <w:strike w:val="0"/>
        </w:rPr>
        <w:t xml:space="preserve"> Va. Code § 51.1-142.2 B 2 lets a VRS member purchase up to four years of service credit for prior active duty military service. Subdivision B 3 prices that purchase at the </w:t>
      </w:r>
      <w:r>
        <w:rPr>
          <w:b/>
          <w:i w:val="0"/>
          <w:strike w:val="0"/>
        </w:rPr>
        <w:t>approximate normal cost</w:t>
      </w:r>
      <w:r>
        <w:rPr>
          <w:b w:val="0"/>
          <w:i w:val="0"/>
          <w:strike w:val="0"/>
        </w:rPr>
        <w:t xml:space="preserve"> only if the member purchases, or contracts to purchase, within the first 24 months of active service following first hire. After the window closes the price becomes the </w:t>
      </w:r>
      <w:r>
        <w:rPr>
          <w:b/>
          <w:i w:val="0"/>
          <w:strike w:val="0"/>
        </w:rPr>
        <w:t>actuarial equivalent cost</w:t>
      </w:r>
      <w:r>
        <w:rPr>
          <w:b w:val="0"/>
          <w:i w:val="0"/>
          <w:strike w:val="0"/>
        </w:rPr>
        <w:t>.</w:t>
      </w:r>
    </w:p>
    <w:p>
      <w:r>
        <w:rPr>
          <w:b/>
          <w:i w:val="0"/>
          <w:strike w:val="0"/>
        </w:rPr>
        <w:t>Problem the rule creates.</w:t>
      </w:r>
      <w:r>
        <w:rPr>
          <w:b w:val="0"/>
          <w:i w:val="0"/>
          <w:strike w:val="0"/>
        </w:rPr>
        <w:t xml:space="preserve"> A veteran who does not purchase in the first 24 months — typically because, at the start of a public-service career, the lump sum is unaffordable — permanently loses access to the affordable price. The actuarial equivalent cost later in a career, measured against a higher salary and a nearer retirement date, is a multiple of the approximate normal cost. The practical effect is that the benefit is available only to veterans who could afford it when they were most junior.</w:t>
      </w:r>
    </w:p>
    <w:p>
      <w:r>
        <w:rPr>
          <w:b/>
          <w:i w:val="0"/>
          <w:strike w:val="0"/>
        </w:rPr>
        <w:t>What the bill does differently.</w:t>
      </w:r>
      <w:r>
        <w:rPr>
          <w:b w:val="0"/>
          <w:i w:val="0"/>
          <w:strike w:val="0"/>
        </w:rPr>
        <w:t xml:space="preserve"> New § 51.1-142.4 creates a distinct </w:t>
      </w:r>
      <w:r>
        <w:rPr>
          <w:b/>
          <w:i w:val="0"/>
          <w:strike w:val="0"/>
        </w:rPr>
        <w:t>military retirement eligibility credit</w:t>
      </w:r>
      <w:r>
        <w:rPr>
          <w:b w:val="0"/>
          <w:i w:val="0"/>
          <w:strike w:val="0"/>
        </w:rPr>
        <w:t xml:space="preserve"> at approximate normal cost, available after the 24-month window has closed, which counts </w:t>
      </w:r>
      <w:r>
        <w:rPr>
          <w:b/>
          <w:i w:val="0"/>
          <w:strike w:val="0"/>
        </w:rPr>
        <w:t>only</w:t>
      </w:r>
      <w:r>
        <w:rPr>
          <w:b w:val="0"/>
          <w:i w:val="0"/>
          <w:strike w:val="0"/>
        </w:rPr>
        <w:t xml:space="preserve"> toward the creditable-service component of the two unreduced-retirement tests in § 51.1-153 B 2 and B 3, and is expressly excluded from "creditable service" by the § 51.1-124.3 amendment. It buys a date, not a dollar.</w:t>
      </w:r>
    </w:p>
    <w:p>
      <w:r>
        <w:rPr>
          <w:b/>
          <w:i w:val="0"/>
          <w:strike w:val="0"/>
        </w:rPr>
        <w:t>Affected population.</w:t>
      </w:r>
      <w:r>
        <w:rPr>
          <w:b w:val="0"/>
          <w:i w:val="0"/>
          <w:strike w:val="0"/>
        </w:rPr>
        <w:t xml:space="preserve"> Non-hybrid VRS Plan 1 and Plan 2 members in non-hazardous state, teacher and political subdivision positions, who are vested, who are not already eligible for an unreduced allowance, who are within four years or points of a threshold, and who hold qualifying active duty service that is not already counted in military retired pay. Modeled at </w:t>
      </w:r>
      <w:r>
        <w:rPr>
          <w:b/>
          <w:i w:val="0"/>
          <w:strike w:val="0"/>
        </w:rPr>
        <w:t>roughly 14,000 to 17,000</w:t>
      </w:r>
      <w:r>
        <w:rPr>
          <w:b w:val="0"/>
          <w:i w:val="0"/>
          <w:strike w:val="0"/>
        </w:rPr>
        <w:t xml:space="preserve"> members in the four-point band in any year, of whom </w:t>
      </w:r>
      <w:r>
        <w:rPr>
          <w:b/>
          <w:i w:val="0"/>
          <w:strike w:val="0"/>
        </w:rPr>
        <w:t>246 to 347</w:t>
      </w:r>
      <w:r>
        <w:rPr>
          <w:b w:val="0"/>
          <w:i w:val="0"/>
          <w:strike w:val="0"/>
        </w:rPr>
        <w:t xml:space="preserve"> are estimated to hold purchasable qualifying service (central case).</w:t>
      </w:r>
    </w:p>
    <w:p>
      <w:pPr>
        <w:jc w:val="center"/>
      </w:pPr>
      <w:r>
        <w:rPr>
          <w:color w:val="909090"/>
          <w:sz w:val="18"/>
        </w:rPr>
        <w:t>* * *</w:t>
      </w:r>
    </w:p>
    <w:p>
      <w:pPr>
        <w:pStyle w:val="Heading2"/>
      </w:pPr>
      <w:r>
        <w:rPr>
          <w:b w:val="0"/>
          <w:i w:val="0"/>
          <w:strike w:val="0"/>
        </w:rPr>
        <w:t>3. Current law versus the proposal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Dimension</w:t>
            </w:r>
          </w:p>
        </w:tc>
        <w:tc>
          <w:tcPr>
            <w:tcW w:type="dxa" w:w="2880"/>
          </w:tcPr>
          <w:p>
            <w:r>
              <w:rPr>
                <w:b/>
                <w:i w:val="0"/>
                <w:strike w:val="0"/>
              </w:rPr>
              <w:t>Current law</w:t>
            </w:r>
          </w:p>
        </w:tc>
        <w:tc>
          <w:tcPr>
            <w:tcW w:type="dxa" w:w="2880"/>
          </w:tcPr>
          <w:p>
            <w:r>
              <w:rPr>
                <w:b/>
                <w:i w:val="0"/>
                <w:strike w:val="0"/>
              </w:rPr>
              <w:t>Draft § 51.1-142.4</w:t>
            </w:r>
          </w:p>
        </w:tc>
      </w:tr>
      <w:tr>
        <w:tc>
          <w:tcPr>
            <w:tcW w:type="dxa" w:w="2880"/>
          </w:tcPr>
          <w:p>
            <w:r>
              <w:rPr>
                <w:b w:val="0"/>
                <w:i w:val="0"/>
                <w:strike w:val="0"/>
              </w:rPr>
              <w:t>Price of military service after the 24-month window</w:t>
            </w:r>
          </w:p>
        </w:tc>
        <w:tc>
          <w:tcPr>
            <w:tcW w:type="dxa" w:w="2880"/>
          </w:tcPr>
          <w:p>
            <w:r>
              <w:rPr>
                <w:b w:val="0"/>
                <w:i w:val="0"/>
                <w:strike w:val="0"/>
              </w:rPr>
              <w:t>Actuarial equivalent cost (§ 51.1-142.2 B 3)</w:t>
            </w:r>
          </w:p>
        </w:tc>
        <w:tc>
          <w:tcPr>
            <w:tcW w:type="dxa" w:w="2880"/>
          </w:tcPr>
          <w:p>
            <w:r>
              <w:rPr>
                <w:b w:val="0"/>
                <w:i w:val="0"/>
                <w:strike w:val="0"/>
              </w:rPr>
              <w:t>Approximate normal cost (§ 51.1-142.4 D): 12.50% Plan 1, 10.74% Plan 2, 6.68% hybrid, per year, on the higher of creditable compensation and AFC (SRC-08)</w:t>
            </w:r>
          </w:p>
        </w:tc>
      </w:tr>
      <w:tr>
        <w:tc>
          <w:tcPr>
            <w:tcW w:type="dxa" w:w="2880"/>
          </w:tcPr>
          <w:p>
            <w:r>
              <w:rPr>
                <w:b w:val="0"/>
                <w:i w:val="0"/>
                <w:strike w:val="0"/>
              </w:rPr>
              <w:t>What the purchase buys</w:t>
            </w:r>
          </w:p>
        </w:tc>
        <w:tc>
          <w:tcPr>
            <w:tcW w:type="dxa" w:w="2880"/>
          </w:tcPr>
          <w:p>
            <w:r>
              <w:rPr>
                <w:b w:val="0"/>
                <w:i w:val="0"/>
                <w:strike w:val="0"/>
              </w:rPr>
              <w:t xml:space="preserve">Creditable service: eligibility </w:t>
            </w:r>
            <w:r>
              <w:rPr>
                <w:b/>
                <w:i w:val="0"/>
                <w:strike w:val="0"/>
              </w:rPr>
              <w:t>and</w:t>
            </w:r>
            <w:r>
              <w:rPr>
                <w:b w:val="0"/>
                <w:i w:val="0"/>
                <w:strike w:val="0"/>
              </w:rPr>
              <w:t xml:space="preserve"> benefit amount </w:t>
            </w:r>
            <w:r>
              <w:rPr>
                <w:b/>
                <w:i w:val="0"/>
                <w:strike w:val="0"/>
              </w:rPr>
              <w:t>and</w:t>
            </w:r>
            <w:r>
              <w:rPr>
                <w:b w:val="0"/>
                <w:i w:val="0"/>
                <w:strike w:val="0"/>
              </w:rPr>
              <w:t xml:space="preserve"> AFC period </w:t>
            </w:r>
            <w:r>
              <w:rPr>
                <w:b/>
                <w:i w:val="0"/>
                <w:strike w:val="0"/>
              </w:rPr>
              <w:t>and</w:t>
            </w:r>
            <w:r>
              <w:rPr>
                <w:b w:val="0"/>
                <w:i w:val="0"/>
                <w:strike w:val="0"/>
              </w:rPr>
              <w:t xml:space="preserve"> every service-based ancillary benefit</w:t>
            </w:r>
          </w:p>
        </w:tc>
        <w:tc>
          <w:tcPr>
            <w:tcW w:type="dxa" w:w="2880"/>
          </w:tcPr>
          <w:p>
            <w:r>
              <w:rPr>
                <w:b w:val="0"/>
                <w:i w:val="0"/>
                <w:strike w:val="0"/>
              </w:rPr>
              <w:t xml:space="preserve">Eligibility </w:t>
            </w:r>
            <w:r>
              <w:rPr>
                <w:b/>
                <w:i w:val="0"/>
                <w:strike w:val="0"/>
              </w:rPr>
              <w:t>only</w:t>
            </w:r>
            <w:r>
              <w:rPr>
                <w:b w:val="0"/>
                <w:i w:val="0"/>
                <w:strike w:val="0"/>
              </w:rPr>
              <w:t>, and only for § 51.1-153 B 2 and B 3 (§ 51.1-142.4 E)</w:t>
            </w:r>
          </w:p>
        </w:tc>
      </w:tr>
      <w:tr>
        <w:tc>
          <w:tcPr>
            <w:tcW w:type="dxa" w:w="2880"/>
          </w:tcPr>
          <w:p>
            <w:r>
              <w:rPr>
                <w:b w:val="0"/>
                <w:i w:val="0"/>
                <w:strike w:val="0"/>
              </w:rPr>
              <w:t>Benefit formula</w:t>
            </w:r>
          </w:p>
        </w:tc>
        <w:tc>
          <w:tcPr>
            <w:tcW w:type="dxa" w:w="2880"/>
          </w:tcPr>
          <w:p>
            <w:r>
              <w:rPr>
                <w:b w:val="0"/>
                <w:i w:val="0"/>
                <w:strike w:val="0"/>
              </w:rPr>
              <w:t>1.70% / 1.65% × AFC × creditable service, including purchased service</w:t>
            </w:r>
          </w:p>
        </w:tc>
        <w:tc>
          <w:tcPr>
            <w:tcW w:type="dxa" w:w="2880"/>
          </w:tcPr>
          <w:p>
            <w:r>
              <w:rPr>
                <w:b w:val="0"/>
                <w:i w:val="0"/>
                <w:strike w:val="0"/>
              </w:rPr>
              <w:t>Unchanged. Credit excluded by § 51.1-124.3 as amended and § 51.1-142.4 F 3</w:t>
            </w:r>
          </w:p>
        </w:tc>
      </w:tr>
      <w:tr>
        <w:tc>
          <w:tcPr>
            <w:tcW w:type="dxa" w:w="2880"/>
          </w:tcPr>
          <w:p>
            <w:r>
              <w:rPr>
                <w:b w:val="0"/>
                <w:i w:val="0"/>
                <w:strike w:val="0"/>
              </w:rPr>
              <w:t>Four-year military cap</w:t>
            </w:r>
          </w:p>
        </w:tc>
        <w:tc>
          <w:tcPr>
            <w:tcW w:type="dxa" w:w="2880"/>
          </w:tcPr>
          <w:p>
            <w:r>
              <w:rPr>
                <w:b w:val="0"/>
                <w:i w:val="0"/>
                <w:strike w:val="0"/>
              </w:rPr>
              <w:t>Four years under § 51.1-142.2 B 2</w:t>
            </w:r>
          </w:p>
        </w:tc>
        <w:tc>
          <w:tcPr>
            <w:tcW w:type="dxa" w:w="2880"/>
          </w:tcPr>
          <w:p>
            <w:r>
              <w:rPr>
                <w:b w:val="0"/>
                <w:i w:val="0"/>
                <w:strike w:val="0"/>
              </w:rPr>
              <w:t>Combined four-year cap (§ 51.1-142.4 H 2); no period purchased twice (H 3)</w:t>
            </w:r>
          </w:p>
        </w:tc>
      </w:tr>
      <w:tr>
        <w:tc>
          <w:tcPr>
            <w:tcW w:type="dxa" w:w="2880"/>
          </w:tcPr>
          <w:p>
            <w:r>
              <w:rPr>
                <w:b w:val="0"/>
                <w:i w:val="0"/>
                <w:strike w:val="0"/>
              </w:rPr>
              <w:t>Attained age</w:t>
            </w:r>
          </w:p>
        </w:tc>
        <w:tc>
          <w:tcPr>
            <w:tcW w:type="dxa" w:w="2880"/>
          </w:tcPr>
          <w:p>
            <w:r>
              <w:rPr>
                <w:b w:val="0"/>
                <w:i w:val="0"/>
                <w:strike w:val="0"/>
              </w:rPr>
              <w:t>—</w:t>
            </w:r>
          </w:p>
        </w:tc>
        <w:tc>
          <w:tcPr>
            <w:tcW w:type="dxa" w:w="2880"/>
          </w:tcPr>
          <w:p>
            <w:r>
              <w:rPr>
                <w:b w:val="0"/>
                <w:i w:val="0"/>
                <w:strike w:val="0"/>
              </w:rPr>
              <w:t>Credit never increases attained age (§ 51.1-142.4 C 4), so the age-50 condition in B 2 still has to be met by waiting</w:t>
            </w:r>
          </w:p>
        </w:tc>
      </w:tr>
      <w:tr>
        <w:tc>
          <w:tcPr>
            <w:tcW w:type="dxa" w:w="2880"/>
          </w:tcPr>
          <w:p>
            <w:r>
              <w:rPr>
                <w:b w:val="0"/>
                <w:i w:val="0"/>
                <w:strike w:val="0"/>
              </w:rPr>
              <w:t>PLOP, group life, disability, death-in-service, Workforce Transition Act severance conversion</w:t>
            </w:r>
          </w:p>
        </w:tc>
        <w:tc>
          <w:tcPr>
            <w:tcW w:type="dxa" w:w="2880"/>
          </w:tcPr>
          <w:p>
            <w:r>
              <w:rPr>
                <w:b w:val="0"/>
                <w:i w:val="0"/>
                <w:strike w:val="0"/>
              </w:rPr>
              <w:t>Keyed to creditable service or to the unreduced-eligibility date</w:t>
            </w:r>
          </w:p>
        </w:tc>
        <w:tc>
          <w:tcPr>
            <w:tcW w:type="dxa" w:w="2880"/>
          </w:tcPr>
          <w:p>
            <w:r>
              <w:rPr>
                <w:b w:val="0"/>
                <w:i w:val="0"/>
                <w:strike w:val="0"/>
              </w:rPr>
              <w:t>Expressly excluded or frozen (§ 51.1-142.4 F; conforming amendments to §§ 51.1-162, 51.1-165.01, 51.1-166 and § 2.2-3204 A, C)</w:t>
            </w:r>
          </w:p>
        </w:tc>
      </w:tr>
      <w:tr>
        <w:tc>
          <w:tcPr>
            <w:tcW w:type="dxa" w:w="2880"/>
          </w:tcPr>
          <w:p>
            <w:r>
              <w:rPr>
                <w:b w:val="0"/>
                <w:i w:val="0"/>
                <w:strike w:val="0"/>
              </w:rPr>
              <w:t xml:space="preserve">Health insurance credit and post-retirement supplement </w:t>
            </w:r>
            <w:r>
              <w:rPr>
                <w:b/>
                <w:i w:val="0"/>
                <w:strike w:val="0"/>
              </w:rPr>
              <w:t>commencement</w:t>
            </w:r>
          </w:p>
        </w:tc>
        <w:tc>
          <w:tcPr>
            <w:tcW w:type="dxa" w:w="2880"/>
          </w:tcPr>
          <w:p>
            <w:r>
              <w:rPr>
                <w:b w:val="0"/>
                <w:i w:val="0"/>
                <w:strike w:val="0"/>
              </w:rPr>
              <w:t xml:space="preserve">Keyed to the </w:t>
            </w:r>
            <w:r>
              <w:rPr>
                <w:b/>
                <w:i w:val="0"/>
                <w:strike w:val="0"/>
              </w:rPr>
              <w:t>date of retirement</w:t>
            </w:r>
          </w:p>
        </w:tc>
        <w:tc>
          <w:tcPr>
            <w:tcW w:type="dxa" w:w="2880"/>
          </w:tcPr>
          <w:p>
            <w:r>
              <w:rPr>
                <w:b/>
                <w:i w:val="0"/>
                <w:strike w:val="0"/>
              </w:rPr>
              <w:t>Not reached by the bill.</w:t>
            </w:r>
            <w:r>
              <w:rPr>
                <w:b w:val="0"/>
                <w:i w:val="0"/>
                <w:strike w:val="0"/>
              </w:rPr>
              <w:t xml:space="preserve"> Both begin up to four years earlier. The § 51.1-166 D 4 amendment does not cure it (see § 10 below), and the § 51.1-142.4 F 8 bar reaches eligibility and amount but not duration. Costs sit on separately funded trusts and are </w:t>
            </w:r>
            <w:r>
              <w:rPr>
                <w:b/>
                <w:i w:val="0"/>
                <w:strike w:val="0"/>
              </w:rPr>
              <w:t>outside</w:t>
            </w:r>
            <w:r>
              <w:rPr>
                <w:b w:val="0"/>
                <w:i w:val="0"/>
                <w:strike w:val="0"/>
              </w:rPr>
              <w:t xml:space="preserve"> the 0.19 bp figure. </w:t>
            </w:r>
            <w:r>
              <w:rPr>
                <w:b/>
                <w:i w:val="0"/>
                <w:strike w:val="0"/>
              </w:rPr>
              <w:t>Resolved by DECISION 9 (October 20, 2026): accepted, priced and disclosed rather than cured</w:t>
            </w:r>
            <w:r>
              <w:rPr>
                <w:b w:val="0"/>
                <w:i w:val="0"/>
                <w:strike w:val="0"/>
              </w:rPr>
              <w:t>, with enactment clause 3(vi) requiring the Board to report both by trust</w:t>
            </w:r>
          </w:p>
        </w:tc>
      </w:tr>
      <w:tr>
        <w:tc>
          <w:tcPr>
            <w:tcW w:type="dxa" w:w="2880"/>
          </w:tcPr>
          <w:p>
            <w:r>
              <w:rPr>
                <w:b w:val="0"/>
                <w:i w:val="0"/>
                <w:strike w:val="0"/>
              </w:rPr>
              <w:t>Hybrid, SPORS, VaLORS, JRS, § 51.1-138</w:t>
            </w:r>
          </w:p>
        </w:tc>
        <w:tc>
          <w:tcPr>
            <w:tcW w:type="dxa" w:w="2880"/>
          </w:tcPr>
          <w:p>
            <w:r>
              <w:rPr>
                <w:b w:val="0"/>
                <w:i w:val="0"/>
                <w:strike w:val="0"/>
              </w:rPr>
              <w:t>n/a</w:t>
            </w:r>
          </w:p>
        </w:tc>
        <w:tc>
          <w:tcPr>
            <w:tcW w:type="dxa" w:w="2880"/>
          </w:tcPr>
          <w:p>
            <w:r>
              <w:rPr>
                <w:b w:val="0"/>
                <w:i w:val="0"/>
                <w:strike w:val="0"/>
              </w:rPr>
              <w:t xml:space="preserve">Excluded (§ 51.1-142.4 B 1, J) — </w:t>
            </w:r>
            <w:r>
              <w:rPr>
                <w:b/>
                <w:i w:val="0"/>
                <w:strike w:val="0"/>
              </w:rPr>
              <w:t>DECISION 2</w:t>
            </w:r>
          </w:p>
        </w:tc>
      </w:tr>
    </w:tbl>
    <w:p/>
    <w:p>
      <w:pPr>
        <w:jc w:val="center"/>
      </w:pPr>
      <w:r>
        <w:rPr>
          <w:color w:val="909090"/>
          <w:sz w:val="18"/>
        </w:rPr>
        <w:t>* * *</w:t>
      </w:r>
    </w:p>
    <w:p>
      <w:pPr>
        <w:pStyle w:val="Heading2"/>
      </w:pPr>
      <w:r>
        <w:rPr>
          <w:b w:val="0"/>
          <w:i w:val="0"/>
          <w:strike w:val="0"/>
        </w:rPr>
        <w:t>4. The measurement problem, and the two baselines</w:t>
      </w:r>
    </w:p>
    <w:p>
      <w:r>
        <w:rPr>
          <w:b w:val="0"/>
          <w:i w:val="0"/>
          <w:strike w:val="0"/>
        </w:rPr>
        <w:t xml:space="preserve">Approximate normal cost prices a year of accrual. The bridge sells removal of a reduction. There is no reason for the one to cover the other — but </w:t>
      </w:r>
      <w:r>
        <w:rPr>
          <w:b/>
          <w:i w:val="0"/>
          <w:strike w:val="0"/>
        </w:rPr>
        <w:t>what the acceleration is worth depends entirely on what the member would otherwise have done</w:t>
      </w:r>
      <w:r>
        <w:rPr>
          <w:b w:val="0"/>
          <w:i w:val="0"/>
          <w:strike w:val="0"/>
        </w:rPr>
        <w:t>, and that changes the sign of the answer, not merely its size. The model therefore computes every case on two baselines and reports both. Neither is "the" answer.</w:t>
      </w:r>
    </w:p>
    <w:p>
      <w:r>
        <w:rPr>
          <w:b/>
          <w:i w:val="0"/>
          <w:strike w:val="0"/>
        </w:rPr>
        <w:t>Baseline `SUB` — frozen service.</w:t>
      </w:r>
      <w:r>
        <w:rPr>
          <w:b w:val="0"/>
          <w:i w:val="0"/>
          <w:strike w:val="0"/>
        </w:rPr>
        <w:t xml:space="preserve"> Retirement date, creditable service and AFC held constant; the only change is reduced versus unreduced. This isolates the value of the good the bridge sells and is the right measure for a member leaving public employment anyway. For a Plan 1 member the comparator is the § 51.1-153 subsection D 50/10 or B 1 55/5 reduced allowance at the same date, using the published reduction construction (SRC-12: 0.5% per month for the first 60 months to unreduced eligibility, 0.4% per month thereafter, plus 0.6% per month under age 55 on the 50/10 route). For a Plan 2 member below age 60 there is </w:t>
      </w:r>
      <w:r>
        <w:rPr>
          <w:b/>
          <w:i w:val="0"/>
          <w:strike w:val="0"/>
        </w:rPr>
        <w:t>no</w:t>
      </w:r>
      <w:r>
        <w:rPr>
          <w:b w:val="0"/>
          <w:i w:val="0"/>
          <w:strike w:val="0"/>
        </w:rPr>
        <w:t xml:space="preserve"> current-law allowance at that date, so the comparator is a deferred unreduced allowance commencing at normal retirement, per VRS's own published deferred-commencement assumption (SRC-07).</w:t>
      </w:r>
    </w:p>
    <w:p>
      <w:r>
        <w:rPr>
          <w:b/>
          <w:i w:val="0"/>
          <w:strike w:val="0"/>
        </w:rPr>
        <w:t>Baseline `WTE` — work to eligibility.</w:t>
      </w:r>
      <w:r>
        <w:rPr>
          <w:b w:val="0"/>
          <w:i w:val="0"/>
          <w:strike w:val="0"/>
        </w:rPr>
        <w:t xml:space="preserve"> The member works under current law to first unreduced eligibility and then retires. This nets off forgone accrual, forgone AFC growth and forgone contributions. It is the measure closest to a valuation liability change and therefore the measure most likely to resemble the Board's § 30-19.1:7 figure.</w:t>
      </w:r>
    </w:p>
    <w:p>
      <w:r>
        <w:rPr>
          <w:b w:val="0"/>
          <w:i w:val="0"/>
          <w:strike w:val="0"/>
        </w:rPr>
        <w:t xml:space="preserve">Aggregates blend the two at </w:t>
      </w:r>
      <w:r>
        <w:rPr>
          <w:b/>
          <w:i w:val="0"/>
          <w:strike w:val="0"/>
        </w:rPr>
        <w:t>φ (ASM-22)</w:t>
      </w:r>
      <w:r>
        <w:rPr>
          <w:b w:val="0"/>
          <w:i w:val="0"/>
          <w:strike w:val="0"/>
        </w:rPr>
        <w:t xml:space="preserve">, the assumed share of purchasers who would have worked on. </w:t>
      </w:r>
      <w:r>
        <w:rPr>
          <w:b/>
          <w:i w:val="0"/>
          <w:strike w:val="0"/>
        </w:rPr>
        <w:t>No published data bears on φ.</w:t>
      </w:r>
      <w:r>
        <w:rPr>
          <w:b w:val="0"/>
          <w:i w:val="0"/>
          <w:strike w:val="0"/>
        </w:rPr>
        <w:t xml:space="preserve"> Central 0.50; low 0.25; high 0.75. VRS's own published retirement rates (SRC-23) show that only 12.5% of male and 7.5% of female Plan 1 state employees are assumed to retire at age 50 once they hold 30 years, and 11.5% of Plan 2 members in the year age plus service reaches 90 — which says most members work on, but says nothing about members who have just paid several months of salary for the option to leave.</w:t>
      </w:r>
    </w:p>
    <w:p>
      <w:pPr>
        <w:jc w:val="center"/>
      </w:pPr>
      <w:r>
        <w:rPr>
          <w:color w:val="909090"/>
          <w:sz w:val="18"/>
        </w:rPr>
        <w:t>* * *</w:t>
      </w:r>
    </w:p>
    <w:p>
      <w:pPr>
        <w:pStyle w:val="Heading2"/>
      </w:pPr>
      <w:r>
        <w:rPr>
          <w:b w:val="0"/>
          <w:i w:val="0"/>
          <w:strike w:val="0"/>
        </w:rPr>
        <w:t>5. Deliverable 1 — per-member price versus value</w:t>
      </w:r>
    </w:p>
    <w:p>
      <w:r>
        <w:rPr>
          <w:b w:val="0"/>
          <w:i w:val="0"/>
          <w:strike w:val="0"/>
        </w:rPr>
        <w:t xml:space="preserve">Full detail: </w:t>
      </w:r>
      <w:r>
        <w:rPr>
          <w:rFonts w:ascii="Consolas" w:hAnsi="Consolas"/>
          <w:b w:val="0"/>
          <w:i w:val="0"/>
          <w:strike w:val="0"/>
          <w:color w:val="303030"/>
          <w:sz w:val="19"/>
        </w:rPr>
        <w:t>fiscal-model/out/T1-price-vs-value.csv</w:t>
      </w:r>
      <w:r>
        <w:rPr>
          <w:b w:val="0"/>
          <w:i w:val="0"/>
          <w:strike w:val="0"/>
        </w:rPr>
        <w:t xml:space="preserve">. Profiles are defined in </w:t>
      </w:r>
      <w:r>
        <w:rPr>
          <w:rFonts w:ascii="Consolas" w:hAnsi="Consolas"/>
          <w:b w:val="0"/>
          <w:i w:val="0"/>
          <w:strike w:val="0"/>
          <w:color w:val="303030"/>
          <w:sz w:val="19"/>
        </w:rPr>
        <w:t>fiscal-model/README.md</w:t>
      </w:r>
      <w:r>
        <w:rPr>
          <w:b w:val="0"/>
          <w:i w:val="0"/>
          <w:strike w:val="0"/>
        </w:rPr>
        <w:t>. Discount rate 6.75%, COLA 2.50% Plan 1 / 2.25% Plan 2 and hybrid, Pub-2010 amount-weighted mortality with the published per-plan adjustments, all per SRC-01 and SRC-05 and SRC-20.</w:t>
      </w:r>
    </w:p>
    <w:p>
      <w:pPr>
        <w:pStyle w:val="Heading3"/>
      </w:pPr>
      <w:r>
        <w:rPr>
          <w:b w:val="0"/>
          <w:i w:val="0"/>
          <w:strike w:val="0"/>
        </w:rPr>
        <w:t>5.1 Plan 1 — § 51.1-153 B 2 pathway (age 50 and 30 years of creditable service)</w:t>
      </w:r>
    </w:p>
    <w:p>
      <w:r>
        <w:rPr>
          <w:b w:val="0"/>
          <w:i w:val="0"/>
          <w:strike w:val="0"/>
        </w:rPr>
        <w:t xml:space="preserve">Service accrues one year per year, so </w:t>
      </w:r>
      <w:r>
        <w:rPr>
          <w:b/>
          <w:i w:val="0"/>
          <w:strike w:val="0"/>
        </w:rPr>
        <w:t>four bridge years accelerate eligibility by up to four years.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strike w:val="0"/>
              </w:rPr>
              <w:t>Scenario</w:t>
            </w:r>
          </w:p>
        </w:tc>
        <w:tc>
          <w:tcPr>
            <w:tcW w:type="dxa" w:w="864"/>
          </w:tcPr>
          <w:p>
            <w:r>
              <w:rPr>
                <w:b/>
                <w:i w:val="0"/>
                <w:strike w:val="0"/>
              </w:rPr>
              <w:t>Age / service</w:t>
            </w:r>
          </w:p>
        </w:tc>
        <w:tc>
          <w:tcPr>
            <w:tcW w:type="dxa" w:w="864"/>
          </w:tcPr>
          <w:p>
            <w:r>
              <w:rPr>
                <w:b/>
                <w:i w:val="0"/>
                <w:strike w:val="0"/>
              </w:rPr>
              <w:t>Salary</w:t>
            </w:r>
          </w:p>
        </w:tc>
        <w:tc>
          <w:tcPr>
            <w:tcW w:type="dxa" w:w="864"/>
          </w:tcPr>
          <w:p>
            <w:r>
              <w:rPr>
                <w:b/>
                <w:i w:val="0"/>
                <w:strike w:val="0"/>
              </w:rPr>
              <w:t>Years bought</w:t>
            </w:r>
          </w:p>
        </w:tc>
        <w:tc>
          <w:tcPr>
            <w:tcW w:type="dxa" w:w="864"/>
          </w:tcPr>
          <w:p>
            <w:r>
              <w:rPr>
                <w:b/>
                <w:i w:val="0"/>
                <w:strike w:val="0"/>
              </w:rPr>
              <w:t>Price paid</w:t>
            </w:r>
          </w:p>
        </w:tc>
        <w:tc>
          <w:tcPr>
            <w:tcW w:type="dxa" w:w="864"/>
          </w:tcPr>
          <w:p>
            <w:r>
              <w:rPr>
                <w:b/>
                <w:i w:val="0"/>
                <w:strike w:val="0"/>
              </w:rPr>
              <w:t>Acceleration</w:t>
            </w:r>
          </w:p>
        </w:tc>
        <w:tc>
          <w:tcPr>
            <w:tcW w:type="dxa" w:w="864"/>
          </w:tcPr>
          <w:p>
            <w:r>
              <w:rPr>
                <w:b/>
                <w:i w:val="0"/>
                <w:strike w:val="0"/>
              </w:rPr>
              <w:t>Value of acceleration</w:t>
            </w:r>
          </w:p>
        </w:tc>
        <w:tc>
          <w:tcPr>
            <w:tcW w:type="dxa" w:w="864"/>
          </w:tcPr>
          <w:p>
            <w:r>
              <w:rPr>
                <w:b/>
                <w:i w:val="0"/>
                <w:strike w:val="0"/>
              </w:rPr>
              <w:t>Net per-member subsidy</w:t>
            </w:r>
          </w:p>
        </w:tc>
        <w:tc>
          <w:tcPr>
            <w:tcW w:type="dxa" w:w="864"/>
          </w:tcPr>
          <w:p>
            <w:r>
              <w:rPr>
                <w:b/>
                <w:i w:val="0"/>
                <w:strike w:val="0"/>
              </w:rPr>
              <w:t>Price recovers</w:t>
            </w:r>
          </w:p>
        </w:tc>
        <w:tc>
          <w:tcPr>
            <w:tcW w:type="dxa" w:w="864"/>
          </w:tcPr>
          <w:p>
            <w:r>
              <w:rPr>
                <w:b/>
                <w:i w:val="0"/>
                <w:strike w:val="0"/>
              </w:rPr>
              <w:t>Actuarially equivalent rate</w:t>
            </w:r>
          </w:p>
        </w:tc>
      </w:tr>
      <w:tr>
        <w:tc>
          <w:tcPr>
            <w:tcW w:type="dxa" w:w="864"/>
          </w:tcPr>
          <w:p>
            <w:r>
              <w:rPr>
                <w:rFonts w:ascii="Consolas" w:hAnsi="Consolas"/>
                <w:b w:val="0"/>
                <w:i w:val="0"/>
                <w:strike w:val="0"/>
                <w:color w:val="303030"/>
                <w:sz w:val="19"/>
              </w:rPr>
              <w:t>P1-B2-A-ST-SUB</w:t>
            </w:r>
          </w:p>
        </w:tc>
        <w:tc>
          <w:tcPr>
            <w:tcW w:type="dxa" w:w="864"/>
          </w:tcPr>
          <w:p>
            <w:r>
              <w:rPr>
                <w:b w:val="0"/>
                <w:i w:val="0"/>
                <w:strike w:val="0"/>
              </w:rPr>
              <w:t>50 / 26.0</w:t>
            </w:r>
          </w:p>
        </w:tc>
        <w:tc>
          <w:tcPr>
            <w:tcW w:type="dxa" w:w="864"/>
          </w:tcPr>
          <w:p>
            <w:r>
              <w:rPr>
                <w:b w:val="0"/>
                <w:i w:val="0"/>
                <w:strike w:val="0"/>
              </w:rPr>
              <w:t>$85,000</w:t>
            </w:r>
          </w:p>
        </w:tc>
        <w:tc>
          <w:tcPr>
            <w:tcW w:type="dxa" w:w="864"/>
          </w:tcPr>
          <w:p>
            <w:r>
              <w:rPr>
                <w:b w:val="0"/>
                <w:i w:val="0"/>
                <w:strike w:val="0"/>
              </w:rPr>
              <w:t>4.00</w:t>
            </w:r>
          </w:p>
        </w:tc>
        <w:tc>
          <w:tcPr>
            <w:tcW w:type="dxa" w:w="864"/>
          </w:tcPr>
          <w:p>
            <w:r>
              <w:rPr>
                <w:b/>
                <w:i w:val="0"/>
                <w:strike w:val="0"/>
              </w:rPr>
              <w:t>$42,500</w:t>
            </w:r>
          </w:p>
        </w:tc>
        <w:tc>
          <w:tcPr>
            <w:tcW w:type="dxa" w:w="864"/>
          </w:tcPr>
          <w:p>
            <w:r>
              <w:rPr>
                <w:b w:val="0"/>
                <w:i w:val="0"/>
                <w:strike w:val="0"/>
              </w:rPr>
              <w:t>4.00 yrs</w:t>
            </w:r>
          </w:p>
        </w:tc>
        <w:tc>
          <w:tcPr>
            <w:tcW w:type="dxa" w:w="864"/>
          </w:tcPr>
          <w:p>
            <w:r>
              <w:rPr>
                <w:b/>
                <w:i w:val="0"/>
                <w:strike w:val="0"/>
              </w:rPr>
              <w:t>$383,565</w:t>
            </w:r>
          </w:p>
        </w:tc>
        <w:tc>
          <w:tcPr>
            <w:tcW w:type="dxa" w:w="864"/>
          </w:tcPr>
          <w:p>
            <w:r>
              <w:rPr>
                <w:b/>
                <w:i w:val="0"/>
                <w:strike w:val="0"/>
              </w:rPr>
              <w:t>+$341,065</w:t>
            </w:r>
          </w:p>
        </w:tc>
        <w:tc>
          <w:tcPr>
            <w:tcW w:type="dxa" w:w="864"/>
          </w:tcPr>
          <w:p>
            <w:r>
              <w:rPr>
                <w:b/>
                <w:i w:val="0"/>
                <w:strike w:val="0"/>
              </w:rPr>
              <w:t>11.1%</w:t>
            </w:r>
          </w:p>
        </w:tc>
        <w:tc>
          <w:tcPr>
            <w:tcW w:type="dxa" w:w="864"/>
          </w:tcPr>
          <w:p>
            <w:r>
              <w:rPr>
                <w:b/>
                <w:i w:val="0"/>
                <w:strike w:val="0"/>
              </w:rPr>
              <w:t>112.8%</w:t>
            </w:r>
            <w:r>
              <w:rPr>
                <w:b w:val="0"/>
                <w:i w:val="0"/>
                <w:strike w:val="0"/>
              </w:rPr>
              <w:t xml:space="preserve"> of salary/yr</w:t>
            </w:r>
          </w:p>
        </w:tc>
      </w:tr>
      <w:tr>
        <w:tc>
          <w:tcPr>
            <w:tcW w:type="dxa" w:w="864"/>
          </w:tcPr>
          <w:p>
            <w:r>
              <w:rPr>
                <w:rFonts w:ascii="Consolas" w:hAnsi="Consolas"/>
                <w:b w:val="0"/>
                <w:i w:val="0"/>
                <w:strike w:val="0"/>
                <w:color w:val="303030"/>
                <w:sz w:val="19"/>
              </w:rPr>
              <w:t>P1-B2-A-ST-WTE</w:t>
            </w:r>
          </w:p>
        </w:tc>
        <w:tc>
          <w:tcPr>
            <w:tcW w:type="dxa" w:w="864"/>
          </w:tcPr>
          <w:p>
            <w:r>
              <w:rPr>
                <w:b w:val="0"/>
                <w:i w:val="0"/>
                <w:strike w:val="0"/>
              </w:rPr>
              <w:t>50 / 26.0</w:t>
            </w:r>
          </w:p>
        </w:tc>
        <w:tc>
          <w:tcPr>
            <w:tcW w:type="dxa" w:w="864"/>
          </w:tcPr>
          <w:p>
            <w:r>
              <w:rPr>
                <w:b w:val="0"/>
                <w:i w:val="0"/>
                <w:strike w:val="0"/>
              </w:rPr>
              <w:t>$85,000</w:t>
            </w:r>
          </w:p>
        </w:tc>
        <w:tc>
          <w:tcPr>
            <w:tcW w:type="dxa" w:w="864"/>
          </w:tcPr>
          <w:p>
            <w:r>
              <w:rPr>
                <w:b w:val="0"/>
                <w:i w:val="0"/>
                <w:strike w:val="0"/>
              </w:rPr>
              <w:t>4.00</w:t>
            </w:r>
          </w:p>
        </w:tc>
        <w:tc>
          <w:tcPr>
            <w:tcW w:type="dxa" w:w="864"/>
          </w:tcPr>
          <w:p>
            <w:r>
              <w:rPr>
                <w:b w:val="0"/>
                <w:i w:val="0"/>
                <w:strike w:val="0"/>
              </w:rPr>
              <w:t>$42,500</w:t>
            </w:r>
          </w:p>
        </w:tc>
        <w:tc>
          <w:tcPr>
            <w:tcW w:type="dxa" w:w="864"/>
          </w:tcPr>
          <w:p>
            <w:r>
              <w:rPr>
                <w:b w:val="0"/>
                <w:i w:val="0"/>
                <w:strike w:val="0"/>
              </w:rPr>
              <w:t>4.00 yrs</w:t>
            </w:r>
          </w:p>
        </w:tc>
        <w:tc>
          <w:tcPr>
            <w:tcW w:type="dxa" w:w="864"/>
          </w:tcPr>
          <w:p>
            <w:r>
              <w:rPr>
                <w:b w:val="0"/>
                <w:i w:val="0"/>
                <w:strike w:val="0"/>
              </w:rPr>
              <w:t>$21,000</w:t>
            </w:r>
          </w:p>
        </w:tc>
        <w:tc>
          <w:tcPr>
            <w:tcW w:type="dxa" w:w="864"/>
          </w:tcPr>
          <w:p>
            <w:r>
              <w:rPr>
                <w:b/>
                <w:i w:val="0"/>
                <w:strike w:val="0"/>
              </w:rPr>
              <w:t>−$21,500</w:t>
            </w:r>
            <w:r>
              <w:rPr>
                <w:b w:val="0"/>
                <w:i w:val="0"/>
                <w:strike w:val="0"/>
              </w:rPr>
              <w:t xml:space="preserve"> (member overpays)</w:t>
            </w:r>
          </w:p>
        </w:tc>
        <w:tc>
          <w:tcPr>
            <w:tcW w:type="dxa" w:w="864"/>
          </w:tcPr>
          <w:p>
            <w:r>
              <w:rPr>
                <w:b w:val="0"/>
                <w:i w:val="0"/>
                <w:strike w:val="0"/>
              </w:rPr>
              <w:t>202.4%</w:t>
            </w:r>
          </w:p>
        </w:tc>
        <w:tc>
          <w:tcPr>
            <w:tcW w:type="dxa" w:w="864"/>
          </w:tcPr>
          <w:p>
            <w:r>
              <w:rPr>
                <w:b w:val="0"/>
                <w:i w:val="0"/>
                <w:strike w:val="0"/>
              </w:rPr>
              <w:t>6.2%</w:t>
            </w:r>
          </w:p>
        </w:tc>
      </w:tr>
      <w:tr>
        <w:tc>
          <w:tcPr>
            <w:tcW w:type="dxa" w:w="864"/>
          </w:tcPr>
          <w:p>
            <w:r>
              <w:rPr>
                <w:rFonts w:ascii="Consolas" w:hAnsi="Consolas"/>
                <w:b w:val="0"/>
                <w:i w:val="0"/>
                <w:strike w:val="0"/>
                <w:color w:val="303030"/>
                <w:sz w:val="19"/>
              </w:rPr>
              <w:t>P1-B2-B-TC-SUB</w:t>
            </w:r>
          </w:p>
        </w:tc>
        <w:tc>
          <w:tcPr>
            <w:tcW w:type="dxa" w:w="864"/>
          </w:tcPr>
          <w:p>
            <w:r>
              <w:rPr>
                <w:b w:val="0"/>
                <w:i w:val="0"/>
                <w:strike w:val="0"/>
              </w:rPr>
              <w:t>54 / 28.0</w:t>
            </w:r>
          </w:p>
        </w:tc>
        <w:tc>
          <w:tcPr>
            <w:tcW w:type="dxa" w:w="864"/>
          </w:tcPr>
          <w:p>
            <w:r>
              <w:rPr>
                <w:b w:val="0"/>
                <w:i w:val="0"/>
                <w:strike w:val="0"/>
              </w:rPr>
              <w:t>$80,000</w:t>
            </w:r>
          </w:p>
        </w:tc>
        <w:tc>
          <w:tcPr>
            <w:tcW w:type="dxa" w:w="864"/>
          </w:tcPr>
          <w:p>
            <w:r>
              <w:rPr>
                <w:b w:val="0"/>
                <w:i w:val="0"/>
                <w:strike w:val="0"/>
              </w:rPr>
              <w:t>2.00</w:t>
            </w:r>
          </w:p>
        </w:tc>
        <w:tc>
          <w:tcPr>
            <w:tcW w:type="dxa" w:w="864"/>
          </w:tcPr>
          <w:p>
            <w:r>
              <w:rPr>
                <w:b w:val="0"/>
                <w:i w:val="0"/>
                <w:strike w:val="0"/>
              </w:rPr>
              <w:t>$20,000</w:t>
            </w:r>
          </w:p>
        </w:tc>
        <w:tc>
          <w:tcPr>
            <w:tcW w:type="dxa" w:w="864"/>
          </w:tcPr>
          <w:p>
            <w:r>
              <w:rPr>
                <w:b w:val="0"/>
                <w:i w:val="0"/>
                <w:strike w:val="0"/>
              </w:rPr>
              <w:t>2.00 yrs</w:t>
            </w:r>
          </w:p>
        </w:tc>
        <w:tc>
          <w:tcPr>
            <w:tcW w:type="dxa" w:w="864"/>
          </w:tcPr>
          <w:p>
            <w:r>
              <w:rPr>
                <w:b w:val="0"/>
                <w:i w:val="0"/>
                <w:strike w:val="0"/>
              </w:rPr>
              <w:t>$121,480</w:t>
            </w:r>
          </w:p>
        </w:tc>
        <w:tc>
          <w:tcPr>
            <w:tcW w:type="dxa" w:w="864"/>
          </w:tcPr>
          <w:p>
            <w:r>
              <w:rPr>
                <w:b w:val="0"/>
                <w:i w:val="0"/>
                <w:strike w:val="0"/>
              </w:rPr>
              <w:t>+$101,480</w:t>
            </w:r>
          </w:p>
        </w:tc>
        <w:tc>
          <w:tcPr>
            <w:tcW w:type="dxa" w:w="864"/>
          </w:tcPr>
          <w:p>
            <w:r>
              <w:rPr>
                <w:b w:val="0"/>
                <w:i w:val="0"/>
                <w:strike w:val="0"/>
              </w:rPr>
              <w:t>16.5%</w:t>
            </w:r>
          </w:p>
        </w:tc>
        <w:tc>
          <w:tcPr>
            <w:tcW w:type="dxa" w:w="864"/>
          </w:tcPr>
          <w:p>
            <w:r>
              <w:rPr>
                <w:b w:val="0"/>
                <w:i w:val="0"/>
                <w:strike w:val="0"/>
              </w:rPr>
              <w:t>75.9%</w:t>
            </w:r>
          </w:p>
        </w:tc>
      </w:tr>
      <w:tr>
        <w:tc>
          <w:tcPr>
            <w:tcW w:type="dxa" w:w="864"/>
          </w:tcPr>
          <w:p>
            <w:r>
              <w:rPr>
                <w:rFonts w:ascii="Consolas" w:hAnsi="Consolas"/>
                <w:b w:val="0"/>
                <w:i w:val="0"/>
                <w:strike w:val="0"/>
                <w:color w:val="303030"/>
                <w:sz w:val="19"/>
              </w:rPr>
              <w:t>P1-B2-B-TC-WTE</w:t>
            </w:r>
          </w:p>
        </w:tc>
        <w:tc>
          <w:tcPr>
            <w:tcW w:type="dxa" w:w="864"/>
          </w:tcPr>
          <w:p>
            <w:r>
              <w:rPr>
                <w:b w:val="0"/>
                <w:i w:val="0"/>
                <w:strike w:val="0"/>
              </w:rPr>
              <w:t>54 / 28.0</w:t>
            </w:r>
          </w:p>
        </w:tc>
        <w:tc>
          <w:tcPr>
            <w:tcW w:type="dxa" w:w="864"/>
          </w:tcPr>
          <w:p>
            <w:r>
              <w:rPr>
                <w:b w:val="0"/>
                <w:i w:val="0"/>
                <w:strike w:val="0"/>
              </w:rPr>
              <w:t>$80,000</w:t>
            </w:r>
          </w:p>
        </w:tc>
        <w:tc>
          <w:tcPr>
            <w:tcW w:type="dxa" w:w="864"/>
          </w:tcPr>
          <w:p>
            <w:r>
              <w:rPr>
                <w:b w:val="0"/>
                <w:i w:val="0"/>
                <w:strike w:val="0"/>
              </w:rPr>
              <w:t>2.00</w:t>
            </w:r>
          </w:p>
        </w:tc>
        <w:tc>
          <w:tcPr>
            <w:tcW w:type="dxa" w:w="864"/>
          </w:tcPr>
          <w:p>
            <w:r>
              <w:rPr>
                <w:b w:val="0"/>
                <w:i w:val="0"/>
                <w:strike w:val="0"/>
              </w:rPr>
              <w:t>$20,000</w:t>
            </w:r>
          </w:p>
        </w:tc>
        <w:tc>
          <w:tcPr>
            <w:tcW w:type="dxa" w:w="864"/>
          </w:tcPr>
          <w:p>
            <w:r>
              <w:rPr>
                <w:b w:val="0"/>
                <w:i w:val="0"/>
                <w:strike w:val="0"/>
              </w:rPr>
              <w:t>2.00 yrs</w:t>
            </w:r>
          </w:p>
        </w:tc>
        <w:tc>
          <w:tcPr>
            <w:tcW w:type="dxa" w:w="864"/>
          </w:tcPr>
          <w:p>
            <w:r>
              <w:rPr>
                <w:b w:val="0"/>
                <w:i w:val="0"/>
                <w:strike w:val="0"/>
              </w:rPr>
              <w:t>$13,994</w:t>
            </w:r>
          </w:p>
        </w:tc>
        <w:tc>
          <w:tcPr>
            <w:tcW w:type="dxa" w:w="864"/>
          </w:tcPr>
          <w:p>
            <w:r>
              <w:rPr>
                <w:b w:val="0"/>
                <w:i w:val="0"/>
                <w:strike w:val="0"/>
              </w:rPr>
              <w:t>−$6,006</w:t>
            </w:r>
          </w:p>
        </w:tc>
        <w:tc>
          <w:tcPr>
            <w:tcW w:type="dxa" w:w="864"/>
          </w:tcPr>
          <w:p>
            <w:r>
              <w:rPr>
                <w:b w:val="0"/>
                <w:i w:val="0"/>
                <w:strike w:val="0"/>
              </w:rPr>
              <w:t>142.9%</w:t>
            </w:r>
          </w:p>
        </w:tc>
        <w:tc>
          <w:tcPr>
            <w:tcW w:type="dxa" w:w="864"/>
          </w:tcPr>
          <w:p>
            <w:r>
              <w:rPr>
                <w:b w:val="0"/>
                <w:i w:val="0"/>
                <w:strike w:val="0"/>
              </w:rPr>
              <w:t>8.7%</w:t>
            </w:r>
          </w:p>
        </w:tc>
      </w:tr>
      <w:tr>
        <w:tc>
          <w:tcPr>
            <w:tcW w:type="dxa" w:w="864"/>
          </w:tcPr>
          <w:p>
            <w:r>
              <w:rPr>
                <w:rFonts w:ascii="Consolas" w:hAnsi="Consolas"/>
                <w:b w:val="0"/>
                <w:i w:val="0"/>
                <w:strike w:val="0"/>
                <w:color w:val="303030"/>
                <w:sz w:val="19"/>
              </w:rPr>
              <w:t>P1-B2-C-PS-SUB</w:t>
            </w:r>
          </w:p>
        </w:tc>
        <w:tc>
          <w:tcPr>
            <w:tcW w:type="dxa" w:w="864"/>
          </w:tcPr>
          <w:p>
            <w:r>
              <w:rPr>
                <w:b w:val="0"/>
                <w:i w:val="0"/>
                <w:strike w:val="0"/>
              </w:rPr>
              <w:t>56 / 27.0</w:t>
            </w:r>
          </w:p>
        </w:tc>
        <w:tc>
          <w:tcPr>
            <w:tcW w:type="dxa" w:w="864"/>
          </w:tcPr>
          <w:p>
            <w:r>
              <w:rPr>
                <w:b w:val="0"/>
                <w:i w:val="0"/>
                <w:strike w:val="0"/>
              </w:rPr>
              <w:t>$72,000</w:t>
            </w:r>
          </w:p>
        </w:tc>
        <w:tc>
          <w:tcPr>
            <w:tcW w:type="dxa" w:w="864"/>
          </w:tcPr>
          <w:p>
            <w:r>
              <w:rPr>
                <w:b w:val="0"/>
                <w:i w:val="0"/>
                <w:strike w:val="0"/>
              </w:rPr>
              <w:t>3.00</w:t>
            </w:r>
          </w:p>
        </w:tc>
        <w:tc>
          <w:tcPr>
            <w:tcW w:type="dxa" w:w="864"/>
          </w:tcPr>
          <w:p>
            <w:r>
              <w:rPr>
                <w:b w:val="0"/>
                <w:i w:val="0"/>
                <w:strike w:val="0"/>
              </w:rPr>
              <w:t>$27,000</w:t>
            </w:r>
          </w:p>
        </w:tc>
        <w:tc>
          <w:tcPr>
            <w:tcW w:type="dxa" w:w="864"/>
          </w:tcPr>
          <w:p>
            <w:r>
              <w:rPr>
                <w:b w:val="0"/>
                <w:i w:val="0"/>
                <w:strike w:val="0"/>
              </w:rPr>
              <w:t>3.00 yrs</w:t>
            </w:r>
          </w:p>
        </w:tc>
        <w:tc>
          <w:tcPr>
            <w:tcW w:type="dxa" w:w="864"/>
          </w:tcPr>
          <w:p>
            <w:r>
              <w:rPr>
                <w:b w:val="0"/>
                <w:i w:val="0"/>
                <w:strike w:val="0"/>
              </w:rPr>
              <w:t>$92,368</w:t>
            </w:r>
          </w:p>
        </w:tc>
        <w:tc>
          <w:tcPr>
            <w:tcW w:type="dxa" w:w="864"/>
          </w:tcPr>
          <w:p>
            <w:r>
              <w:rPr>
                <w:b w:val="0"/>
                <w:i w:val="0"/>
                <w:strike w:val="0"/>
              </w:rPr>
              <w:t>+$65,368</w:t>
            </w:r>
          </w:p>
        </w:tc>
        <w:tc>
          <w:tcPr>
            <w:tcW w:type="dxa" w:w="864"/>
          </w:tcPr>
          <w:p>
            <w:r>
              <w:rPr>
                <w:b w:val="0"/>
                <w:i w:val="0"/>
                <w:strike w:val="0"/>
              </w:rPr>
              <w:t>29.2%</w:t>
            </w:r>
          </w:p>
        </w:tc>
        <w:tc>
          <w:tcPr>
            <w:tcW w:type="dxa" w:w="864"/>
          </w:tcPr>
          <w:p>
            <w:r>
              <w:rPr>
                <w:b w:val="0"/>
                <w:i w:val="0"/>
                <w:strike w:val="0"/>
              </w:rPr>
              <w:t>42.8%</w:t>
            </w:r>
          </w:p>
        </w:tc>
      </w:tr>
      <w:tr>
        <w:tc>
          <w:tcPr>
            <w:tcW w:type="dxa" w:w="864"/>
          </w:tcPr>
          <w:p>
            <w:r>
              <w:rPr>
                <w:rFonts w:ascii="Consolas" w:hAnsi="Consolas"/>
                <w:b w:val="0"/>
                <w:i w:val="0"/>
                <w:strike w:val="0"/>
                <w:color w:val="303030"/>
                <w:sz w:val="19"/>
              </w:rPr>
              <w:t>P1-B2-C-PS-WTE</w:t>
            </w:r>
          </w:p>
        </w:tc>
        <w:tc>
          <w:tcPr>
            <w:tcW w:type="dxa" w:w="864"/>
          </w:tcPr>
          <w:p>
            <w:r>
              <w:rPr>
                <w:b w:val="0"/>
                <w:i w:val="0"/>
                <w:strike w:val="0"/>
              </w:rPr>
              <w:t>56 / 27.0</w:t>
            </w:r>
          </w:p>
        </w:tc>
        <w:tc>
          <w:tcPr>
            <w:tcW w:type="dxa" w:w="864"/>
          </w:tcPr>
          <w:p>
            <w:r>
              <w:rPr>
                <w:b w:val="0"/>
                <w:i w:val="0"/>
                <w:strike w:val="0"/>
              </w:rPr>
              <w:t>$72,000</w:t>
            </w:r>
          </w:p>
        </w:tc>
        <w:tc>
          <w:tcPr>
            <w:tcW w:type="dxa" w:w="864"/>
          </w:tcPr>
          <w:p>
            <w:r>
              <w:rPr>
                <w:b w:val="0"/>
                <w:i w:val="0"/>
                <w:strike w:val="0"/>
              </w:rPr>
              <w:t>3.00</w:t>
            </w:r>
          </w:p>
        </w:tc>
        <w:tc>
          <w:tcPr>
            <w:tcW w:type="dxa" w:w="864"/>
          </w:tcPr>
          <w:p>
            <w:r>
              <w:rPr>
                <w:b w:val="0"/>
                <w:i w:val="0"/>
                <w:strike w:val="0"/>
              </w:rPr>
              <w:t>$27,000</w:t>
            </w:r>
          </w:p>
        </w:tc>
        <w:tc>
          <w:tcPr>
            <w:tcW w:type="dxa" w:w="864"/>
          </w:tcPr>
          <w:p>
            <w:r>
              <w:rPr>
                <w:b w:val="0"/>
                <w:i w:val="0"/>
                <w:strike w:val="0"/>
              </w:rPr>
              <w:t>3.00 yrs</w:t>
            </w:r>
          </w:p>
        </w:tc>
        <w:tc>
          <w:tcPr>
            <w:tcW w:type="dxa" w:w="864"/>
          </w:tcPr>
          <w:p>
            <w:r>
              <w:rPr>
                <w:b w:val="0"/>
                <w:i w:val="0"/>
                <w:strike w:val="0"/>
              </w:rPr>
              <w:t>$21,273</w:t>
            </w:r>
          </w:p>
        </w:tc>
        <w:tc>
          <w:tcPr>
            <w:tcW w:type="dxa" w:w="864"/>
          </w:tcPr>
          <w:p>
            <w:r>
              <w:rPr>
                <w:b w:val="0"/>
                <w:i w:val="0"/>
                <w:strike w:val="0"/>
              </w:rPr>
              <w:t>−$5,727</w:t>
            </w:r>
          </w:p>
        </w:tc>
        <w:tc>
          <w:tcPr>
            <w:tcW w:type="dxa" w:w="864"/>
          </w:tcPr>
          <w:p>
            <w:r>
              <w:rPr>
                <w:b w:val="0"/>
                <w:i w:val="0"/>
                <w:strike w:val="0"/>
              </w:rPr>
              <w:t>126.9%</w:t>
            </w:r>
          </w:p>
        </w:tc>
        <w:tc>
          <w:tcPr>
            <w:tcW w:type="dxa" w:w="864"/>
          </w:tcPr>
          <w:p>
            <w:r>
              <w:rPr>
                <w:b w:val="0"/>
                <w:i w:val="0"/>
                <w:strike w:val="0"/>
              </w:rPr>
              <w:t>9.8%</w:t>
            </w:r>
          </w:p>
        </w:tc>
      </w:tr>
    </w:tbl>
    <w:p/>
    <w:p>
      <w:r>
        <w:rPr>
          <w:b w:val="0"/>
          <w:i w:val="0"/>
          <w:strike w:val="0"/>
        </w:rPr>
        <w:t xml:space="preserve">Profile A is the memo's own example and the worst case for the fund on the </w:t>
      </w:r>
      <w:r>
        <w:rPr>
          <w:rFonts w:ascii="Consolas" w:hAnsi="Consolas"/>
          <w:b w:val="0"/>
          <w:i w:val="0"/>
          <w:strike w:val="0"/>
          <w:color w:val="303030"/>
          <w:sz w:val="19"/>
        </w:rPr>
        <w:t>SUB</w:t>
      </w:r>
      <w:r>
        <w:rPr>
          <w:b w:val="0"/>
          <w:i w:val="0"/>
          <w:strike w:val="0"/>
        </w:rPr>
        <w:t xml:space="preserve"> measure, for a reason worth stating plainly: a Plan 1 member at age 50 with 26 years who retires under current law takes the 50/10 reduction, which on the published construction is </w:t>
      </w:r>
      <w:r>
        <w:rPr>
          <w:b/>
          <w:i w:val="0"/>
          <w:strike w:val="0"/>
        </w:rPr>
        <w:t>60%</w:t>
      </w:r>
      <w:r>
        <w:rPr>
          <w:b w:val="0"/>
          <w:i w:val="0"/>
          <w:strike w:val="0"/>
        </w:rPr>
        <w:t xml:space="preserve"> — 48 months to unreduced eligibility at 0.5% plus 60 months under age 55 at 0.6%, leaving a factor of 0.400. The bridge replaces a 40-cent benefit with a dollar benefit for life. The reduction formula is published (SRC-12 / </w:t>
      </w:r>
      <w:r>
        <w:rPr>
          <w:rFonts w:ascii="Consolas" w:hAnsi="Consolas"/>
          <w:b w:val="0"/>
          <w:i w:val="0"/>
          <w:strike w:val="0"/>
          <w:color w:val="303030"/>
          <w:sz w:val="19"/>
        </w:rPr>
        <w:t>ERMSR2026</w:t>
      </w:r>
      <w:r>
        <w:rPr>
          <w:b w:val="0"/>
          <w:i w:val="0"/>
          <w:strike w:val="0"/>
        </w:rPr>
        <w:t xml:space="preserve"> p. 4) and the 55/5 branch was validated against an independent published factor table, but the additive 50/10 construction should be confirmed against VRS's actual factor tables before the 112.8% figure is used in public.</w:t>
      </w:r>
    </w:p>
    <w:p>
      <w:pPr>
        <w:pStyle w:val="Heading3"/>
      </w:pPr>
      <w:r>
        <w:rPr>
          <w:b w:val="0"/>
          <w:i w:val="0"/>
          <w:strike w:val="0"/>
        </w:rPr>
        <w:t>5.2 Plan 2 — § 51.1-153 B 3 pathway (Rule of 90)</w:t>
      </w:r>
    </w:p>
    <w:p>
      <w:r>
        <w:rPr>
          <w:b w:val="0"/>
          <w:i w:val="0"/>
          <w:strike w:val="0"/>
        </w:rPr>
        <w:t xml:space="preserve">The Rule-of-90 sum grows </w:t>
      </w:r>
      <w:r>
        <w:rPr>
          <w:b/>
          <w:i w:val="0"/>
          <w:strike w:val="0"/>
        </w:rPr>
        <w:t>two points per year worked</w:t>
      </w:r>
      <w:r>
        <w:rPr>
          <w:b w:val="0"/>
          <w:i w:val="0"/>
          <w:strike w:val="0"/>
        </w:rPr>
        <w:t xml:space="preserve"> (one of age, one of service), while a bridge year adds </w:t>
      </w:r>
      <w:r>
        <w:rPr>
          <w:b/>
          <w:i w:val="0"/>
          <w:strike w:val="0"/>
        </w:rPr>
        <w:t>one point</w:t>
      </w:r>
      <w:r>
        <w:rPr>
          <w:b w:val="0"/>
          <w:i w:val="0"/>
          <w:strike w:val="0"/>
        </w:rPr>
        <w:t xml:space="preserve">. So </w:t>
      </w:r>
      <w:r>
        <w:rPr>
          <w:b/>
          <w:i w:val="0"/>
          <w:strike w:val="0"/>
        </w:rPr>
        <w:t>four bridge points accelerate eligibility by only two years</w:t>
      </w:r>
      <w:r>
        <w:rPr>
          <w:b w:val="0"/>
          <w:i w:val="0"/>
          <w:strike w:val="0"/>
        </w:rPr>
        <w:t xml:space="preserve"> — the asymmetry flagged in the issue, and it materially reduces the cost.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strike w:val="0"/>
              </w:rPr>
              <w:t>Scenario</w:t>
            </w:r>
          </w:p>
        </w:tc>
        <w:tc>
          <w:tcPr>
            <w:tcW w:type="dxa" w:w="864"/>
          </w:tcPr>
          <w:p>
            <w:r>
              <w:rPr>
                <w:b/>
                <w:i w:val="0"/>
                <w:strike w:val="0"/>
              </w:rPr>
              <w:t>Age / service</w:t>
            </w:r>
          </w:p>
        </w:tc>
        <w:tc>
          <w:tcPr>
            <w:tcW w:type="dxa" w:w="864"/>
          </w:tcPr>
          <w:p>
            <w:r>
              <w:rPr>
                <w:b/>
                <w:i w:val="0"/>
                <w:strike w:val="0"/>
              </w:rPr>
              <w:t>Points</w:t>
            </w:r>
          </w:p>
        </w:tc>
        <w:tc>
          <w:tcPr>
            <w:tcW w:type="dxa" w:w="864"/>
          </w:tcPr>
          <w:p>
            <w:r>
              <w:rPr>
                <w:b/>
                <w:i w:val="0"/>
                <w:strike w:val="0"/>
              </w:rPr>
              <w:t>Salary</w:t>
            </w:r>
          </w:p>
        </w:tc>
        <w:tc>
          <w:tcPr>
            <w:tcW w:type="dxa" w:w="864"/>
          </w:tcPr>
          <w:p>
            <w:r>
              <w:rPr>
                <w:b/>
                <w:i w:val="0"/>
                <w:strike w:val="0"/>
              </w:rPr>
              <w:t>Years bought</w:t>
            </w:r>
          </w:p>
        </w:tc>
        <w:tc>
          <w:tcPr>
            <w:tcW w:type="dxa" w:w="864"/>
          </w:tcPr>
          <w:p>
            <w:r>
              <w:rPr>
                <w:b/>
                <w:i w:val="0"/>
                <w:strike w:val="0"/>
              </w:rPr>
              <w:t>Price paid</w:t>
            </w:r>
          </w:p>
        </w:tc>
        <w:tc>
          <w:tcPr>
            <w:tcW w:type="dxa" w:w="864"/>
          </w:tcPr>
          <w:p>
            <w:r>
              <w:rPr>
                <w:b/>
                <w:i w:val="0"/>
                <w:strike w:val="0"/>
              </w:rPr>
              <w:t>Acceleration</w:t>
            </w:r>
          </w:p>
        </w:tc>
        <w:tc>
          <w:tcPr>
            <w:tcW w:type="dxa" w:w="864"/>
          </w:tcPr>
          <w:p>
            <w:r>
              <w:rPr>
                <w:b/>
                <w:i w:val="0"/>
                <w:strike w:val="0"/>
              </w:rPr>
              <w:t>Value</w:t>
            </w:r>
          </w:p>
        </w:tc>
        <w:tc>
          <w:tcPr>
            <w:tcW w:type="dxa" w:w="864"/>
          </w:tcPr>
          <w:p>
            <w:r>
              <w:rPr>
                <w:b/>
                <w:i w:val="0"/>
                <w:strike w:val="0"/>
              </w:rPr>
              <w:t>Net subsidy</w:t>
            </w:r>
          </w:p>
        </w:tc>
        <w:tc>
          <w:tcPr>
            <w:tcW w:type="dxa" w:w="864"/>
          </w:tcPr>
          <w:p>
            <w:r>
              <w:rPr>
                <w:b/>
                <w:i w:val="0"/>
                <w:strike w:val="0"/>
              </w:rPr>
              <w:t>Price recovers</w:t>
            </w:r>
          </w:p>
        </w:tc>
      </w:tr>
      <w:tr>
        <w:tc>
          <w:tcPr>
            <w:tcW w:type="dxa" w:w="864"/>
          </w:tcPr>
          <w:p>
            <w:r>
              <w:rPr>
                <w:rFonts w:ascii="Consolas" w:hAnsi="Consolas"/>
                <w:b w:val="0"/>
                <w:i w:val="0"/>
                <w:strike w:val="0"/>
                <w:color w:val="303030"/>
                <w:sz w:val="19"/>
              </w:rPr>
              <w:t>P2-B3-D-ST-SUB</w:t>
            </w:r>
          </w:p>
        </w:tc>
        <w:tc>
          <w:tcPr>
            <w:tcW w:type="dxa" w:w="864"/>
          </w:tcPr>
          <w:p>
            <w:r>
              <w:rPr>
                <w:b w:val="0"/>
                <w:i w:val="0"/>
                <w:strike w:val="0"/>
              </w:rPr>
              <w:t>61 / 25.0</w:t>
            </w:r>
          </w:p>
        </w:tc>
        <w:tc>
          <w:tcPr>
            <w:tcW w:type="dxa" w:w="864"/>
          </w:tcPr>
          <w:p>
            <w:r>
              <w:rPr>
                <w:b w:val="0"/>
                <w:i w:val="0"/>
                <w:strike w:val="0"/>
              </w:rPr>
              <w:t>86</w:t>
            </w:r>
          </w:p>
        </w:tc>
        <w:tc>
          <w:tcPr>
            <w:tcW w:type="dxa" w:w="864"/>
          </w:tcPr>
          <w:p>
            <w:r>
              <w:rPr>
                <w:b w:val="0"/>
                <w:i w:val="0"/>
                <w:strike w:val="0"/>
              </w:rPr>
              <w:t>$90,000</w:t>
            </w:r>
          </w:p>
        </w:tc>
        <w:tc>
          <w:tcPr>
            <w:tcW w:type="dxa" w:w="864"/>
          </w:tcPr>
          <w:p>
            <w:r>
              <w:rPr>
                <w:b w:val="0"/>
                <w:i w:val="0"/>
                <w:strike w:val="0"/>
              </w:rPr>
              <w:t>4.00</w:t>
            </w:r>
          </w:p>
        </w:tc>
        <w:tc>
          <w:tcPr>
            <w:tcW w:type="dxa" w:w="864"/>
          </w:tcPr>
          <w:p>
            <w:r>
              <w:rPr>
                <w:b w:val="0"/>
                <w:i w:val="0"/>
                <w:strike w:val="0"/>
              </w:rPr>
              <w:t>$38,664</w:t>
            </w:r>
          </w:p>
        </w:tc>
        <w:tc>
          <w:tcPr>
            <w:tcW w:type="dxa" w:w="864"/>
          </w:tcPr>
          <w:p>
            <w:r>
              <w:rPr>
                <w:b w:val="0"/>
                <w:i w:val="0"/>
                <w:strike w:val="0"/>
              </w:rPr>
              <w:t>2.00 yrs</w:t>
            </w:r>
          </w:p>
        </w:tc>
        <w:tc>
          <w:tcPr>
            <w:tcW w:type="dxa" w:w="864"/>
          </w:tcPr>
          <w:p>
            <w:r>
              <w:rPr>
                <w:b w:val="0"/>
                <w:i w:val="0"/>
                <w:strike w:val="0"/>
              </w:rPr>
              <w:t>$60,451</w:t>
            </w:r>
          </w:p>
        </w:tc>
        <w:tc>
          <w:tcPr>
            <w:tcW w:type="dxa" w:w="864"/>
          </w:tcPr>
          <w:p>
            <w:r>
              <w:rPr>
                <w:b w:val="0"/>
                <w:i w:val="0"/>
                <w:strike w:val="0"/>
              </w:rPr>
              <w:t>+$21,787</w:t>
            </w:r>
          </w:p>
        </w:tc>
        <w:tc>
          <w:tcPr>
            <w:tcW w:type="dxa" w:w="864"/>
          </w:tcPr>
          <w:p>
            <w:r>
              <w:rPr>
                <w:b w:val="0"/>
                <w:i w:val="0"/>
                <w:strike w:val="0"/>
              </w:rPr>
              <w:t>64.0%</w:t>
            </w:r>
          </w:p>
        </w:tc>
      </w:tr>
      <w:tr>
        <w:tc>
          <w:tcPr>
            <w:tcW w:type="dxa" w:w="864"/>
          </w:tcPr>
          <w:p>
            <w:r>
              <w:rPr>
                <w:rFonts w:ascii="Consolas" w:hAnsi="Consolas"/>
                <w:b w:val="0"/>
                <w:i w:val="0"/>
                <w:strike w:val="0"/>
                <w:color w:val="303030"/>
                <w:sz w:val="19"/>
              </w:rPr>
              <w:t>P2-B3-D-ST-WTE</w:t>
            </w:r>
          </w:p>
        </w:tc>
        <w:tc>
          <w:tcPr>
            <w:tcW w:type="dxa" w:w="864"/>
          </w:tcPr>
          <w:p>
            <w:r>
              <w:rPr>
                <w:b w:val="0"/>
                <w:i w:val="0"/>
                <w:strike w:val="0"/>
              </w:rPr>
              <w:t>61 / 25.0</w:t>
            </w:r>
          </w:p>
        </w:tc>
        <w:tc>
          <w:tcPr>
            <w:tcW w:type="dxa" w:w="864"/>
          </w:tcPr>
          <w:p>
            <w:r>
              <w:rPr>
                <w:b w:val="0"/>
                <w:i w:val="0"/>
                <w:strike w:val="0"/>
              </w:rPr>
              <w:t>86</w:t>
            </w:r>
          </w:p>
        </w:tc>
        <w:tc>
          <w:tcPr>
            <w:tcW w:type="dxa" w:w="864"/>
          </w:tcPr>
          <w:p>
            <w:r>
              <w:rPr>
                <w:b w:val="0"/>
                <w:i w:val="0"/>
                <w:strike w:val="0"/>
              </w:rPr>
              <w:t>$90,000</w:t>
            </w:r>
          </w:p>
        </w:tc>
        <w:tc>
          <w:tcPr>
            <w:tcW w:type="dxa" w:w="864"/>
          </w:tcPr>
          <w:p>
            <w:r>
              <w:rPr>
                <w:b w:val="0"/>
                <w:i w:val="0"/>
                <w:strike w:val="0"/>
              </w:rPr>
              <w:t>4.00</w:t>
            </w:r>
          </w:p>
        </w:tc>
        <w:tc>
          <w:tcPr>
            <w:tcW w:type="dxa" w:w="864"/>
          </w:tcPr>
          <w:p>
            <w:r>
              <w:rPr>
                <w:b w:val="0"/>
                <w:i w:val="0"/>
                <w:strike w:val="0"/>
              </w:rPr>
              <w:t>$38,664</w:t>
            </w:r>
          </w:p>
        </w:tc>
        <w:tc>
          <w:tcPr>
            <w:tcW w:type="dxa" w:w="864"/>
          </w:tcPr>
          <w:p>
            <w:r>
              <w:rPr>
                <w:b w:val="0"/>
                <w:i w:val="0"/>
                <w:strike w:val="0"/>
              </w:rPr>
              <w:t>2.00 yrs</w:t>
            </w:r>
          </w:p>
        </w:tc>
        <w:tc>
          <w:tcPr>
            <w:tcW w:type="dxa" w:w="864"/>
          </w:tcPr>
          <w:p>
            <w:r>
              <w:rPr>
                <w:b w:val="0"/>
                <w:i w:val="0"/>
                <w:strike w:val="0"/>
              </w:rPr>
              <w:t>$14,111</w:t>
            </w:r>
          </w:p>
        </w:tc>
        <w:tc>
          <w:tcPr>
            <w:tcW w:type="dxa" w:w="864"/>
          </w:tcPr>
          <w:p>
            <w:r>
              <w:rPr>
                <w:b w:val="0"/>
                <w:i w:val="0"/>
                <w:strike w:val="0"/>
              </w:rPr>
              <w:t>−$24,553</w:t>
            </w:r>
          </w:p>
        </w:tc>
        <w:tc>
          <w:tcPr>
            <w:tcW w:type="dxa" w:w="864"/>
          </w:tcPr>
          <w:p>
            <w:r>
              <w:rPr>
                <w:b w:val="0"/>
                <w:i w:val="0"/>
                <w:strike w:val="0"/>
              </w:rPr>
              <w:t>274.0%</w:t>
            </w:r>
          </w:p>
        </w:tc>
      </w:tr>
      <w:tr>
        <w:tc>
          <w:tcPr>
            <w:tcW w:type="dxa" w:w="864"/>
          </w:tcPr>
          <w:p>
            <w:r>
              <w:rPr>
                <w:rFonts w:ascii="Consolas" w:hAnsi="Consolas"/>
                <w:b w:val="0"/>
                <w:i w:val="0"/>
                <w:strike w:val="0"/>
                <w:color w:val="303030"/>
                <w:sz w:val="19"/>
              </w:rPr>
              <w:t>P2-B3-E-TC-SUB</w:t>
            </w:r>
          </w:p>
        </w:tc>
        <w:tc>
          <w:tcPr>
            <w:tcW w:type="dxa" w:w="864"/>
          </w:tcPr>
          <w:p>
            <w:r>
              <w:rPr>
                <w:b w:val="0"/>
                <w:i w:val="0"/>
                <w:strike w:val="0"/>
              </w:rPr>
              <w:t>60 / 27.0</w:t>
            </w:r>
          </w:p>
        </w:tc>
        <w:tc>
          <w:tcPr>
            <w:tcW w:type="dxa" w:w="864"/>
          </w:tcPr>
          <w:p>
            <w:r>
              <w:rPr>
                <w:b w:val="0"/>
                <w:i w:val="0"/>
                <w:strike w:val="0"/>
              </w:rPr>
              <w:t>87</w:t>
            </w:r>
          </w:p>
        </w:tc>
        <w:tc>
          <w:tcPr>
            <w:tcW w:type="dxa" w:w="864"/>
          </w:tcPr>
          <w:p>
            <w:r>
              <w:rPr>
                <w:b w:val="0"/>
                <w:i w:val="0"/>
                <w:strike w:val="0"/>
              </w:rPr>
              <w:t>$78,000</w:t>
            </w:r>
          </w:p>
        </w:tc>
        <w:tc>
          <w:tcPr>
            <w:tcW w:type="dxa" w:w="864"/>
          </w:tcPr>
          <w:p>
            <w:r>
              <w:rPr>
                <w:b w:val="0"/>
                <w:i w:val="0"/>
                <w:strike w:val="0"/>
              </w:rPr>
              <w:t>3.00</w:t>
            </w:r>
          </w:p>
        </w:tc>
        <w:tc>
          <w:tcPr>
            <w:tcW w:type="dxa" w:w="864"/>
          </w:tcPr>
          <w:p>
            <w:r>
              <w:rPr>
                <w:b w:val="0"/>
                <w:i w:val="0"/>
                <w:strike w:val="0"/>
              </w:rPr>
              <w:t>$25,132</w:t>
            </w:r>
          </w:p>
        </w:tc>
        <w:tc>
          <w:tcPr>
            <w:tcW w:type="dxa" w:w="864"/>
          </w:tcPr>
          <w:p>
            <w:r>
              <w:rPr>
                <w:b w:val="0"/>
                <w:i w:val="0"/>
                <w:strike w:val="0"/>
              </w:rPr>
              <w:t>1.50 yrs</w:t>
            </w:r>
          </w:p>
        </w:tc>
        <w:tc>
          <w:tcPr>
            <w:tcW w:type="dxa" w:w="864"/>
          </w:tcPr>
          <w:p>
            <w:r>
              <w:rPr>
                <w:b w:val="0"/>
                <w:i w:val="0"/>
                <w:strike w:val="0"/>
              </w:rPr>
              <w:t>$44,706</w:t>
            </w:r>
          </w:p>
        </w:tc>
        <w:tc>
          <w:tcPr>
            <w:tcW w:type="dxa" w:w="864"/>
          </w:tcPr>
          <w:p>
            <w:r>
              <w:rPr>
                <w:b w:val="0"/>
                <w:i w:val="0"/>
                <w:strike w:val="0"/>
              </w:rPr>
              <w:t>+$19,574</w:t>
            </w:r>
          </w:p>
        </w:tc>
        <w:tc>
          <w:tcPr>
            <w:tcW w:type="dxa" w:w="864"/>
          </w:tcPr>
          <w:p>
            <w:r>
              <w:rPr>
                <w:b w:val="0"/>
                <w:i w:val="0"/>
                <w:strike w:val="0"/>
              </w:rPr>
              <w:t>56.2%</w:t>
            </w:r>
          </w:p>
        </w:tc>
      </w:tr>
      <w:tr>
        <w:tc>
          <w:tcPr>
            <w:tcW w:type="dxa" w:w="864"/>
          </w:tcPr>
          <w:p>
            <w:r>
              <w:rPr>
                <w:rFonts w:ascii="Consolas" w:hAnsi="Consolas"/>
                <w:b w:val="0"/>
                <w:i w:val="0"/>
                <w:strike w:val="0"/>
                <w:color w:val="303030"/>
                <w:sz w:val="19"/>
              </w:rPr>
              <w:t>P2-B3-E-TC-WTE</w:t>
            </w:r>
          </w:p>
        </w:tc>
        <w:tc>
          <w:tcPr>
            <w:tcW w:type="dxa" w:w="864"/>
          </w:tcPr>
          <w:p>
            <w:r>
              <w:rPr>
                <w:b w:val="0"/>
                <w:i w:val="0"/>
                <w:strike w:val="0"/>
              </w:rPr>
              <w:t>60 / 27.0</w:t>
            </w:r>
          </w:p>
        </w:tc>
        <w:tc>
          <w:tcPr>
            <w:tcW w:type="dxa" w:w="864"/>
          </w:tcPr>
          <w:p>
            <w:r>
              <w:rPr>
                <w:b w:val="0"/>
                <w:i w:val="0"/>
                <w:strike w:val="0"/>
              </w:rPr>
              <w:t>87</w:t>
            </w:r>
          </w:p>
        </w:tc>
        <w:tc>
          <w:tcPr>
            <w:tcW w:type="dxa" w:w="864"/>
          </w:tcPr>
          <w:p>
            <w:r>
              <w:rPr>
                <w:b w:val="0"/>
                <w:i w:val="0"/>
                <w:strike w:val="0"/>
              </w:rPr>
              <w:t>$78,000</w:t>
            </w:r>
          </w:p>
        </w:tc>
        <w:tc>
          <w:tcPr>
            <w:tcW w:type="dxa" w:w="864"/>
          </w:tcPr>
          <w:p>
            <w:r>
              <w:rPr>
                <w:b w:val="0"/>
                <w:i w:val="0"/>
                <w:strike w:val="0"/>
              </w:rPr>
              <w:t>3.00</w:t>
            </w:r>
          </w:p>
        </w:tc>
        <w:tc>
          <w:tcPr>
            <w:tcW w:type="dxa" w:w="864"/>
          </w:tcPr>
          <w:p>
            <w:r>
              <w:rPr>
                <w:b w:val="0"/>
                <w:i w:val="0"/>
                <w:strike w:val="0"/>
              </w:rPr>
              <w:t>$25,132</w:t>
            </w:r>
          </w:p>
        </w:tc>
        <w:tc>
          <w:tcPr>
            <w:tcW w:type="dxa" w:w="864"/>
          </w:tcPr>
          <w:p>
            <w:r>
              <w:rPr>
                <w:b w:val="0"/>
                <w:i w:val="0"/>
                <w:strike w:val="0"/>
              </w:rPr>
              <w:t>1.50 yrs</w:t>
            </w:r>
          </w:p>
        </w:tc>
        <w:tc>
          <w:tcPr>
            <w:tcW w:type="dxa" w:w="864"/>
          </w:tcPr>
          <w:p>
            <w:r>
              <w:rPr>
                <w:b w:val="0"/>
                <w:i w:val="0"/>
                <w:strike w:val="0"/>
              </w:rPr>
              <w:t>$10,583</w:t>
            </w:r>
          </w:p>
        </w:tc>
        <w:tc>
          <w:tcPr>
            <w:tcW w:type="dxa" w:w="864"/>
          </w:tcPr>
          <w:p>
            <w:r>
              <w:rPr>
                <w:b w:val="0"/>
                <w:i w:val="0"/>
                <w:strike w:val="0"/>
              </w:rPr>
              <w:t>−$14,549</w:t>
            </w:r>
          </w:p>
        </w:tc>
        <w:tc>
          <w:tcPr>
            <w:tcW w:type="dxa" w:w="864"/>
          </w:tcPr>
          <w:p>
            <w:r>
              <w:rPr>
                <w:b w:val="0"/>
                <w:i w:val="0"/>
                <w:strike w:val="0"/>
              </w:rPr>
              <w:t>237.5%</w:t>
            </w:r>
          </w:p>
        </w:tc>
      </w:tr>
      <w:tr>
        <w:tc>
          <w:tcPr>
            <w:tcW w:type="dxa" w:w="864"/>
          </w:tcPr>
          <w:p>
            <w:r>
              <w:rPr>
                <w:rFonts w:ascii="Consolas" w:hAnsi="Consolas"/>
                <w:b w:val="0"/>
                <w:i w:val="0"/>
                <w:strike w:val="0"/>
                <w:color w:val="303030"/>
                <w:sz w:val="19"/>
              </w:rPr>
              <w:t>P2-B3-F-PS-SUB</w:t>
            </w:r>
          </w:p>
        </w:tc>
        <w:tc>
          <w:tcPr>
            <w:tcW w:type="dxa" w:w="864"/>
          </w:tcPr>
          <w:p>
            <w:r>
              <w:rPr>
                <w:b w:val="0"/>
                <w:i w:val="0"/>
                <w:strike w:val="0"/>
              </w:rPr>
              <w:t>64 / 22.0</w:t>
            </w:r>
          </w:p>
        </w:tc>
        <w:tc>
          <w:tcPr>
            <w:tcW w:type="dxa" w:w="864"/>
          </w:tcPr>
          <w:p>
            <w:r>
              <w:rPr>
                <w:b w:val="0"/>
                <w:i w:val="0"/>
                <w:strike w:val="0"/>
              </w:rPr>
              <w:t>86</w:t>
            </w:r>
          </w:p>
        </w:tc>
        <w:tc>
          <w:tcPr>
            <w:tcW w:type="dxa" w:w="864"/>
          </w:tcPr>
          <w:p>
            <w:r>
              <w:rPr>
                <w:b w:val="0"/>
                <w:i w:val="0"/>
                <w:strike w:val="0"/>
              </w:rPr>
              <w:t>$76,000</w:t>
            </w:r>
          </w:p>
        </w:tc>
        <w:tc>
          <w:tcPr>
            <w:tcW w:type="dxa" w:w="864"/>
          </w:tcPr>
          <w:p>
            <w:r>
              <w:rPr>
                <w:b w:val="0"/>
                <w:i w:val="0"/>
                <w:strike w:val="0"/>
              </w:rPr>
              <w:t>4.00</w:t>
            </w:r>
          </w:p>
        </w:tc>
        <w:tc>
          <w:tcPr>
            <w:tcW w:type="dxa" w:w="864"/>
          </w:tcPr>
          <w:p>
            <w:r>
              <w:rPr>
                <w:b w:val="0"/>
                <w:i w:val="0"/>
                <w:strike w:val="0"/>
              </w:rPr>
              <w:t>$32,650</w:t>
            </w:r>
          </w:p>
        </w:tc>
        <w:tc>
          <w:tcPr>
            <w:tcW w:type="dxa" w:w="864"/>
          </w:tcPr>
          <w:p>
            <w:r>
              <w:rPr>
                <w:b w:val="0"/>
                <w:i w:val="0"/>
                <w:strike w:val="0"/>
              </w:rPr>
              <w:t>2.00 yrs</w:t>
            </w:r>
          </w:p>
        </w:tc>
        <w:tc>
          <w:tcPr>
            <w:tcW w:type="dxa" w:w="864"/>
          </w:tcPr>
          <w:p>
            <w:r>
              <w:rPr>
                <w:b w:val="0"/>
                <w:i w:val="0"/>
                <w:strike w:val="0"/>
              </w:rPr>
              <w:t>$41,572</w:t>
            </w:r>
          </w:p>
        </w:tc>
        <w:tc>
          <w:tcPr>
            <w:tcW w:type="dxa" w:w="864"/>
          </w:tcPr>
          <w:p>
            <w:r>
              <w:rPr>
                <w:b w:val="0"/>
                <w:i w:val="0"/>
                <w:strike w:val="0"/>
              </w:rPr>
              <w:t>+$8,923</w:t>
            </w:r>
          </w:p>
        </w:tc>
        <w:tc>
          <w:tcPr>
            <w:tcW w:type="dxa" w:w="864"/>
          </w:tcPr>
          <w:p>
            <w:r>
              <w:rPr>
                <w:b w:val="0"/>
                <w:i w:val="0"/>
                <w:strike w:val="0"/>
              </w:rPr>
              <w:t>78.5%</w:t>
            </w:r>
          </w:p>
        </w:tc>
      </w:tr>
      <w:tr>
        <w:tc>
          <w:tcPr>
            <w:tcW w:type="dxa" w:w="864"/>
          </w:tcPr>
          <w:p>
            <w:r>
              <w:rPr>
                <w:rFonts w:ascii="Consolas" w:hAnsi="Consolas"/>
                <w:b w:val="0"/>
                <w:i w:val="0"/>
                <w:strike w:val="0"/>
                <w:color w:val="303030"/>
                <w:sz w:val="19"/>
              </w:rPr>
              <w:t>P2-B3-F-PS-WTE</w:t>
            </w:r>
          </w:p>
        </w:tc>
        <w:tc>
          <w:tcPr>
            <w:tcW w:type="dxa" w:w="864"/>
          </w:tcPr>
          <w:p>
            <w:r>
              <w:rPr>
                <w:b w:val="0"/>
                <w:i w:val="0"/>
                <w:strike w:val="0"/>
              </w:rPr>
              <w:t>64 / 22.0</w:t>
            </w:r>
          </w:p>
        </w:tc>
        <w:tc>
          <w:tcPr>
            <w:tcW w:type="dxa" w:w="864"/>
          </w:tcPr>
          <w:p>
            <w:r>
              <w:rPr>
                <w:b w:val="0"/>
                <w:i w:val="0"/>
                <w:strike w:val="0"/>
              </w:rPr>
              <w:t>86</w:t>
            </w:r>
          </w:p>
        </w:tc>
        <w:tc>
          <w:tcPr>
            <w:tcW w:type="dxa" w:w="864"/>
          </w:tcPr>
          <w:p>
            <w:r>
              <w:rPr>
                <w:b w:val="0"/>
                <w:i w:val="0"/>
                <w:strike w:val="0"/>
              </w:rPr>
              <w:t>$76,000</w:t>
            </w:r>
          </w:p>
        </w:tc>
        <w:tc>
          <w:tcPr>
            <w:tcW w:type="dxa" w:w="864"/>
          </w:tcPr>
          <w:p>
            <w:r>
              <w:rPr>
                <w:b w:val="0"/>
                <w:i w:val="0"/>
                <w:strike w:val="0"/>
              </w:rPr>
              <w:t>4.00</w:t>
            </w:r>
          </w:p>
        </w:tc>
        <w:tc>
          <w:tcPr>
            <w:tcW w:type="dxa" w:w="864"/>
          </w:tcPr>
          <w:p>
            <w:r>
              <w:rPr>
                <w:b w:val="0"/>
                <w:i w:val="0"/>
                <w:strike w:val="0"/>
              </w:rPr>
              <w:t>$32,650</w:t>
            </w:r>
          </w:p>
        </w:tc>
        <w:tc>
          <w:tcPr>
            <w:tcW w:type="dxa" w:w="864"/>
          </w:tcPr>
          <w:p>
            <w:r>
              <w:rPr>
                <w:b w:val="0"/>
                <w:i w:val="0"/>
                <w:strike w:val="0"/>
              </w:rPr>
              <w:t>2.00 yrs</w:t>
            </w:r>
          </w:p>
        </w:tc>
        <w:tc>
          <w:tcPr>
            <w:tcW w:type="dxa" w:w="864"/>
          </w:tcPr>
          <w:p>
            <w:r>
              <w:rPr>
                <w:b w:val="0"/>
                <w:i w:val="0"/>
                <w:strike w:val="0"/>
              </w:rPr>
              <w:t>$9,821</w:t>
            </w:r>
          </w:p>
        </w:tc>
        <w:tc>
          <w:tcPr>
            <w:tcW w:type="dxa" w:w="864"/>
          </w:tcPr>
          <w:p>
            <w:r>
              <w:rPr>
                <w:b w:val="0"/>
                <w:i w:val="0"/>
                <w:strike w:val="0"/>
              </w:rPr>
              <w:t>−$22,829</w:t>
            </w:r>
          </w:p>
        </w:tc>
        <w:tc>
          <w:tcPr>
            <w:tcW w:type="dxa" w:w="864"/>
          </w:tcPr>
          <w:p>
            <w:r>
              <w:rPr>
                <w:b w:val="0"/>
                <w:i w:val="0"/>
                <w:strike w:val="0"/>
              </w:rPr>
              <w:t>332.4%</w:t>
            </w:r>
          </w:p>
        </w:tc>
      </w:tr>
    </w:tbl>
    <w:p/>
    <w:p>
      <w:r>
        <w:rPr>
          <w:b/>
          <w:i w:val="0"/>
          <w:strike w:val="0"/>
        </w:rPr>
        <w:t>Plan 2 is priced far closer to value than Plan 1</w:t>
      </w:r>
      <w:r>
        <w:rPr>
          <w:b w:val="0"/>
          <w:i w:val="0"/>
          <w:strike w:val="0"/>
        </w:rPr>
        <w:t xml:space="preserve"> — 56% to 79% recovery versus 11% to 29% — for three compounding reasons: the two-points-per-year asymmetry halves the acceleration; the 10.74% rate is only 14% below the Plan 1 rate; and Plan 2's 60-month AFC and 2.25% COLA both reduce the annuity value relative to Plan 1's 36-month AFC and 2.50% COLA.</w:t>
      </w:r>
    </w:p>
    <w:p>
      <w:r>
        <w:rPr>
          <w:b w:val="0"/>
          <w:i w:val="0"/>
          <w:strike w:val="0"/>
        </w:rPr>
        <w:t xml:space="preserve">The Plan 2 </w:t>
      </w:r>
      <w:r>
        <w:rPr>
          <w:rFonts w:ascii="Consolas" w:hAnsi="Consolas"/>
          <w:b w:val="0"/>
          <w:i w:val="0"/>
          <w:strike w:val="0"/>
          <w:color w:val="303030"/>
          <w:sz w:val="19"/>
        </w:rPr>
        <w:t>SUB</w:t>
      </w:r>
      <w:r>
        <w:rPr>
          <w:b w:val="0"/>
          <w:i w:val="0"/>
          <w:strike w:val="0"/>
        </w:rPr>
        <w:t xml:space="preserve"> comparator uses a documented </w:t>
      </w:r>
      <w:r>
        <w:rPr>
          <w:b/>
          <w:i w:val="0"/>
          <w:strike w:val="0"/>
        </w:rPr>
        <w:t>proxy</w:t>
      </w:r>
      <w:r>
        <w:rPr>
          <w:b w:val="0"/>
          <w:i w:val="0"/>
          <w:strike w:val="0"/>
        </w:rPr>
        <w:t xml:space="preserve"> (ASM-09) for the 60/5 reduction, because VRS does not publish the numeric Plan 2 factor table. Below age 60 no proxy is needed and none is used: a Plan 2 member under 60 cannot retire at all under current law, so the comparator is the deferred allowance.</w:t>
      </w:r>
    </w:p>
    <w:p>
      <w:pPr>
        <w:pStyle w:val="Heading3"/>
      </w:pPr>
      <w:r>
        <w:rPr>
          <w:b w:val="0"/>
          <w:i w:val="0"/>
          <w:strike w:val="0"/>
        </w:rPr>
        <w:t>5.3 The work-to-eligibility decomposition</w:t>
      </w:r>
    </w:p>
    <w:p>
      <w:r>
        <w:rPr>
          <w:b w:val="0"/>
          <w:i w:val="0"/>
          <w:strike w:val="0"/>
        </w:rPr>
        <w:t xml:space="preserve">Full detail: </w:t>
      </w:r>
      <w:r>
        <w:rPr>
          <w:rFonts w:ascii="Consolas" w:hAnsi="Consolas"/>
          <w:b w:val="0"/>
          <w:i w:val="0"/>
          <w:strike w:val="0"/>
          <w:color w:val="303030"/>
          <w:sz w:val="19"/>
        </w:rPr>
        <w:t>fiscal-model/out/T2-wte-decomposition.csv</w:t>
      </w:r>
      <w:r>
        <w:rPr>
          <w:b w:val="0"/>
          <w:i w:val="0"/>
          <w:strike w:val="0"/>
        </w:rPr>
        <w:t>. This is the table a VRS actuary will recognise.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trike w:val="0"/>
              </w:rPr>
              <w:t>Scenario</w:t>
            </w:r>
          </w:p>
        </w:tc>
        <w:tc>
          <w:tcPr>
            <w:tcW w:type="dxa" w:w="1440"/>
          </w:tcPr>
          <w:p>
            <w:r>
              <w:rPr>
                <w:b/>
                <w:i w:val="0"/>
                <w:strike w:val="0"/>
              </w:rPr>
              <w:t>Member payment received</w:t>
            </w:r>
          </w:p>
        </w:tc>
        <w:tc>
          <w:tcPr>
            <w:tcW w:type="dxa" w:w="1440"/>
          </w:tcPr>
          <w:p>
            <w:r>
              <w:rPr>
                <w:b/>
                <w:i w:val="0"/>
                <w:strike w:val="0"/>
              </w:rPr>
              <w:t>Increase in PV of benefit stream</w:t>
            </w:r>
          </w:p>
        </w:tc>
        <w:tc>
          <w:tcPr>
            <w:tcW w:type="dxa" w:w="1440"/>
          </w:tcPr>
          <w:p>
            <w:r>
              <w:rPr>
                <w:b/>
                <w:i w:val="0"/>
                <w:strike w:val="0"/>
              </w:rPr>
              <w:t>Member overpayment</w:t>
            </w:r>
          </w:p>
        </w:tc>
        <w:tc>
          <w:tcPr>
            <w:tcW w:type="dxa" w:w="1440"/>
          </w:tcPr>
          <w:p>
            <w:r>
              <w:rPr>
                <w:b/>
                <w:i w:val="0"/>
                <w:strike w:val="0"/>
              </w:rPr>
              <w:t>PV of total normal cost forgone</w:t>
            </w:r>
          </w:p>
        </w:tc>
        <w:tc>
          <w:tcPr>
            <w:tcW w:type="dxa" w:w="1440"/>
          </w:tcPr>
          <w:p>
            <w:r>
              <w:rPr>
                <w:b/>
                <w:i w:val="0"/>
                <w:strike w:val="0"/>
              </w:rPr>
              <w:t>Net charge to the plan if the position is not refilled</w:t>
            </w:r>
          </w:p>
        </w:tc>
      </w:tr>
      <w:tr>
        <w:tc>
          <w:tcPr>
            <w:tcW w:type="dxa" w:w="1440"/>
          </w:tcPr>
          <w:p>
            <w:r>
              <w:rPr>
                <w:rFonts w:ascii="Consolas" w:hAnsi="Consolas"/>
                <w:b w:val="0"/>
                <w:i w:val="0"/>
                <w:strike w:val="0"/>
                <w:color w:val="303030"/>
                <w:sz w:val="19"/>
              </w:rPr>
              <w:t>P1-B2-A-ST-WTE</w:t>
            </w:r>
          </w:p>
        </w:tc>
        <w:tc>
          <w:tcPr>
            <w:tcW w:type="dxa" w:w="1440"/>
          </w:tcPr>
          <w:p>
            <w:r>
              <w:rPr>
                <w:b w:val="0"/>
                <w:i w:val="0"/>
                <w:strike w:val="0"/>
              </w:rPr>
              <w:t>$42,500</w:t>
            </w:r>
          </w:p>
        </w:tc>
        <w:tc>
          <w:tcPr>
            <w:tcW w:type="dxa" w:w="1440"/>
          </w:tcPr>
          <w:p>
            <w:r>
              <w:rPr>
                <w:b w:val="0"/>
                <w:i w:val="0"/>
                <w:strike w:val="0"/>
              </w:rPr>
              <w:t>$21,000</w:t>
            </w:r>
          </w:p>
        </w:tc>
        <w:tc>
          <w:tcPr>
            <w:tcW w:type="dxa" w:w="1440"/>
          </w:tcPr>
          <w:p>
            <w:r>
              <w:rPr>
                <w:b w:val="0"/>
                <w:i w:val="0"/>
                <w:strike w:val="0"/>
              </w:rPr>
              <w:t>$21,500</w:t>
            </w:r>
          </w:p>
        </w:tc>
        <w:tc>
          <w:tcPr>
            <w:tcW w:type="dxa" w:w="1440"/>
          </w:tcPr>
          <w:p>
            <w:r>
              <w:rPr>
                <w:b w:val="0"/>
                <w:i w:val="0"/>
                <w:strike w:val="0"/>
              </w:rPr>
              <w:t>$28,354</w:t>
            </w:r>
          </w:p>
        </w:tc>
        <w:tc>
          <w:tcPr>
            <w:tcW w:type="dxa" w:w="1440"/>
          </w:tcPr>
          <w:p>
            <w:r>
              <w:rPr>
                <w:b/>
                <w:i w:val="0"/>
                <w:strike w:val="0"/>
              </w:rPr>
              <w:t>+$6,853</w:t>
            </w:r>
            <w:r>
              <w:rPr>
                <w:b w:val="0"/>
                <w:i w:val="0"/>
                <w:strike w:val="0"/>
              </w:rPr>
              <w:t xml:space="preserve"> cost</w:t>
            </w:r>
          </w:p>
        </w:tc>
      </w:tr>
      <w:tr>
        <w:tc>
          <w:tcPr>
            <w:tcW w:type="dxa" w:w="1440"/>
          </w:tcPr>
          <w:p>
            <w:r>
              <w:rPr>
                <w:rFonts w:ascii="Consolas" w:hAnsi="Consolas"/>
                <w:b w:val="0"/>
                <w:i w:val="0"/>
                <w:strike w:val="0"/>
                <w:color w:val="303030"/>
                <w:sz w:val="19"/>
              </w:rPr>
              <w:t>P1-B2-B-TC-WTE</w:t>
            </w:r>
          </w:p>
        </w:tc>
        <w:tc>
          <w:tcPr>
            <w:tcW w:type="dxa" w:w="1440"/>
          </w:tcPr>
          <w:p>
            <w:r>
              <w:rPr>
                <w:b w:val="0"/>
                <w:i w:val="0"/>
                <w:strike w:val="0"/>
              </w:rPr>
              <w:t>$20,000</w:t>
            </w:r>
          </w:p>
        </w:tc>
        <w:tc>
          <w:tcPr>
            <w:tcW w:type="dxa" w:w="1440"/>
          </w:tcPr>
          <w:p>
            <w:r>
              <w:rPr>
                <w:b w:val="0"/>
                <w:i w:val="0"/>
                <w:strike w:val="0"/>
              </w:rPr>
              <w:t>$13,994</w:t>
            </w:r>
          </w:p>
        </w:tc>
        <w:tc>
          <w:tcPr>
            <w:tcW w:type="dxa" w:w="1440"/>
          </w:tcPr>
          <w:p>
            <w:r>
              <w:rPr>
                <w:b w:val="0"/>
                <w:i w:val="0"/>
                <w:strike w:val="0"/>
              </w:rPr>
              <w:t>$6,006</w:t>
            </w:r>
          </w:p>
        </w:tc>
        <w:tc>
          <w:tcPr>
            <w:tcW w:type="dxa" w:w="1440"/>
          </w:tcPr>
          <w:p>
            <w:r>
              <w:rPr>
                <w:b w:val="0"/>
                <w:i w:val="0"/>
                <w:strike w:val="0"/>
              </w:rPr>
              <w:t>$14,527</w:t>
            </w:r>
          </w:p>
        </w:tc>
        <w:tc>
          <w:tcPr>
            <w:tcW w:type="dxa" w:w="1440"/>
          </w:tcPr>
          <w:p>
            <w:r>
              <w:rPr>
                <w:b/>
                <w:i w:val="0"/>
                <w:strike w:val="0"/>
              </w:rPr>
              <w:t>+$8,521</w:t>
            </w:r>
            <w:r>
              <w:rPr>
                <w:b w:val="0"/>
                <w:i w:val="0"/>
                <w:strike w:val="0"/>
              </w:rPr>
              <w:t xml:space="preserve"> cost</w:t>
            </w:r>
          </w:p>
        </w:tc>
      </w:tr>
      <w:tr>
        <w:tc>
          <w:tcPr>
            <w:tcW w:type="dxa" w:w="1440"/>
          </w:tcPr>
          <w:p>
            <w:r>
              <w:rPr>
                <w:rFonts w:ascii="Consolas" w:hAnsi="Consolas"/>
                <w:b w:val="0"/>
                <w:i w:val="0"/>
                <w:strike w:val="0"/>
                <w:color w:val="303030"/>
                <w:sz w:val="19"/>
              </w:rPr>
              <w:t>P1-B2-C-PS-WTE</w:t>
            </w:r>
          </w:p>
        </w:tc>
        <w:tc>
          <w:tcPr>
            <w:tcW w:type="dxa" w:w="1440"/>
          </w:tcPr>
          <w:p>
            <w:r>
              <w:rPr>
                <w:b w:val="0"/>
                <w:i w:val="0"/>
                <w:strike w:val="0"/>
              </w:rPr>
              <w:t>$27,000</w:t>
            </w:r>
          </w:p>
        </w:tc>
        <w:tc>
          <w:tcPr>
            <w:tcW w:type="dxa" w:w="1440"/>
          </w:tcPr>
          <w:p>
            <w:r>
              <w:rPr>
                <w:b w:val="0"/>
                <w:i w:val="0"/>
                <w:strike w:val="0"/>
              </w:rPr>
              <w:t>$21,273</w:t>
            </w:r>
          </w:p>
        </w:tc>
        <w:tc>
          <w:tcPr>
            <w:tcW w:type="dxa" w:w="1440"/>
          </w:tcPr>
          <w:p>
            <w:r>
              <w:rPr>
                <w:b w:val="0"/>
                <w:i w:val="0"/>
                <w:strike w:val="0"/>
              </w:rPr>
              <w:t>$5,727</w:t>
            </w:r>
          </w:p>
        </w:tc>
        <w:tc>
          <w:tcPr>
            <w:tcW w:type="dxa" w:w="1440"/>
          </w:tcPr>
          <w:p>
            <w:r>
              <w:rPr>
                <w:b w:val="0"/>
                <w:i w:val="0"/>
                <w:strike w:val="0"/>
              </w:rPr>
              <w:t>$26,501</w:t>
            </w:r>
          </w:p>
        </w:tc>
        <w:tc>
          <w:tcPr>
            <w:tcW w:type="dxa" w:w="1440"/>
          </w:tcPr>
          <w:p>
            <w:r>
              <w:rPr>
                <w:b/>
                <w:i w:val="0"/>
                <w:strike w:val="0"/>
              </w:rPr>
              <w:t>+$20,774</w:t>
            </w:r>
            <w:r>
              <w:rPr>
                <w:b w:val="0"/>
                <w:i w:val="0"/>
                <w:strike w:val="0"/>
              </w:rPr>
              <w:t xml:space="preserve"> cost</w:t>
            </w:r>
          </w:p>
        </w:tc>
      </w:tr>
      <w:tr>
        <w:tc>
          <w:tcPr>
            <w:tcW w:type="dxa" w:w="1440"/>
          </w:tcPr>
          <w:p>
            <w:r>
              <w:rPr>
                <w:rFonts w:ascii="Consolas" w:hAnsi="Consolas"/>
                <w:b w:val="0"/>
                <w:i w:val="0"/>
                <w:strike w:val="0"/>
                <w:color w:val="303030"/>
                <w:sz w:val="19"/>
              </w:rPr>
              <w:t>P2-B3-D-ST-WTE</w:t>
            </w:r>
          </w:p>
        </w:tc>
        <w:tc>
          <w:tcPr>
            <w:tcW w:type="dxa" w:w="1440"/>
          </w:tcPr>
          <w:p>
            <w:r>
              <w:rPr>
                <w:b w:val="0"/>
                <w:i w:val="0"/>
                <w:strike w:val="0"/>
              </w:rPr>
              <w:t>$38,664</w:t>
            </w:r>
          </w:p>
        </w:tc>
        <w:tc>
          <w:tcPr>
            <w:tcW w:type="dxa" w:w="1440"/>
          </w:tcPr>
          <w:p>
            <w:r>
              <w:rPr>
                <w:b w:val="0"/>
                <w:i w:val="0"/>
                <w:strike w:val="0"/>
              </w:rPr>
              <w:t>$14,111</w:t>
            </w:r>
          </w:p>
        </w:tc>
        <w:tc>
          <w:tcPr>
            <w:tcW w:type="dxa" w:w="1440"/>
          </w:tcPr>
          <w:p>
            <w:r>
              <w:rPr>
                <w:b w:val="0"/>
                <w:i w:val="0"/>
                <w:strike w:val="0"/>
              </w:rPr>
              <w:t>$24,553</w:t>
            </w:r>
          </w:p>
        </w:tc>
        <w:tc>
          <w:tcPr>
            <w:tcW w:type="dxa" w:w="1440"/>
          </w:tcPr>
          <w:p>
            <w:r>
              <w:rPr>
                <w:b w:val="0"/>
                <w:i w:val="0"/>
                <w:strike w:val="0"/>
              </w:rPr>
              <w:t>$15,475</w:t>
            </w:r>
          </w:p>
        </w:tc>
        <w:tc>
          <w:tcPr>
            <w:tcW w:type="dxa" w:w="1440"/>
          </w:tcPr>
          <w:p>
            <w:r>
              <w:rPr>
                <w:b/>
                <w:i w:val="0"/>
                <w:strike w:val="0"/>
              </w:rPr>
              <w:t>−$9,078</w:t>
            </w:r>
            <w:r>
              <w:rPr>
                <w:b w:val="0"/>
                <w:i w:val="0"/>
                <w:strike w:val="0"/>
              </w:rPr>
              <w:t xml:space="preserve"> gain</w:t>
            </w:r>
          </w:p>
        </w:tc>
      </w:tr>
      <w:tr>
        <w:tc>
          <w:tcPr>
            <w:tcW w:type="dxa" w:w="1440"/>
          </w:tcPr>
          <w:p>
            <w:r>
              <w:rPr>
                <w:rFonts w:ascii="Consolas" w:hAnsi="Consolas"/>
                <w:b w:val="0"/>
                <w:i w:val="0"/>
                <w:strike w:val="0"/>
                <w:color w:val="303030"/>
                <w:sz w:val="19"/>
              </w:rPr>
              <w:t>P2-B3-E-TC-WTE</w:t>
            </w:r>
          </w:p>
        </w:tc>
        <w:tc>
          <w:tcPr>
            <w:tcW w:type="dxa" w:w="1440"/>
          </w:tcPr>
          <w:p>
            <w:r>
              <w:rPr>
                <w:b w:val="0"/>
                <w:i w:val="0"/>
                <w:strike w:val="0"/>
              </w:rPr>
              <w:t>$25,132</w:t>
            </w:r>
          </w:p>
        </w:tc>
        <w:tc>
          <w:tcPr>
            <w:tcW w:type="dxa" w:w="1440"/>
          </w:tcPr>
          <w:p>
            <w:r>
              <w:rPr>
                <w:b w:val="0"/>
                <w:i w:val="0"/>
                <w:strike w:val="0"/>
              </w:rPr>
              <w:t>$10,583</w:t>
            </w:r>
          </w:p>
        </w:tc>
        <w:tc>
          <w:tcPr>
            <w:tcW w:type="dxa" w:w="1440"/>
          </w:tcPr>
          <w:p>
            <w:r>
              <w:rPr>
                <w:b w:val="0"/>
                <w:i w:val="0"/>
                <w:strike w:val="0"/>
              </w:rPr>
              <w:t>$14,549</w:t>
            </w:r>
          </w:p>
        </w:tc>
        <w:tc>
          <w:tcPr>
            <w:tcW w:type="dxa" w:w="1440"/>
          </w:tcPr>
          <w:p>
            <w:r>
              <w:rPr>
                <w:b w:val="0"/>
                <w:i w:val="0"/>
                <w:strike w:val="0"/>
              </w:rPr>
              <w:t>$10,678</w:t>
            </w:r>
          </w:p>
        </w:tc>
        <w:tc>
          <w:tcPr>
            <w:tcW w:type="dxa" w:w="1440"/>
          </w:tcPr>
          <w:p>
            <w:r>
              <w:rPr>
                <w:b/>
                <w:i w:val="0"/>
                <w:strike w:val="0"/>
              </w:rPr>
              <w:t>−$3,871</w:t>
            </w:r>
            <w:r>
              <w:rPr>
                <w:b w:val="0"/>
                <w:i w:val="0"/>
                <w:strike w:val="0"/>
              </w:rPr>
              <w:t xml:space="preserve"> gain</w:t>
            </w:r>
          </w:p>
        </w:tc>
      </w:tr>
      <w:tr>
        <w:tc>
          <w:tcPr>
            <w:tcW w:type="dxa" w:w="1440"/>
          </w:tcPr>
          <w:p>
            <w:r>
              <w:rPr>
                <w:rFonts w:ascii="Consolas" w:hAnsi="Consolas"/>
                <w:b w:val="0"/>
                <w:i w:val="0"/>
                <w:strike w:val="0"/>
                <w:color w:val="303030"/>
                <w:sz w:val="19"/>
              </w:rPr>
              <w:t>P2-B3-F-PS-WTE</w:t>
            </w:r>
          </w:p>
        </w:tc>
        <w:tc>
          <w:tcPr>
            <w:tcW w:type="dxa" w:w="1440"/>
          </w:tcPr>
          <w:p>
            <w:r>
              <w:rPr>
                <w:b w:val="0"/>
                <w:i w:val="0"/>
                <w:strike w:val="0"/>
              </w:rPr>
              <w:t>$32,650</w:t>
            </w:r>
          </w:p>
        </w:tc>
        <w:tc>
          <w:tcPr>
            <w:tcW w:type="dxa" w:w="1440"/>
          </w:tcPr>
          <w:p>
            <w:r>
              <w:rPr>
                <w:b w:val="0"/>
                <w:i w:val="0"/>
                <w:strike w:val="0"/>
              </w:rPr>
              <w:t>$9,821</w:t>
            </w:r>
          </w:p>
        </w:tc>
        <w:tc>
          <w:tcPr>
            <w:tcW w:type="dxa" w:w="1440"/>
          </w:tcPr>
          <w:p>
            <w:r>
              <w:rPr>
                <w:b w:val="0"/>
                <w:i w:val="0"/>
                <w:strike w:val="0"/>
              </w:rPr>
              <w:t>$22,829</w:t>
            </w:r>
          </w:p>
        </w:tc>
        <w:tc>
          <w:tcPr>
            <w:tcW w:type="dxa" w:w="1440"/>
          </w:tcPr>
          <w:p>
            <w:r>
              <w:rPr>
                <w:b w:val="0"/>
                <w:i w:val="0"/>
                <w:strike w:val="0"/>
              </w:rPr>
              <w:t>$18,935</w:t>
            </w:r>
          </w:p>
        </w:tc>
        <w:tc>
          <w:tcPr>
            <w:tcW w:type="dxa" w:w="1440"/>
          </w:tcPr>
          <w:p>
            <w:r>
              <w:rPr>
                <w:b/>
                <w:i w:val="0"/>
                <w:strike w:val="0"/>
              </w:rPr>
              <w:t>−$3,893</w:t>
            </w:r>
            <w:r>
              <w:rPr>
                <w:b w:val="0"/>
                <w:i w:val="0"/>
                <w:strike w:val="0"/>
              </w:rPr>
              <w:t xml:space="preserve"> gain</w:t>
            </w:r>
          </w:p>
        </w:tc>
      </w:tr>
      <w:tr>
        <w:tc>
          <w:tcPr>
            <w:tcW w:type="dxa" w:w="1440"/>
          </w:tcPr>
          <w:p>
            <w:r>
              <w:rPr>
                <w:rFonts w:ascii="Consolas" w:hAnsi="Consolas"/>
                <w:b w:val="0"/>
                <w:i w:val="0"/>
                <w:strike w:val="0"/>
                <w:color w:val="303030"/>
                <w:sz w:val="19"/>
              </w:rPr>
              <w:t>HY-B3-G-ST-WTE</w:t>
            </w:r>
          </w:p>
        </w:tc>
        <w:tc>
          <w:tcPr>
            <w:tcW w:type="dxa" w:w="1440"/>
          </w:tcPr>
          <w:p>
            <w:r>
              <w:rPr>
                <w:b w:val="0"/>
                <w:i w:val="0"/>
                <w:strike w:val="0"/>
              </w:rPr>
              <w:t>$22,712</w:t>
            </w:r>
          </w:p>
        </w:tc>
        <w:tc>
          <w:tcPr>
            <w:tcW w:type="dxa" w:w="1440"/>
          </w:tcPr>
          <w:p>
            <w:r>
              <w:rPr>
                <w:b w:val="0"/>
                <w:i w:val="0"/>
                <w:strike w:val="0"/>
              </w:rPr>
              <w:t>$2,035</w:t>
            </w:r>
          </w:p>
        </w:tc>
        <w:tc>
          <w:tcPr>
            <w:tcW w:type="dxa" w:w="1440"/>
          </w:tcPr>
          <w:p>
            <w:r>
              <w:rPr>
                <w:b w:val="0"/>
                <w:i w:val="0"/>
                <w:strike w:val="0"/>
              </w:rPr>
              <w:t>$20,677</w:t>
            </w:r>
          </w:p>
        </w:tc>
        <w:tc>
          <w:tcPr>
            <w:tcW w:type="dxa" w:w="1440"/>
          </w:tcPr>
          <w:p>
            <w:r>
              <w:rPr>
                <w:b w:val="0"/>
                <w:i w:val="0"/>
                <w:strike w:val="0"/>
              </w:rPr>
              <w:t>$7,420</w:t>
            </w:r>
          </w:p>
        </w:tc>
        <w:tc>
          <w:tcPr>
            <w:tcW w:type="dxa" w:w="1440"/>
          </w:tcPr>
          <w:p>
            <w:r>
              <w:rPr>
                <w:b/>
                <w:i w:val="0"/>
                <w:strike w:val="0"/>
              </w:rPr>
              <w:t>−$13,257</w:t>
            </w:r>
            <w:r>
              <w:rPr>
                <w:b w:val="0"/>
                <w:i w:val="0"/>
                <w:strike w:val="0"/>
              </w:rPr>
              <w:t xml:space="preserve"> gain</w:t>
            </w:r>
          </w:p>
        </w:tc>
      </w:tr>
    </w:tbl>
    <w:p/>
    <w:p>
      <w:r>
        <w:rPr>
          <w:b w:val="0"/>
          <w:i w:val="0"/>
          <w:strike w:val="0"/>
        </w:rPr>
        <w:t xml:space="preserve">Read this carefully, because it is easy to misuse. The normal cost forgone is charged against the plan </w:t>
      </w:r>
      <w:r>
        <w:rPr>
          <w:b/>
          <w:i w:val="0"/>
          <w:strike w:val="0"/>
        </w:rPr>
        <w:t>only where the position is eliminated or held vacant.</w:t>
      </w:r>
      <w:r>
        <w:rPr>
          <w:b w:val="0"/>
          <w:i w:val="0"/>
          <w:strike w:val="0"/>
        </w:rPr>
        <w:t xml:space="preserve"> Where the position is refilled — the ordinary case in state government — the employer keeps paying contributions on that payroll and the plan does not lose them, so the correct measure is the liability column alone and </w:t>
      </w:r>
      <w:r>
        <w:rPr>
          <w:b/>
          <w:i w:val="0"/>
          <w:strike w:val="0"/>
        </w:rPr>
        <w:t>every profile is a net gain to the plan on this baseline.</w:t>
      </w:r>
      <w:r>
        <w:rPr>
          <w:b w:val="0"/>
          <w:i w:val="0"/>
          <w:strike w:val="0"/>
        </w:rPr>
        <w:t xml:space="preserve"> The aggregate tables default to the refilled case for that reason.</w:t>
      </w:r>
    </w:p>
    <w:p>
      <w:r>
        <w:rPr>
          <w:b w:val="0"/>
          <w:i w:val="0"/>
          <w:strike w:val="0"/>
        </w:rPr>
        <w:t>A second-order point in the plan's favour: a position vacated by a Plan 1 or Plan 2 member is refilled by a hybrid participant accruing at 1.00% rather than 1.70%, so refilling the position improves the plan's position further. The model does not take credit for that.</w:t>
      </w:r>
    </w:p>
    <w:p>
      <w:pPr>
        <w:jc w:val="center"/>
      </w:pPr>
      <w:r>
        <w:rPr>
          <w:color w:val="909090"/>
          <w:sz w:val="18"/>
        </w:rPr>
        <w:t>* * *</w:t>
      </w:r>
    </w:p>
    <w:p>
      <w:pPr>
        <w:pStyle w:val="Heading2"/>
      </w:pPr>
      <w:r>
        <w:rPr>
          <w:b w:val="0"/>
          <w:i w:val="0"/>
          <w:strike w:val="0"/>
        </w:rPr>
        <w:t>6. Deliverable 2 — affected population, FY2029 through FY2038</w:t>
      </w:r>
    </w:p>
    <w:p>
      <w:r>
        <w:rPr>
          <w:b w:val="0"/>
          <w:i w:val="0"/>
          <w:strike w:val="0"/>
        </w:rPr>
        <w:t xml:space="preserve">Full detail: </w:t>
      </w:r>
      <w:r>
        <w:rPr>
          <w:rFonts w:ascii="Consolas" w:hAnsi="Consolas"/>
          <w:b w:val="0"/>
          <w:i w:val="0"/>
          <w:strike w:val="0"/>
          <w:color w:val="303030"/>
          <w:sz w:val="19"/>
        </w:rPr>
        <w:t>fiscal-model/out/T3-population-by-fy.csv</w:t>
      </w:r>
      <w:r>
        <w:rPr>
          <w:b w:val="0"/>
          <w:i w:val="0"/>
          <w:strike w:val="0"/>
        </w:rPr>
        <w:t>. The bill takes effect July 1, 2028, so FY2029 is the first year of operation.</w:t>
      </w:r>
    </w:p>
    <w:p>
      <w:r>
        <w:rPr>
          <w:b w:val="0"/>
          <w:i w:val="0"/>
          <w:strike w:val="0"/>
        </w:rPr>
        <w:t xml:space="preserve">Built from VRS's published active-member tabulations by attained age and completed total service (SRC-18, June 30, 2025), with benefit structure inferred and </w:t>
      </w:r>
      <w:r>
        <w:rPr>
          <w:b/>
          <w:i w:val="0"/>
          <w:strike w:val="0"/>
        </w:rPr>
        <w:t>fitted to VRS's published Plan 1 / Plan 2 / Hybrid split</w:t>
      </w:r>
      <w:r>
        <w:rPr>
          <w:b w:val="0"/>
          <w:i w:val="0"/>
          <w:strike w:val="0"/>
        </w:rPr>
        <w:t xml:space="preserve"> (SRC-16) rather than assumed — see the reconciliation note in </w:t>
      </w:r>
      <w:r>
        <w:rPr>
          <w:rFonts w:ascii="Consolas" w:hAnsi="Consolas"/>
          <w:b w:val="0"/>
          <w:i w:val="0"/>
          <w:strike w:val="0"/>
          <w:color w:val="303030"/>
          <w:sz w:val="19"/>
        </w:rPr>
        <w:t>fiscal-model/README.md</w:t>
      </w:r>
      <w:r>
        <w:rPr>
          <w:b w:val="0"/>
          <w:i w:val="0"/>
          <w:strike w:val="0"/>
        </w:rPr>
        <w:t>, item R-1. The statutory screens in § 51.1-142.4 B 3, B 5, B 6 and C are applied cell by cell.</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i w:val="0"/>
                <w:strike w:val="0"/>
              </w:rPr>
              <w:t>Fiscal year</w:t>
            </w:r>
          </w:p>
        </w:tc>
        <w:tc>
          <w:tcPr>
            <w:tcW w:type="dxa" w:w="720"/>
          </w:tcPr>
          <w:p>
            <w:r>
              <w:rPr>
                <w:b/>
                <w:i w:val="0"/>
                <w:strike w:val="0"/>
              </w:rPr>
              <w:t>B 2 path (Plan 1)</w:t>
            </w:r>
          </w:p>
        </w:tc>
        <w:tc>
          <w:tcPr>
            <w:tcW w:type="dxa" w:w="720"/>
          </w:tcPr>
          <w:p>
            <w:r>
              <w:rPr>
                <w:b/>
                <w:i w:val="0"/>
                <w:strike w:val="0"/>
              </w:rPr>
              <w:t>B 3 path (Plan 2)</w:t>
            </w:r>
          </w:p>
        </w:tc>
        <w:tc>
          <w:tcPr>
            <w:tcW w:type="dxa" w:w="720"/>
          </w:tcPr>
          <w:p>
            <w:r>
              <w:rPr>
                <w:b/>
                <w:i w:val="0"/>
                <w:strike w:val="0"/>
              </w:rPr>
              <w:t>Total in four-point band</w:t>
            </w:r>
          </w:p>
        </w:tc>
        <w:tc>
          <w:tcPr>
            <w:tcW w:type="dxa" w:w="720"/>
          </w:tcPr>
          <w:p>
            <w:r>
              <w:rPr>
                <w:b/>
                <w:i w:val="0"/>
                <w:strike w:val="0"/>
              </w:rPr>
              <w:t>State</w:t>
            </w:r>
          </w:p>
        </w:tc>
        <w:tc>
          <w:tcPr>
            <w:tcW w:type="dxa" w:w="720"/>
          </w:tcPr>
          <w:p>
            <w:r>
              <w:rPr>
                <w:b/>
                <w:i w:val="0"/>
                <w:strike w:val="0"/>
              </w:rPr>
              <w:t>Teacher</w:t>
            </w:r>
          </w:p>
        </w:tc>
        <w:tc>
          <w:tcPr>
            <w:tcW w:type="dxa" w:w="720"/>
          </w:tcPr>
          <w:p>
            <w:r>
              <w:rPr>
                <w:b/>
                <w:i w:val="0"/>
                <w:strike w:val="0"/>
              </w:rPr>
              <w:t>Pol. subdiv.</w:t>
            </w:r>
          </w:p>
        </w:tc>
        <w:tc>
          <w:tcPr>
            <w:tcW w:type="dxa" w:w="720"/>
          </w:tcPr>
          <w:p>
            <w:r>
              <w:rPr>
                <w:b/>
                <w:i w:val="0"/>
                <w:strike w:val="0"/>
              </w:rPr>
              <w:t>Mean deficit</w:t>
            </w:r>
          </w:p>
        </w:tc>
        <w:tc>
          <w:tcPr>
            <w:tcW w:type="dxa" w:w="720"/>
          </w:tcPr>
          <w:p>
            <w:r>
              <w:rPr>
                <w:b/>
                <w:i w:val="0"/>
                <w:strike w:val="0"/>
              </w:rPr>
              <w:t>With purchasable service — low</w:t>
            </w:r>
          </w:p>
        </w:tc>
        <w:tc>
          <w:tcPr>
            <w:tcW w:type="dxa" w:w="720"/>
          </w:tcPr>
          <w:p>
            <w:r>
              <w:rPr>
                <w:b/>
                <w:i w:val="0"/>
                <w:strike w:val="0"/>
              </w:rPr>
              <w:t>central</w:t>
            </w:r>
          </w:p>
        </w:tc>
        <w:tc>
          <w:tcPr>
            <w:tcW w:type="dxa" w:w="720"/>
          </w:tcPr>
          <w:p>
            <w:r>
              <w:rPr>
                <w:b/>
                <w:i w:val="0"/>
                <w:strike w:val="0"/>
              </w:rPr>
              <w:t>high</w:t>
            </w:r>
          </w:p>
        </w:tc>
        <w:tc>
          <w:tcPr>
            <w:tcW w:type="dxa" w:w="720"/>
          </w:tcPr>
          <w:p>
            <w:r>
              <w:rPr>
                <w:b/>
                <w:i w:val="0"/>
                <w:strike w:val="0"/>
              </w:rPr>
              <w:t>Added if hybrid included</w:t>
            </w:r>
          </w:p>
        </w:tc>
      </w:tr>
      <w:tr>
        <w:tc>
          <w:tcPr>
            <w:tcW w:type="dxa" w:w="720"/>
          </w:tcPr>
          <w:p>
            <w:r>
              <w:rPr>
                <w:b w:val="0"/>
                <w:i w:val="0"/>
                <w:strike w:val="0"/>
              </w:rPr>
              <w:t>FY2029</w:t>
            </w:r>
          </w:p>
        </w:tc>
        <w:tc>
          <w:tcPr>
            <w:tcW w:type="dxa" w:w="720"/>
          </w:tcPr>
          <w:p>
            <w:r>
              <w:rPr>
                <w:b w:val="0"/>
                <w:i w:val="0"/>
                <w:strike w:val="0"/>
              </w:rPr>
              <w:t>14,238</w:t>
            </w:r>
          </w:p>
        </w:tc>
        <w:tc>
          <w:tcPr>
            <w:tcW w:type="dxa" w:w="720"/>
          </w:tcPr>
          <w:p>
            <w:r>
              <w:rPr>
                <w:b w:val="0"/>
                <w:i w:val="0"/>
                <w:strike w:val="0"/>
              </w:rPr>
              <w:t>0</w:t>
            </w:r>
          </w:p>
        </w:tc>
        <w:tc>
          <w:tcPr>
            <w:tcW w:type="dxa" w:w="720"/>
          </w:tcPr>
          <w:p>
            <w:r>
              <w:rPr>
                <w:b w:val="0"/>
                <w:i w:val="0"/>
                <w:strike w:val="0"/>
              </w:rPr>
              <w:t>14,238</w:t>
            </w:r>
          </w:p>
        </w:tc>
        <w:tc>
          <w:tcPr>
            <w:tcW w:type="dxa" w:w="720"/>
          </w:tcPr>
          <w:p>
            <w:r>
              <w:rPr>
                <w:b w:val="0"/>
                <w:i w:val="0"/>
                <w:strike w:val="0"/>
              </w:rPr>
              <w:t>2,554</w:t>
            </w:r>
          </w:p>
        </w:tc>
        <w:tc>
          <w:tcPr>
            <w:tcW w:type="dxa" w:w="720"/>
          </w:tcPr>
          <w:p>
            <w:r>
              <w:rPr>
                <w:b w:val="0"/>
                <w:i w:val="0"/>
                <w:strike w:val="0"/>
              </w:rPr>
              <w:t>9,656</w:t>
            </w:r>
          </w:p>
        </w:tc>
        <w:tc>
          <w:tcPr>
            <w:tcW w:type="dxa" w:w="720"/>
          </w:tcPr>
          <w:p>
            <w:r>
              <w:rPr>
                <w:b w:val="0"/>
                <w:i w:val="0"/>
                <w:strike w:val="0"/>
              </w:rPr>
              <w:t>2,028</w:t>
            </w:r>
          </w:p>
        </w:tc>
        <w:tc>
          <w:tcPr>
            <w:tcW w:type="dxa" w:w="720"/>
          </w:tcPr>
          <w:p>
            <w:r>
              <w:rPr>
                <w:b w:val="0"/>
                <w:i w:val="0"/>
                <w:strike w:val="0"/>
              </w:rPr>
              <w:t>2.23</w:t>
            </w:r>
          </w:p>
        </w:tc>
        <w:tc>
          <w:tcPr>
            <w:tcW w:type="dxa" w:w="720"/>
          </w:tcPr>
          <w:p>
            <w:r>
              <w:rPr>
                <w:b w:val="0"/>
                <w:i w:val="0"/>
                <w:strike w:val="0"/>
              </w:rPr>
              <w:t>93</w:t>
            </w:r>
          </w:p>
        </w:tc>
        <w:tc>
          <w:tcPr>
            <w:tcW w:type="dxa" w:w="720"/>
          </w:tcPr>
          <w:p>
            <w:r>
              <w:rPr>
                <w:b/>
                <w:i w:val="0"/>
                <w:strike w:val="0"/>
              </w:rPr>
              <w:t>246</w:t>
            </w:r>
          </w:p>
        </w:tc>
        <w:tc>
          <w:tcPr>
            <w:tcW w:type="dxa" w:w="720"/>
          </w:tcPr>
          <w:p>
            <w:r>
              <w:rPr>
                <w:b w:val="0"/>
                <w:i w:val="0"/>
                <w:strike w:val="0"/>
              </w:rPr>
              <w:t>578</w:t>
            </w:r>
          </w:p>
        </w:tc>
        <w:tc>
          <w:tcPr>
            <w:tcW w:type="dxa" w:w="720"/>
          </w:tcPr>
          <w:p>
            <w:r>
              <w:rPr>
                <w:b w:val="0"/>
                <w:i w:val="0"/>
                <w:strike w:val="0"/>
              </w:rPr>
              <w:t>0</w:t>
            </w:r>
          </w:p>
        </w:tc>
      </w:tr>
      <w:tr>
        <w:tc>
          <w:tcPr>
            <w:tcW w:type="dxa" w:w="720"/>
          </w:tcPr>
          <w:p>
            <w:r>
              <w:rPr>
                <w:b w:val="0"/>
                <w:i w:val="0"/>
                <w:strike w:val="0"/>
              </w:rPr>
              <w:t>FY2030</w:t>
            </w:r>
          </w:p>
        </w:tc>
        <w:tc>
          <w:tcPr>
            <w:tcW w:type="dxa" w:w="720"/>
          </w:tcPr>
          <w:p>
            <w:r>
              <w:rPr>
                <w:b w:val="0"/>
                <w:i w:val="0"/>
                <w:strike w:val="0"/>
              </w:rPr>
              <w:t>14,909</w:t>
            </w:r>
          </w:p>
        </w:tc>
        <w:tc>
          <w:tcPr>
            <w:tcW w:type="dxa" w:w="720"/>
          </w:tcPr>
          <w:p>
            <w:r>
              <w:rPr>
                <w:b w:val="0"/>
                <w:i w:val="0"/>
                <w:strike w:val="0"/>
              </w:rPr>
              <w:t>0</w:t>
            </w:r>
          </w:p>
        </w:tc>
        <w:tc>
          <w:tcPr>
            <w:tcW w:type="dxa" w:w="720"/>
          </w:tcPr>
          <w:p>
            <w:r>
              <w:rPr>
                <w:b w:val="0"/>
                <w:i w:val="0"/>
                <w:strike w:val="0"/>
              </w:rPr>
              <w:t>14,909</w:t>
            </w:r>
          </w:p>
        </w:tc>
        <w:tc>
          <w:tcPr>
            <w:tcW w:type="dxa" w:w="720"/>
          </w:tcPr>
          <w:p>
            <w:r>
              <w:rPr>
                <w:b w:val="0"/>
                <w:i w:val="0"/>
                <w:strike w:val="0"/>
              </w:rPr>
              <w:t>2,567</w:t>
            </w:r>
          </w:p>
        </w:tc>
        <w:tc>
          <w:tcPr>
            <w:tcW w:type="dxa" w:w="720"/>
          </w:tcPr>
          <w:p>
            <w:r>
              <w:rPr>
                <w:b w:val="0"/>
                <w:i w:val="0"/>
                <w:strike w:val="0"/>
              </w:rPr>
              <w:t>10,001</w:t>
            </w:r>
          </w:p>
        </w:tc>
        <w:tc>
          <w:tcPr>
            <w:tcW w:type="dxa" w:w="720"/>
          </w:tcPr>
          <w:p>
            <w:r>
              <w:rPr>
                <w:b w:val="0"/>
                <w:i w:val="0"/>
                <w:strike w:val="0"/>
              </w:rPr>
              <w:t>2,341</w:t>
            </w:r>
          </w:p>
        </w:tc>
        <w:tc>
          <w:tcPr>
            <w:tcW w:type="dxa" w:w="720"/>
          </w:tcPr>
          <w:p>
            <w:r>
              <w:rPr>
                <w:b w:val="0"/>
                <w:i w:val="0"/>
                <w:strike w:val="0"/>
              </w:rPr>
              <w:t>2.06</w:t>
            </w:r>
          </w:p>
        </w:tc>
        <w:tc>
          <w:tcPr>
            <w:tcW w:type="dxa" w:w="720"/>
          </w:tcPr>
          <w:p>
            <w:r>
              <w:rPr>
                <w:b w:val="0"/>
                <w:i w:val="0"/>
                <w:strike w:val="0"/>
              </w:rPr>
              <w:t>98</w:t>
            </w:r>
          </w:p>
        </w:tc>
        <w:tc>
          <w:tcPr>
            <w:tcW w:type="dxa" w:w="720"/>
          </w:tcPr>
          <w:p>
            <w:r>
              <w:rPr>
                <w:b w:val="0"/>
                <w:i w:val="0"/>
                <w:strike w:val="0"/>
              </w:rPr>
              <w:t>261</w:t>
            </w:r>
          </w:p>
        </w:tc>
        <w:tc>
          <w:tcPr>
            <w:tcW w:type="dxa" w:w="720"/>
          </w:tcPr>
          <w:p>
            <w:r>
              <w:rPr>
                <w:b w:val="0"/>
                <w:i w:val="0"/>
                <w:strike w:val="0"/>
              </w:rPr>
              <w:t>612</w:t>
            </w:r>
          </w:p>
        </w:tc>
        <w:tc>
          <w:tcPr>
            <w:tcW w:type="dxa" w:w="720"/>
          </w:tcPr>
          <w:p>
            <w:r>
              <w:rPr>
                <w:b w:val="0"/>
                <w:i w:val="0"/>
                <w:strike w:val="0"/>
              </w:rPr>
              <w:t>0</w:t>
            </w:r>
          </w:p>
        </w:tc>
      </w:tr>
      <w:tr>
        <w:tc>
          <w:tcPr>
            <w:tcW w:type="dxa" w:w="720"/>
          </w:tcPr>
          <w:p>
            <w:r>
              <w:rPr>
                <w:b w:val="0"/>
                <w:i w:val="0"/>
                <w:strike w:val="0"/>
              </w:rPr>
              <w:t>FY2031</w:t>
            </w:r>
          </w:p>
        </w:tc>
        <w:tc>
          <w:tcPr>
            <w:tcW w:type="dxa" w:w="720"/>
          </w:tcPr>
          <w:p>
            <w:r>
              <w:rPr>
                <w:b w:val="0"/>
                <w:i w:val="0"/>
                <w:strike w:val="0"/>
              </w:rPr>
              <w:t>14,215</w:t>
            </w:r>
          </w:p>
        </w:tc>
        <w:tc>
          <w:tcPr>
            <w:tcW w:type="dxa" w:w="720"/>
          </w:tcPr>
          <w:p>
            <w:r>
              <w:rPr>
                <w:b w:val="0"/>
                <w:i w:val="0"/>
                <w:strike w:val="0"/>
              </w:rPr>
              <w:t>194</w:t>
            </w:r>
          </w:p>
        </w:tc>
        <w:tc>
          <w:tcPr>
            <w:tcW w:type="dxa" w:w="720"/>
          </w:tcPr>
          <w:p>
            <w:r>
              <w:rPr>
                <w:b w:val="0"/>
                <w:i w:val="0"/>
                <w:strike w:val="0"/>
              </w:rPr>
              <w:t>14,409</w:t>
            </w:r>
          </w:p>
        </w:tc>
        <w:tc>
          <w:tcPr>
            <w:tcW w:type="dxa" w:w="720"/>
          </w:tcPr>
          <w:p>
            <w:r>
              <w:rPr>
                <w:b w:val="0"/>
                <w:i w:val="0"/>
                <w:strike w:val="0"/>
              </w:rPr>
              <w:t>2,378</w:t>
            </w:r>
          </w:p>
        </w:tc>
        <w:tc>
          <w:tcPr>
            <w:tcW w:type="dxa" w:w="720"/>
          </w:tcPr>
          <w:p>
            <w:r>
              <w:rPr>
                <w:b w:val="0"/>
                <w:i w:val="0"/>
                <w:strike w:val="0"/>
              </w:rPr>
              <w:t>9,359</w:t>
            </w:r>
          </w:p>
        </w:tc>
        <w:tc>
          <w:tcPr>
            <w:tcW w:type="dxa" w:w="720"/>
          </w:tcPr>
          <w:p>
            <w:r>
              <w:rPr>
                <w:b w:val="0"/>
                <w:i w:val="0"/>
                <w:strike w:val="0"/>
              </w:rPr>
              <w:t>2,673</w:t>
            </w:r>
          </w:p>
        </w:tc>
        <w:tc>
          <w:tcPr>
            <w:tcW w:type="dxa" w:w="720"/>
          </w:tcPr>
          <w:p>
            <w:r>
              <w:rPr>
                <w:b w:val="0"/>
                <w:i w:val="0"/>
                <w:strike w:val="0"/>
              </w:rPr>
              <w:t>2.03</w:t>
            </w:r>
          </w:p>
        </w:tc>
        <w:tc>
          <w:tcPr>
            <w:tcW w:type="dxa" w:w="720"/>
          </w:tcPr>
          <w:p>
            <w:r>
              <w:rPr>
                <w:b w:val="0"/>
                <w:i w:val="0"/>
                <w:strike w:val="0"/>
              </w:rPr>
              <w:t>98</w:t>
            </w:r>
          </w:p>
        </w:tc>
        <w:tc>
          <w:tcPr>
            <w:tcW w:type="dxa" w:w="720"/>
          </w:tcPr>
          <w:p>
            <w:r>
              <w:rPr>
                <w:b w:val="0"/>
                <w:i w:val="0"/>
                <w:strike w:val="0"/>
              </w:rPr>
              <w:t>259</w:t>
            </w:r>
          </w:p>
        </w:tc>
        <w:tc>
          <w:tcPr>
            <w:tcW w:type="dxa" w:w="720"/>
          </w:tcPr>
          <w:p>
            <w:r>
              <w:rPr>
                <w:b w:val="0"/>
                <w:i w:val="0"/>
                <w:strike w:val="0"/>
              </w:rPr>
              <w:t>607</w:t>
            </w:r>
          </w:p>
        </w:tc>
        <w:tc>
          <w:tcPr>
            <w:tcW w:type="dxa" w:w="720"/>
          </w:tcPr>
          <w:p>
            <w:r>
              <w:rPr>
                <w:b w:val="0"/>
                <w:i w:val="0"/>
                <w:strike w:val="0"/>
              </w:rPr>
              <w:t>0</w:t>
            </w:r>
          </w:p>
        </w:tc>
      </w:tr>
      <w:tr>
        <w:tc>
          <w:tcPr>
            <w:tcW w:type="dxa" w:w="720"/>
          </w:tcPr>
          <w:p>
            <w:r>
              <w:rPr>
                <w:b w:val="0"/>
                <w:i w:val="0"/>
                <w:strike w:val="0"/>
              </w:rPr>
              <w:t>FY2032</w:t>
            </w:r>
          </w:p>
        </w:tc>
        <w:tc>
          <w:tcPr>
            <w:tcW w:type="dxa" w:w="720"/>
          </w:tcPr>
          <w:p>
            <w:r>
              <w:rPr>
                <w:b w:val="0"/>
                <w:i w:val="0"/>
                <w:strike w:val="0"/>
              </w:rPr>
              <w:t>14,040</w:t>
            </w:r>
          </w:p>
        </w:tc>
        <w:tc>
          <w:tcPr>
            <w:tcW w:type="dxa" w:w="720"/>
          </w:tcPr>
          <w:p>
            <w:r>
              <w:rPr>
                <w:b w:val="0"/>
                <w:i w:val="0"/>
                <w:strike w:val="0"/>
              </w:rPr>
              <w:t>642</w:t>
            </w:r>
          </w:p>
        </w:tc>
        <w:tc>
          <w:tcPr>
            <w:tcW w:type="dxa" w:w="720"/>
          </w:tcPr>
          <w:p>
            <w:r>
              <w:rPr>
                <w:b w:val="0"/>
                <w:i w:val="0"/>
                <w:strike w:val="0"/>
              </w:rPr>
              <w:t>14,682</w:t>
            </w:r>
          </w:p>
        </w:tc>
        <w:tc>
          <w:tcPr>
            <w:tcW w:type="dxa" w:w="720"/>
          </w:tcPr>
          <w:p>
            <w:r>
              <w:rPr>
                <w:b w:val="0"/>
                <w:i w:val="0"/>
                <w:strike w:val="0"/>
              </w:rPr>
              <w:t>2,520</w:t>
            </w:r>
          </w:p>
        </w:tc>
        <w:tc>
          <w:tcPr>
            <w:tcW w:type="dxa" w:w="720"/>
          </w:tcPr>
          <w:p>
            <w:r>
              <w:rPr>
                <w:b w:val="0"/>
                <w:i w:val="0"/>
                <w:strike w:val="0"/>
              </w:rPr>
              <w:t>9,173</w:t>
            </w:r>
          </w:p>
        </w:tc>
        <w:tc>
          <w:tcPr>
            <w:tcW w:type="dxa" w:w="720"/>
          </w:tcPr>
          <w:p>
            <w:r>
              <w:rPr>
                <w:b w:val="0"/>
                <w:i w:val="0"/>
                <w:strike w:val="0"/>
              </w:rPr>
              <w:t>2,989</w:t>
            </w:r>
          </w:p>
        </w:tc>
        <w:tc>
          <w:tcPr>
            <w:tcW w:type="dxa" w:w="720"/>
          </w:tcPr>
          <w:p>
            <w:r>
              <w:rPr>
                <w:b w:val="0"/>
                <w:i w:val="0"/>
                <w:strike w:val="0"/>
              </w:rPr>
              <w:t>2.18</w:t>
            </w:r>
          </w:p>
        </w:tc>
        <w:tc>
          <w:tcPr>
            <w:tcW w:type="dxa" w:w="720"/>
          </w:tcPr>
          <w:p>
            <w:r>
              <w:rPr>
                <w:b w:val="0"/>
                <w:i w:val="0"/>
                <w:strike w:val="0"/>
              </w:rPr>
              <w:t>102</w:t>
            </w:r>
          </w:p>
        </w:tc>
        <w:tc>
          <w:tcPr>
            <w:tcW w:type="dxa" w:w="720"/>
          </w:tcPr>
          <w:p>
            <w:r>
              <w:rPr>
                <w:b w:val="0"/>
                <w:i w:val="0"/>
                <w:strike w:val="0"/>
              </w:rPr>
              <w:t>271</w:t>
            </w:r>
          </w:p>
        </w:tc>
        <w:tc>
          <w:tcPr>
            <w:tcW w:type="dxa" w:w="720"/>
          </w:tcPr>
          <w:p>
            <w:r>
              <w:rPr>
                <w:b w:val="0"/>
                <w:i w:val="0"/>
                <w:strike w:val="0"/>
              </w:rPr>
              <w:t>635</w:t>
            </w:r>
          </w:p>
        </w:tc>
        <w:tc>
          <w:tcPr>
            <w:tcW w:type="dxa" w:w="720"/>
          </w:tcPr>
          <w:p>
            <w:r>
              <w:rPr>
                <w:b w:val="0"/>
                <w:i w:val="0"/>
                <w:strike w:val="0"/>
              </w:rPr>
              <w:t>0</w:t>
            </w:r>
          </w:p>
        </w:tc>
      </w:tr>
      <w:tr>
        <w:tc>
          <w:tcPr>
            <w:tcW w:type="dxa" w:w="720"/>
          </w:tcPr>
          <w:p>
            <w:r>
              <w:rPr>
                <w:b w:val="0"/>
                <w:i w:val="0"/>
                <w:strike w:val="0"/>
              </w:rPr>
              <w:t>FY2033</w:t>
            </w:r>
          </w:p>
        </w:tc>
        <w:tc>
          <w:tcPr>
            <w:tcW w:type="dxa" w:w="720"/>
          </w:tcPr>
          <w:p>
            <w:r>
              <w:rPr>
                <w:b w:val="0"/>
                <w:i w:val="0"/>
                <w:strike w:val="0"/>
              </w:rPr>
              <w:t>13,780</w:t>
            </w:r>
          </w:p>
        </w:tc>
        <w:tc>
          <w:tcPr>
            <w:tcW w:type="dxa" w:w="720"/>
          </w:tcPr>
          <w:p>
            <w:r>
              <w:rPr>
                <w:b w:val="0"/>
                <w:i w:val="0"/>
                <w:strike w:val="0"/>
              </w:rPr>
              <w:t>1,260</w:t>
            </w:r>
          </w:p>
        </w:tc>
        <w:tc>
          <w:tcPr>
            <w:tcW w:type="dxa" w:w="720"/>
          </w:tcPr>
          <w:p>
            <w:r>
              <w:rPr>
                <w:b w:val="0"/>
                <w:i w:val="0"/>
                <w:strike w:val="0"/>
              </w:rPr>
              <w:t>15,040</w:t>
            </w:r>
          </w:p>
        </w:tc>
        <w:tc>
          <w:tcPr>
            <w:tcW w:type="dxa" w:w="720"/>
          </w:tcPr>
          <w:p>
            <w:r>
              <w:rPr>
                <w:b w:val="0"/>
                <w:i w:val="0"/>
                <w:strike w:val="0"/>
              </w:rPr>
              <w:t>2,692</w:t>
            </w:r>
          </w:p>
        </w:tc>
        <w:tc>
          <w:tcPr>
            <w:tcW w:type="dxa" w:w="720"/>
          </w:tcPr>
          <w:p>
            <w:r>
              <w:rPr>
                <w:b w:val="0"/>
                <w:i w:val="0"/>
                <w:strike w:val="0"/>
              </w:rPr>
              <w:t>9,075</w:t>
            </w:r>
          </w:p>
        </w:tc>
        <w:tc>
          <w:tcPr>
            <w:tcW w:type="dxa" w:w="720"/>
          </w:tcPr>
          <w:p>
            <w:r>
              <w:rPr>
                <w:b w:val="0"/>
                <w:i w:val="0"/>
                <w:strike w:val="0"/>
              </w:rPr>
              <w:t>3,273</w:t>
            </w:r>
          </w:p>
        </w:tc>
        <w:tc>
          <w:tcPr>
            <w:tcW w:type="dxa" w:w="720"/>
          </w:tcPr>
          <w:p>
            <w:r>
              <w:rPr>
                <w:b w:val="0"/>
                <w:i w:val="0"/>
                <w:strike w:val="0"/>
              </w:rPr>
              <w:t>2.24</w:t>
            </w:r>
          </w:p>
        </w:tc>
        <w:tc>
          <w:tcPr>
            <w:tcW w:type="dxa" w:w="720"/>
          </w:tcPr>
          <w:p>
            <w:r>
              <w:rPr>
                <w:b w:val="0"/>
                <w:i w:val="0"/>
                <w:strike w:val="0"/>
              </w:rPr>
              <w:t>107</w:t>
            </w:r>
          </w:p>
        </w:tc>
        <w:tc>
          <w:tcPr>
            <w:tcW w:type="dxa" w:w="720"/>
          </w:tcPr>
          <w:p>
            <w:r>
              <w:rPr>
                <w:b w:val="0"/>
                <w:i w:val="0"/>
                <w:strike w:val="0"/>
              </w:rPr>
              <w:t>284</w:t>
            </w:r>
          </w:p>
        </w:tc>
        <w:tc>
          <w:tcPr>
            <w:tcW w:type="dxa" w:w="720"/>
          </w:tcPr>
          <w:p>
            <w:r>
              <w:rPr>
                <w:b w:val="0"/>
                <w:i w:val="0"/>
                <w:strike w:val="0"/>
              </w:rPr>
              <w:t>665</w:t>
            </w:r>
          </w:p>
        </w:tc>
        <w:tc>
          <w:tcPr>
            <w:tcW w:type="dxa" w:w="720"/>
          </w:tcPr>
          <w:p>
            <w:r>
              <w:rPr>
                <w:b w:val="0"/>
                <w:i w:val="0"/>
                <w:strike w:val="0"/>
              </w:rPr>
              <w:t>0</w:t>
            </w:r>
          </w:p>
        </w:tc>
      </w:tr>
      <w:tr>
        <w:tc>
          <w:tcPr>
            <w:tcW w:type="dxa" w:w="720"/>
          </w:tcPr>
          <w:p>
            <w:r>
              <w:rPr>
                <w:b w:val="0"/>
                <w:i w:val="0"/>
                <w:strike w:val="0"/>
              </w:rPr>
              <w:t>FY2034</w:t>
            </w:r>
          </w:p>
        </w:tc>
        <w:tc>
          <w:tcPr>
            <w:tcW w:type="dxa" w:w="720"/>
          </w:tcPr>
          <w:p>
            <w:r>
              <w:rPr>
                <w:b w:val="0"/>
                <w:i w:val="0"/>
                <w:strike w:val="0"/>
              </w:rPr>
              <w:t>13,513</w:t>
            </w:r>
          </w:p>
        </w:tc>
        <w:tc>
          <w:tcPr>
            <w:tcW w:type="dxa" w:w="720"/>
          </w:tcPr>
          <w:p>
            <w:r>
              <w:rPr>
                <w:b w:val="0"/>
                <w:i w:val="0"/>
                <w:strike w:val="0"/>
              </w:rPr>
              <w:t>2,055</w:t>
            </w:r>
          </w:p>
        </w:tc>
        <w:tc>
          <w:tcPr>
            <w:tcW w:type="dxa" w:w="720"/>
          </w:tcPr>
          <w:p>
            <w:r>
              <w:rPr>
                <w:b w:val="0"/>
                <w:i w:val="0"/>
                <w:strike w:val="0"/>
              </w:rPr>
              <w:t>15,568</w:t>
            </w:r>
          </w:p>
        </w:tc>
        <w:tc>
          <w:tcPr>
            <w:tcW w:type="dxa" w:w="720"/>
          </w:tcPr>
          <w:p>
            <w:r>
              <w:rPr>
                <w:b w:val="0"/>
                <w:i w:val="0"/>
                <w:strike w:val="0"/>
              </w:rPr>
              <w:t>2,890</w:t>
            </w:r>
          </w:p>
        </w:tc>
        <w:tc>
          <w:tcPr>
            <w:tcW w:type="dxa" w:w="720"/>
          </w:tcPr>
          <w:p>
            <w:r>
              <w:rPr>
                <w:b w:val="0"/>
                <w:i w:val="0"/>
                <w:strike w:val="0"/>
              </w:rPr>
              <w:t>9,081</w:t>
            </w:r>
          </w:p>
        </w:tc>
        <w:tc>
          <w:tcPr>
            <w:tcW w:type="dxa" w:w="720"/>
          </w:tcPr>
          <w:p>
            <w:r>
              <w:rPr>
                <w:b w:val="0"/>
                <w:i w:val="0"/>
                <w:strike w:val="0"/>
              </w:rPr>
              <w:t>3,596</w:t>
            </w:r>
          </w:p>
        </w:tc>
        <w:tc>
          <w:tcPr>
            <w:tcW w:type="dxa" w:w="720"/>
          </w:tcPr>
          <w:p>
            <w:r>
              <w:rPr>
                <w:b w:val="0"/>
                <w:i w:val="0"/>
                <w:strike w:val="0"/>
              </w:rPr>
              <w:t>2.22</w:t>
            </w:r>
          </w:p>
        </w:tc>
        <w:tc>
          <w:tcPr>
            <w:tcW w:type="dxa" w:w="720"/>
          </w:tcPr>
          <w:p>
            <w:r>
              <w:rPr>
                <w:b w:val="0"/>
                <w:i w:val="0"/>
                <w:strike w:val="0"/>
              </w:rPr>
              <w:t>113</w:t>
            </w:r>
          </w:p>
        </w:tc>
        <w:tc>
          <w:tcPr>
            <w:tcW w:type="dxa" w:w="720"/>
          </w:tcPr>
          <w:p>
            <w:r>
              <w:rPr>
                <w:b w:val="0"/>
                <w:i w:val="0"/>
                <w:strike w:val="0"/>
              </w:rPr>
              <w:t>299</w:t>
            </w:r>
          </w:p>
        </w:tc>
        <w:tc>
          <w:tcPr>
            <w:tcW w:type="dxa" w:w="720"/>
          </w:tcPr>
          <w:p>
            <w:r>
              <w:rPr>
                <w:b w:val="0"/>
                <w:i w:val="0"/>
                <w:strike w:val="0"/>
              </w:rPr>
              <w:t>702</w:t>
            </w:r>
          </w:p>
        </w:tc>
        <w:tc>
          <w:tcPr>
            <w:tcW w:type="dxa" w:w="720"/>
          </w:tcPr>
          <w:p>
            <w:r>
              <w:rPr>
                <w:b w:val="0"/>
                <w:i w:val="0"/>
                <w:strike w:val="0"/>
              </w:rPr>
              <w:t>0</w:t>
            </w:r>
          </w:p>
        </w:tc>
      </w:tr>
      <w:tr>
        <w:tc>
          <w:tcPr>
            <w:tcW w:type="dxa" w:w="720"/>
          </w:tcPr>
          <w:p>
            <w:r>
              <w:rPr>
                <w:b w:val="0"/>
                <w:i w:val="0"/>
                <w:strike w:val="0"/>
              </w:rPr>
              <w:t>FY2035</w:t>
            </w:r>
          </w:p>
        </w:tc>
        <w:tc>
          <w:tcPr>
            <w:tcW w:type="dxa" w:w="720"/>
          </w:tcPr>
          <w:p>
            <w:r>
              <w:rPr>
                <w:b w:val="0"/>
                <w:i w:val="0"/>
                <w:strike w:val="0"/>
              </w:rPr>
              <w:t>13,264</w:t>
            </w:r>
          </w:p>
        </w:tc>
        <w:tc>
          <w:tcPr>
            <w:tcW w:type="dxa" w:w="720"/>
          </w:tcPr>
          <w:p>
            <w:r>
              <w:rPr>
                <w:b w:val="0"/>
                <w:i w:val="0"/>
                <w:strike w:val="0"/>
              </w:rPr>
              <w:t>2,871</w:t>
            </w:r>
          </w:p>
        </w:tc>
        <w:tc>
          <w:tcPr>
            <w:tcW w:type="dxa" w:w="720"/>
          </w:tcPr>
          <w:p>
            <w:r>
              <w:rPr>
                <w:b w:val="0"/>
                <w:i w:val="0"/>
                <w:strike w:val="0"/>
              </w:rPr>
              <w:t>16,135</w:t>
            </w:r>
          </w:p>
        </w:tc>
        <w:tc>
          <w:tcPr>
            <w:tcW w:type="dxa" w:w="720"/>
          </w:tcPr>
          <w:p>
            <w:r>
              <w:rPr>
                <w:b w:val="0"/>
                <w:i w:val="0"/>
                <w:strike w:val="0"/>
              </w:rPr>
              <w:t>3,089</w:t>
            </w:r>
          </w:p>
        </w:tc>
        <w:tc>
          <w:tcPr>
            <w:tcW w:type="dxa" w:w="720"/>
          </w:tcPr>
          <w:p>
            <w:r>
              <w:rPr>
                <w:b w:val="0"/>
                <w:i w:val="0"/>
                <w:strike w:val="0"/>
              </w:rPr>
              <w:t>9,139</w:t>
            </w:r>
          </w:p>
        </w:tc>
        <w:tc>
          <w:tcPr>
            <w:tcW w:type="dxa" w:w="720"/>
          </w:tcPr>
          <w:p>
            <w:r>
              <w:rPr>
                <w:b w:val="0"/>
                <w:i w:val="0"/>
                <w:strike w:val="0"/>
              </w:rPr>
              <w:t>3,907</w:t>
            </w:r>
          </w:p>
        </w:tc>
        <w:tc>
          <w:tcPr>
            <w:tcW w:type="dxa" w:w="720"/>
          </w:tcPr>
          <w:p>
            <w:r>
              <w:rPr>
                <w:b w:val="0"/>
                <w:i w:val="0"/>
                <w:strike w:val="0"/>
              </w:rPr>
              <w:t>2.16</w:t>
            </w:r>
          </w:p>
        </w:tc>
        <w:tc>
          <w:tcPr>
            <w:tcW w:type="dxa" w:w="720"/>
          </w:tcPr>
          <w:p>
            <w:r>
              <w:rPr>
                <w:b w:val="0"/>
                <w:i w:val="0"/>
                <w:strike w:val="0"/>
              </w:rPr>
              <w:t>119</w:t>
            </w:r>
          </w:p>
        </w:tc>
        <w:tc>
          <w:tcPr>
            <w:tcW w:type="dxa" w:w="720"/>
          </w:tcPr>
          <w:p>
            <w:r>
              <w:rPr>
                <w:b w:val="0"/>
                <w:i w:val="0"/>
                <w:strike w:val="0"/>
              </w:rPr>
              <w:t>316</w:t>
            </w:r>
          </w:p>
        </w:tc>
        <w:tc>
          <w:tcPr>
            <w:tcW w:type="dxa" w:w="720"/>
          </w:tcPr>
          <w:p>
            <w:r>
              <w:rPr>
                <w:b w:val="0"/>
                <w:i w:val="0"/>
                <w:strike w:val="0"/>
              </w:rPr>
              <w:t>740</w:t>
            </w:r>
          </w:p>
        </w:tc>
        <w:tc>
          <w:tcPr>
            <w:tcW w:type="dxa" w:w="720"/>
          </w:tcPr>
          <w:p>
            <w:r>
              <w:rPr>
                <w:b w:val="0"/>
                <w:i w:val="0"/>
                <w:strike w:val="0"/>
              </w:rPr>
              <w:t>0</w:t>
            </w:r>
          </w:p>
        </w:tc>
      </w:tr>
      <w:tr>
        <w:tc>
          <w:tcPr>
            <w:tcW w:type="dxa" w:w="720"/>
          </w:tcPr>
          <w:p>
            <w:r>
              <w:rPr>
                <w:b w:val="0"/>
                <w:i w:val="0"/>
                <w:strike w:val="0"/>
              </w:rPr>
              <w:t>FY2036</w:t>
            </w:r>
          </w:p>
        </w:tc>
        <w:tc>
          <w:tcPr>
            <w:tcW w:type="dxa" w:w="720"/>
          </w:tcPr>
          <w:p>
            <w:r>
              <w:rPr>
                <w:b w:val="0"/>
                <w:i w:val="0"/>
                <w:strike w:val="0"/>
              </w:rPr>
              <w:t>12,600</w:t>
            </w:r>
          </w:p>
        </w:tc>
        <w:tc>
          <w:tcPr>
            <w:tcW w:type="dxa" w:w="720"/>
          </w:tcPr>
          <w:p>
            <w:r>
              <w:rPr>
                <w:b w:val="0"/>
                <w:i w:val="0"/>
                <w:strike w:val="0"/>
              </w:rPr>
              <w:t>3,736</w:t>
            </w:r>
          </w:p>
        </w:tc>
        <w:tc>
          <w:tcPr>
            <w:tcW w:type="dxa" w:w="720"/>
          </w:tcPr>
          <w:p>
            <w:r>
              <w:rPr>
                <w:b w:val="0"/>
                <w:i w:val="0"/>
                <w:strike w:val="0"/>
              </w:rPr>
              <w:t>16,336</w:t>
            </w:r>
          </w:p>
        </w:tc>
        <w:tc>
          <w:tcPr>
            <w:tcW w:type="dxa" w:w="720"/>
          </w:tcPr>
          <w:p>
            <w:r>
              <w:rPr>
                <w:b w:val="0"/>
                <w:i w:val="0"/>
                <w:strike w:val="0"/>
              </w:rPr>
              <w:t>3,057</w:t>
            </w:r>
          </w:p>
        </w:tc>
        <w:tc>
          <w:tcPr>
            <w:tcW w:type="dxa" w:w="720"/>
          </w:tcPr>
          <w:p>
            <w:r>
              <w:rPr>
                <w:b w:val="0"/>
                <w:i w:val="0"/>
                <w:strike w:val="0"/>
              </w:rPr>
              <w:t>8,933</w:t>
            </w:r>
          </w:p>
        </w:tc>
        <w:tc>
          <w:tcPr>
            <w:tcW w:type="dxa" w:w="720"/>
          </w:tcPr>
          <w:p>
            <w:r>
              <w:rPr>
                <w:b w:val="0"/>
                <w:i w:val="0"/>
                <w:strike w:val="0"/>
              </w:rPr>
              <w:t>4,345</w:t>
            </w:r>
          </w:p>
        </w:tc>
        <w:tc>
          <w:tcPr>
            <w:tcW w:type="dxa" w:w="720"/>
          </w:tcPr>
          <w:p>
            <w:r>
              <w:rPr>
                <w:b w:val="0"/>
                <w:i w:val="0"/>
                <w:strike w:val="0"/>
              </w:rPr>
              <w:t>2.23</w:t>
            </w:r>
          </w:p>
        </w:tc>
        <w:tc>
          <w:tcPr>
            <w:tcW w:type="dxa" w:w="720"/>
          </w:tcPr>
          <w:p>
            <w:r>
              <w:rPr>
                <w:b w:val="0"/>
                <w:i w:val="0"/>
                <w:strike w:val="0"/>
              </w:rPr>
              <w:t>123</w:t>
            </w:r>
          </w:p>
        </w:tc>
        <w:tc>
          <w:tcPr>
            <w:tcW w:type="dxa" w:w="720"/>
          </w:tcPr>
          <w:p>
            <w:r>
              <w:rPr>
                <w:b w:val="0"/>
                <w:i w:val="0"/>
                <w:strike w:val="0"/>
              </w:rPr>
              <w:t>326</w:t>
            </w:r>
          </w:p>
        </w:tc>
        <w:tc>
          <w:tcPr>
            <w:tcW w:type="dxa" w:w="720"/>
          </w:tcPr>
          <w:p>
            <w:r>
              <w:rPr>
                <w:b w:val="0"/>
                <w:i w:val="0"/>
                <w:strike w:val="0"/>
              </w:rPr>
              <w:t>766</w:t>
            </w:r>
          </w:p>
        </w:tc>
        <w:tc>
          <w:tcPr>
            <w:tcW w:type="dxa" w:w="720"/>
          </w:tcPr>
          <w:p>
            <w:r>
              <w:rPr>
                <w:b w:val="0"/>
                <w:i w:val="0"/>
                <w:strike w:val="0"/>
              </w:rPr>
              <w:t>0</w:t>
            </w:r>
          </w:p>
        </w:tc>
      </w:tr>
      <w:tr>
        <w:tc>
          <w:tcPr>
            <w:tcW w:type="dxa" w:w="720"/>
          </w:tcPr>
          <w:p>
            <w:r>
              <w:rPr>
                <w:b w:val="0"/>
                <w:i w:val="0"/>
                <w:strike w:val="0"/>
              </w:rPr>
              <w:t>FY2037</w:t>
            </w:r>
          </w:p>
        </w:tc>
        <w:tc>
          <w:tcPr>
            <w:tcW w:type="dxa" w:w="720"/>
          </w:tcPr>
          <w:p>
            <w:r>
              <w:rPr>
                <w:b w:val="0"/>
                <w:i w:val="0"/>
                <w:strike w:val="0"/>
              </w:rPr>
              <w:t>12,843</w:t>
            </w:r>
          </w:p>
        </w:tc>
        <w:tc>
          <w:tcPr>
            <w:tcW w:type="dxa" w:w="720"/>
          </w:tcPr>
          <w:p>
            <w:r>
              <w:rPr>
                <w:b w:val="0"/>
                <w:i w:val="0"/>
                <w:strike w:val="0"/>
              </w:rPr>
              <w:t>4,405</w:t>
            </w:r>
          </w:p>
        </w:tc>
        <w:tc>
          <w:tcPr>
            <w:tcW w:type="dxa" w:w="720"/>
          </w:tcPr>
          <w:p>
            <w:r>
              <w:rPr>
                <w:b w:val="0"/>
                <w:i w:val="0"/>
                <w:strike w:val="0"/>
              </w:rPr>
              <w:t>17,248</w:t>
            </w:r>
          </w:p>
        </w:tc>
        <w:tc>
          <w:tcPr>
            <w:tcW w:type="dxa" w:w="720"/>
          </w:tcPr>
          <w:p>
            <w:r>
              <w:rPr>
                <w:b w:val="0"/>
                <w:i w:val="0"/>
                <w:strike w:val="0"/>
              </w:rPr>
              <w:t>3,336</w:t>
            </w:r>
          </w:p>
        </w:tc>
        <w:tc>
          <w:tcPr>
            <w:tcW w:type="dxa" w:w="720"/>
          </w:tcPr>
          <w:p>
            <w:r>
              <w:rPr>
                <w:b w:val="0"/>
                <w:i w:val="0"/>
                <w:strike w:val="0"/>
              </w:rPr>
              <w:t>9,275</w:t>
            </w:r>
          </w:p>
        </w:tc>
        <w:tc>
          <w:tcPr>
            <w:tcW w:type="dxa" w:w="720"/>
          </w:tcPr>
          <w:p>
            <w:r>
              <w:rPr>
                <w:b w:val="0"/>
                <w:i w:val="0"/>
                <w:strike w:val="0"/>
              </w:rPr>
              <w:t>4,637</w:t>
            </w:r>
          </w:p>
        </w:tc>
        <w:tc>
          <w:tcPr>
            <w:tcW w:type="dxa" w:w="720"/>
          </w:tcPr>
          <w:p>
            <w:r>
              <w:rPr>
                <w:b w:val="0"/>
                <w:i w:val="0"/>
                <w:strike w:val="0"/>
              </w:rPr>
              <w:t>2.31</w:t>
            </w:r>
          </w:p>
        </w:tc>
        <w:tc>
          <w:tcPr>
            <w:tcW w:type="dxa" w:w="720"/>
          </w:tcPr>
          <w:p>
            <w:r>
              <w:rPr>
                <w:b w:val="0"/>
                <w:i w:val="0"/>
                <w:strike w:val="0"/>
              </w:rPr>
              <w:t>131</w:t>
            </w:r>
          </w:p>
        </w:tc>
        <w:tc>
          <w:tcPr>
            <w:tcW w:type="dxa" w:w="720"/>
          </w:tcPr>
          <w:p>
            <w:r>
              <w:rPr>
                <w:b w:val="0"/>
                <w:i w:val="0"/>
                <w:strike w:val="0"/>
              </w:rPr>
              <w:t>347</w:t>
            </w:r>
          </w:p>
        </w:tc>
        <w:tc>
          <w:tcPr>
            <w:tcW w:type="dxa" w:w="720"/>
          </w:tcPr>
          <w:p>
            <w:r>
              <w:rPr>
                <w:b w:val="0"/>
                <w:i w:val="0"/>
                <w:strike w:val="0"/>
              </w:rPr>
              <w:t>815</w:t>
            </w:r>
          </w:p>
        </w:tc>
        <w:tc>
          <w:tcPr>
            <w:tcW w:type="dxa" w:w="720"/>
          </w:tcPr>
          <w:p>
            <w:r>
              <w:rPr>
                <w:b w:val="0"/>
                <w:i w:val="0"/>
                <w:strike w:val="0"/>
              </w:rPr>
              <w:t>264</w:t>
            </w:r>
          </w:p>
        </w:tc>
      </w:tr>
      <w:tr>
        <w:tc>
          <w:tcPr>
            <w:tcW w:type="dxa" w:w="720"/>
          </w:tcPr>
          <w:p>
            <w:r>
              <w:rPr>
                <w:b w:val="0"/>
                <w:i w:val="0"/>
                <w:strike w:val="0"/>
              </w:rPr>
              <w:t>FY2038</w:t>
            </w:r>
          </w:p>
        </w:tc>
        <w:tc>
          <w:tcPr>
            <w:tcW w:type="dxa" w:w="720"/>
          </w:tcPr>
          <w:p>
            <w:r>
              <w:rPr>
                <w:b w:val="0"/>
                <w:i w:val="0"/>
                <w:strike w:val="0"/>
              </w:rPr>
              <w:t>9,247</w:t>
            </w:r>
          </w:p>
        </w:tc>
        <w:tc>
          <w:tcPr>
            <w:tcW w:type="dxa" w:w="720"/>
          </w:tcPr>
          <w:p>
            <w:r>
              <w:rPr>
                <w:b w:val="0"/>
                <w:i w:val="0"/>
                <w:strike w:val="0"/>
              </w:rPr>
              <w:t>4,742</w:t>
            </w:r>
          </w:p>
        </w:tc>
        <w:tc>
          <w:tcPr>
            <w:tcW w:type="dxa" w:w="720"/>
          </w:tcPr>
          <w:p>
            <w:r>
              <w:rPr>
                <w:b w:val="0"/>
                <w:i w:val="0"/>
                <w:strike w:val="0"/>
              </w:rPr>
              <w:t>13,989</w:t>
            </w:r>
          </w:p>
        </w:tc>
        <w:tc>
          <w:tcPr>
            <w:tcW w:type="dxa" w:w="720"/>
          </w:tcPr>
          <w:p>
            <w:r>
              <w:rPr>
                <w:b w:val="0"/>
                <w:i w:val="0"/>
                <w:strike w:val="0"/>
              </w:rPr>
              <w:t>2,746</w:t>
            </w:r>
          </w:p>
        </w:tc>
        <w:tc>
          <w:tcPr>
            <w:tcW w:type="dxa" w:w="720"/>
          </w:tcPr>
          <w:p>
            <w:r>
              <w:rPr>
                <w:b w:val="0"/>
                <w:i w:val="0"/>
                <w:strike w:val="0"/>
              </w:rPr>
              <w:t>7,277</w:t>
            </w:r>
          </w:p>
        </w:tc>
        <w:tc>
          <w:tcPr>
            <w:tcW w:type="dxa" w:w="720"/>
          </w:tcPr>
          <w:p>
            <w:r>
              <w:rPr>
                <w:b w:val="0"/>
                <w:i w:val="0"/>
                <w:strike w:val="0"/>
              </w:rPr>
              <w:t>3,966</w:t>
            </w:r>
          </w:p>
        </w:tc>
        <w:tc>
          <w:tcPr>
            <w:tcW w:type="dxa" w:w="720"/>
          </w:tcPr>
          <w:p>
            <w:r>
              <w:rPr>
                <w:b w:val="0"/>
                <w:i w:val="0"/>
                <w:strike w:val="0"/>
              </w:rPr>
              <w:t>1.95</w:t>
            </w:r>
          </w:p>
        </w:tc>
        <w:tc>
          <w:tcPr>
            <w:tcW w:type="dxa" w:w="720"/>
          </w:tcPr>
          <w:p>
            <w:r>
              <w:rPr>
                <w:b w:val="0"/>
                <w:i w:val="0"/>
                <w:strike w:val="0"/>
              </w:rPr>
              <w:t>108</w:t>
            </w:r>
          </w:p>
        </w:tc>
        <w:tc>
          <w:tcPr>
            <w:tcW w:type="dxa" w:w="720"/>
          </w:tcPr>
          <w:p>
            <w:r>
              <w:rPr>
                <w:b w:val="0"/>
                <w:i w:val="0"/>
                <w:strike w:val="0"/>
              </w:rPr>
              <w:t>287</w:t>
            </w:r>
          </w:p>
        </w:tc>
        <w:tc>
          <w:tcPr>
            <w:tcW w:type="dxa" w:w="720"/>
          </w:tcPr>
          <w:p>
            <w:r>
              <w:rPr>
                <w:b w:val="0"/>
                <w:i w:val="0"/>
                <w:strike w:val="0"/>
              </w:rPr>
              <w:t>672</w:t>
            </w:r>
          </w:p>
        </w:tc>
        <w:tc>
          <w:tcPr>
            <w:tcW w:type="dxa" w:w="720"/>
          </w:tcPr>
          <w:p>
            <w:r>
              <w:rPr>
                <w:b w:val="0"/>
                <w:i w:val="0"/>
                <w:strike w:val="0"/>
              </w:rPr>
              <w:t>760</w:t>
            </w:r>
          </w:p>
        </w:tc>
      </w:tr>
    </w:tbl>
    <w:p/>
    <w:p>
      <w:r>
        <w:rPr>
          <w:b/>
          <w:i w:val="0"/>
          <w:strike w:val="0"/>
        </w:rPr>
        <w:t>Three structural facts emerge from this table and none of them depends on the veteran assumptions.</w:t>
      </w:r>
    </w:p>
    <w:p>
      <w:r>
        <w:rPr>
          <w:b/>
          <w:i w:val="0"/>
          <w:strike w:val="0"/>
        </w:rPr>
        <w:t>The B 2 population drains.</w:t>
      </w:r>
      <w:r>
        <w:rPr>
          <w:b w:val="0"/>
          <w:i w:val="0"/>
          <w:strike w:val="0"/>
        </w:rPr>
        <w:t xml:space="preserve"> Plan 1 closed to new members on July 1, 2010. The four-year band is creditable service between 26 and 30 years, and the cohort sweeps through it. The count falls from 14,909 in FY2030 to 9,247 in FY2038 and keeps falling after the window.</w:t>
      </w:r>
    </w:p>
    <w:p>
      <w:r>
        <w:rPr>
          <w:b/>
          <w:i w:val="0"/>
          <w:strike w:val="0"/>
        </w:rPr>
        <w:t>The B 3 population is zero in FY2029 and FY2030, then fills.</w:t>
      </w:r>
      <w:r>
        <w:rPr>
          <w:b w:val="0"/>
          <w:i w:val="0"/>
          <w:strike w:val="0"/>
        </w:rPr>
        <w:t xml:space="preserve"> This is not a modeling artifact; it is the Plan 2 closure date. A Plan 2 member needs more than 19 years of creditable service to reach 86 points while still below Social Security normal retirement age, because § 51.1-142.4 B 5 bars anyone already eligible for an unreduced allowance under § 51.1-153 A. Plan 2 membership dates run no later than December 31, 2013, so Plan 2 members do not reach that service level until the early 2030s. </w:t>
      </w:r>
      <w:r>
        <w:rPr>
          <w:b/>
          <w:i w:val="0"/>
          <w:strike w:val="0"/>
        </w:rPr>
        <w:t>The Plan 2 half of this bill does nothing for its first two fiscal years.</w:t>
      </w:r>
    </w:p>
    <w:p>
      <w:r>
        <w:rPr>
          <w:b/>
          <w:i w:val="0"/>
          <w:strike w:val="0"/>
        </w:rPr>
        <w:t>The band is small relative to the plans.</w:t>
      </w:r>
      <w:r>
        <w:rPr>
          <w:b w:val="0"/>
          <w:i w:val="0"/>
          <w:strike w:val="0"/>
        </w:rPr>
        <w:t xml:space="preserve"> 14,000 to 17,000 members out of a combined 366,000 non-hazardous actives, with a </w:t>
      </w:r>
      <w:r>
        <w:rPr>
          <w:b/>
          <w:i w:val="0"/>
          <w:strike w:val="0"/>
        </w:rPr>
        <w:t>mean eligibility deficit of about 2.2 years</w:t>
      </w:r>
      <w:r>
        <w:rPr>
          <w:b w:val="0"/>
          <w:i w:val="0"/>
          <w:strike w:val="0"/>
        </w:rPr>
        <w:t xml:space="preserve"> — most members in the band need two years, not four. The mean deficit is what drives the aggregate down: the headline four-year purchase is the exception.</w:t>
      </w:r>
    </w:p>
    <w:p>
      <w:pPr>
        <w:pStyle w:val="Heading3"/>
      </w:pPr>
      <w:r>
        <w:rPr>
          <w:b w:val="0"/>
          <w:i w:val="0"/>
          <w:strike w:val="0"/>
        </w:rPr>
        <w:t>6.1 The veteran and purchasability funnel — what had to be assumed</w:t>
      </w:r>
    </w:p>
    <w:p>
      <w:r>
        <w:rPr>
          <w:b w:val="0"/>
          <w:i w:val="0"/>
          <w:strike w:val="0"/>
        </w:rPr>
        <w:t>This is the weakest part of the estimate and the issue asks for it to be stated plainly. Published anchor, then four assumed filters: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Step</w:t>
            </w:r>
          </w:p>
        </w:tc>
        <w:tc>
          <w:tcPr>
            <w:tcW w:type="dxa" w:w="2880"/>
          </w:tcPr>
          <w:p>
            <w:r>
              <w:rPr>
                <w:b/>
                <w:i w:val="0"/>
                <w:strike w:val="0"/>
              </w:rPr>
              <w:t>Value</w:t>
            </w:r>
          </w:p>
        </w:tc>
        <w:tc>
          <w:tcPr>
            <w:tcW w:type="dxa" w:w="2880"/>
          </w:tcPr>
          <w:p>
            <w:r>
              <w:rPr>
                <w:b/>
                <w:i w:val="0"/>
                <w:strike w:val="0"/>
              </w:rPr>
              <w:t>Basis</w:t>
            </w:r>
          </w:p>
        </w:tc>
      </w:tr>
      <w:tr>
        <w:tc>
          <w:tcPr>
            <w:tcW w:type="dxa" w:w="2880"/>
          </w:tcPr>
          <w:p>
            <w:r>
              <w:rPr>
                <w:b w:val="0"/>
                <w:i w:val="0"/>
                <w:strike w:val="0"/>
              </w:rPr>
              <w:t>Veteran share of the covered workforce</w:t>
            </w:r>
          </w:p>
        </w:tc>
        <w:tc>
          <w:tcPr>
            <w:tcW w:type="dxa" w:w="2880"/>
          </w:tcPr>
          <w:p>
            <w:r>
              <w:rPr>
                <w:b/>
                <w:i w:val="0"/>
                <w:strike w:val="0"/>
              </w:rPr>
              <w:t>6.0%</w:t>
            </w:r>
            <w:r>
              <w:rPr>
                <w:b w:val="0"/>
                <w:i w:val="0"/>
                <w:strike w:val="0"/>
              </w:rPr>
              <w:t xml:space="preserve"> state; 2.5% teacher; 7.0% political subdivision</w:t>
            </w:r>
          </w:p>
        </w:tc>
        <w:tc>
          <w:tcPr>
            <w:tcW w:type="dxa" w:w="2880"/>
          </w:tcPr>
          <w:p>
            <w:r>
              <w:rPr>
                <w:b/>
                <w:i w:val="0"/>
                <w:strike w:val="0"/>
              </w:rPr>
              <w:t>Published for state only.</w:t>
            </w:r>
            <w:r>
              <w:rPr>
                <w:b w:val="0"/>
                <w:i w:val="0"/>
                <w:strike w:val="0"/>
              </w:rPr>
              <w:t xml:space="preserve"> DHRM presentation to Senate Finance and Appropriations, January 21, 2025, slide 8: veterans are 6% of the Virginia classified state workforce as of June 30, 2024. That report's average age (46.7) and average service (10.3) match VRS's published state-employee averages (46.9, 10.1), which supports using it as the state anchor. </w:t>
            </w:r>
            <w:r>
              <w:rPr>
                <w:b/>
                <w:i w:val="0"/>
                <w:strike w:val="0"/>
              </w:rPr>
              <w:t>No published figure exists for teachers or political subdivisions</w:t>
            </w:r>
            <w:r>
              <w:rPr>
                <w:b w:val="0"/>
                <w:i w:val="0"/>
                <w:strike w:val="0"/>
              </w:rPr>
              <w:t>; ASM-15. Self-identification undercounts, which pushes the central estimate down. Band 0.6× / 1.6×.</w:t>
            </w:r>
          </w:p>
        </w:tc>
      </w:tr>
      <w:tr>
        <w:tc>
          <w:tcPr>
            <w:tcW w:type="dxa" w:w="2880"/>
          </w:tcPr>
          <w:p>
            <w:r>
              <w:rPr>
                <w:b w:val="0"/>
                <w:i w:val="0"/>
                <w:strike w:val="0"/>
              </w:rPr>
              <w:t>Has qualifying active duty service (180+ consecutive days, not dishonorably discharged)</w:t>
            </w:r>
          </w:p>
        </w:tc>
        <w:tc>
          <w:tcPr>
            <w:tcW w:type="dxa" w:w="2880"/>
          </w:tcPr>
          <w:p>
            <w:r>
              <w:rPr>
                <w:b/>
                <w:i w:val="0"/>
                <w:strike w:val="0"/>
              </w:rPr>
              <w:t>80%</w:t>
            </w:r>
          </w:p>
        </w:tc>
        <w:tc>
          <w:tcPr>
            <w:tcW w:type="dxa" w:w="2880"/>
          </w:tcPr>
          <w:p>
            <w:r>
              <w:rPr>
                <w:b w:val="0"/>
                <w:i w:val="0"/>
                <w:strike w:val="0"/>
              </w:rPr>
              <w:t>ASM-16. Assumption. Low 70%, high 90%.</w:t>
            </w:r>
          </w:p>
        </w:tc>
      </w:tr>
      <w:tr>
        <w:tc>
          <w:tcPr>
            <w:tcW w:type="dxa" w:w="2880"/>
          </w:tcPr>
          <w:p>
            <w:r>
              <w:rPr>
                <w:b w:val="0"/>
                <w:i w:val="0"/>
                <w:strike w:val="0"/>
              </w:rPr>
              <w:t>Not barred because the service is counted in military retired pay</w:t>
            </w:r>
          </w:p>
        </w:tc>
        <w:tc>
          <w:tcPr>
            <w:tcW w:type="dxa" w:w="2880"/>
          </w:tcPr>
          <w:p>
            <w:r>
              <w:rPr>
                <w:b/>
                <w:i w:val="0"/>
                <w:strike w:val="0"/>
              </w:rPr>
              <w:t>82%</w:t>
            </w:r>
          </w:p>
        </w:tc>
        <w:tc>
          <w:tcPr>
            <w:tcW w:type="dxa" w:w="2880"/>
          </w:tcPr>
          <w:p>
            <w:r>
              <w:rPr>
                <w:b w:val="0"/>
                <w:i w:val="0"/>
                <w:strike w:val="0"/>
              </w:rPr>
              <w:t xml:space="preserve">ASM-17 / </w:t>
            </w:r>
            <w:r>
              <w:rPr>
                <w:b/>
                <w:i w:val="0"/>
                <w:strike w:val="0"/>
              </w:rPr>
              <w:t>DECISION 3</w:t>
            </w:r>
            <w:r>
              <w:rPr>
                <w:b w:val="0"/>
                <w:i w:val="0"/>
                <w:strike w:val="0"/>
              </w:rPr>
              <w:t>. Assumption. § 51.1-142.2 B bars service counted in any retirement allowance except as required by 10 U.S.C. ch. 1223, and § 51.1-142.4 B 4 and H 5 inherit the bar. Low 75%, high 88%.</w:t>
            </w:r>
          </w:p>
        </w:tc>
      </w:tr>
      <w:tr>
        <w:tc>
          <w:tcPr>
            <w:tcW w:type="dxa" w:w="2880"/>
          </w:tcPr>
          <w:p>
            <w:r>
              <w:rPr>
                <w:b w:val="0"/>
                <w:i w:val="0"/>
                <w:strike w:val="0"/>
              </w:rPr>
              <w:t>Did not already purchase inside the § 51.1-142.2 B 3 24-month window</w:t>
            </w:r>
          </w:p>
        </w:tc>
        <w:tc>
          <w:tcPr>
            <w:tcW w:type="dxa" w:w="2880"/>
          </w:tcPr>
          <w:p>
            <w:r>
              <w:rPr>
                <w:b/>
                <w:i w:val="0"/>
                <w:strike w:val="0"/>
              </w:rPr>
              <w:t>70%</w:t>
            </w:r>
          </w:p>
        </w:tc>
        <w:tc>
          <w:tcPr>
            <w:tcW w:type="dxa" w:w="2880"/>
          </w:tcPr>
          <w:p>
            <w:r>
              <w:rPr>
                <w:b w:val="0"/>
                <w:i w:val="0"/>
                <w:strike w:val="0"/>
              </w:rPr>
              <w:t>ASM-18. Assumption. VRS does not publish purchase-of-prior-service take-up. Members who bought in-window already hold the service as creditable service and gain nothing. Low 55%, high 85%.</w:t>
            </w:r>
          </w:p>
        </w:tc>
      </w:tr>
      <w:tr>
        <w:tc>
          <w:tcPr>
            <w:tcW w:type="dxa" w:w="2880"/>
          </w:tcPr>
          <w:p>
            <w:r>
              <w:rPr>
                <w:b/>
                <w:i w:val="0"/>
                <w:strike w:val="0"/>
              </w:rPr>
              <w:t>Compounded purchasable share</w:t>
            </w:r>
          </w:p>
        </w:tc>
        <w:tc>
          <w:tcPr>
            <w:tcW w:type="dxa" w:w="2880"/>
          </w:tcPr>
          <w:p>
            <w:r>
              <w:rPr>
                <w:b/>
                <w:i w:val="0"/>
                <w:strike w:val="0"/>
              </w:rPr>
              <w:t>2.76%</w:t>
            </w:r>
            <w:r>
              <w:rPr>
                <w:b w:val="0"/>
                <w:i w:val="0"/>
                <w:strike w:val="0"/>
              </w:rPr>
              <w:t xml:space="preserve"> state, 1.15% teacher, 3.22% political subdivision</w:t>
            </w:r>
          </w:p>
        </w:tc>
        <w:tc>
          <w:tcPr>
            <w:tcW w:type="dxa" w:w="2880"/>
          </w:tcPr>
          <w:p/>
        </w:tc>
      </w:tr>
      <w:tr>
        <w:tc>
          <w:tcPr>
            <w:tcW w:type="dxa" w:w="2880"/>
          </w:tcPr>
          <w:p>
            <w:r>
              <w:rPr>
                <w:b w:val="0"/>
                <w:i w:val="0"/>
                <w:strike w:val="0"/>
              </w:rPr>
              <w:t>Behavioural take-up of the bridge among those members</w:t>
            </w:r>
          </w:p>
        </w:tc>
        <w:tc>
          <w:tcPr>
            <w:tcW w:type="dxa" w:w="2880"/>
          </w:tcPr>
          <w:p>
            <w:r>
              <w:rPr>
                <w:b/>
                <w:i w:val="0"/>
                <w:strike w:val="0"/>
              </w:rPr>
              <w:t>20%</w:t>
            </w:r>
            <w:r>
              <w:rPr>
                <w:b w:val="0"/>
                <w:i w:val="0"/>
                <w:strike w:val="0"/>
              </w:rPr>
              <w:t xml:space="preserve"> moderate (10% low, 30% high)</w:t>
            </w:r>
          </w:p>
        </w:tc>
        <w:tc>
          <w:tcPr>
            <w:tcW w:type="dxa" w:w="2880"/>
          </w:tcPr>
          <w:p>
            <w:r>
              <w:rPr>
                <w:b w:val="0"/>
                <w:i w:val="0"/>
                <w:strike w:val="0"/>
              </w:rPr>
              <w:t>ASM-19. Default scenarios; cross-checked against SRC-23 but not evidence-based.</w:t>
            </w:r>
          </w:p>
        </w:tc>
      </w:tr>
    </w:tbl>
    <w:p/>
    <w:p>
      <w:r>
        <w:rPr>
          <w:b w:val="0"/>
          <w:i w:val="0"/>
          <w:strike w:val="0"/>
        </w:rPr>
        <w:t xml:space="preserve">Net result at moderate take-up: </w:t>
      </w:r>
      <w:r>
        <w:rPr>
          <w:b/>
          <w:i w:val="0"/>
          <w:strike w:val="0"/>
        </w:rPr>
        <w:t>222 purchasers over the ten years</w:t>
      </w:r>
      <w:r>
        <w:rPr>
          <w:b w:val="0"/>
          <w:i w:val="0"/>
          <w:strike w:val="0"/>
        </w:rPr>
        <w:t xml:space="preserve">, buying about </w:t>
      </w:r>
      <w:r>
        <w:rPr>
          <w:b/>
          <w:i w:val="0"/>
          <w:strike w:val="0"/>
        </w:rPr>
        <w:t>607 years</w:t>
      </w:r>
      <w:r>
        <w:rPr>
          <w:b w:val="0"/>
          <w:i w:val="0"/>
          <w:strike w:val="0"/>
        </w:rPr>
        <w:t xml:space="preserve"> of eligibility credit and paying about </w:t>
      </w:r>
      <w:r>
        <w:rPr>
          <w:b/>
          <w:i w:val="0"/>
          <w:strike w:val="0"/>
        </w:rPr>
        <w:t>$7.29 million</w:t>
      </w:r>
      <w:r>
        <w:rPr>
          <w:b w:val="0"/>
          <w:i w:val="0"/>
          <w:strike w:val="0"/>
        </w:rPr>
        <w:t xml:space="preserve"> into the trust funds.</w:t>
      </w:r>
    </w:p>
    <w:p>
      <w:pPr>
        <w:jc w:val="center"/>
      </w:pPr>
      <w:r>
        <w:rPr>
          <w:color w:val="909090"/>
          <w:sz w:val="18"/>
        </w:rPr>
        <w:t>* * *</w:t>
      </w:r>
    </w:p>
    <w:p>
      <w:pPr>
        <w:pStyle w:val="Heading2"/>
      </w:pPr>
      <w:r>
        <w:rPr>
          <w:b w:val="0"/>
          <w:i w:val="0"/>
          <w:strike w:val="0"/>
        </w:rPr>
        <w:t>7. Deliverable 3 — employer contribution rate impact, in basis points</w:t>
      </w:r>
    </w:p>
    <w:p>
      <w:r>
        <w:rPr>
          <w:b w:val="0"/>
          <w:i w:val="0"/>
          <w:strike w:val="0"/>
        </w:rPr>
        <w:t xml:space="preserve">Full detail: </w:t>
      </w:r>
      <w:r>
        <w:rPr>
          <w:rFonts w:ascii="Consolas" w:hAnsi="Consolas"/>
          <w:b w:val="0"/>
          <w:i w:val="0"/>
          <w:strike w:val="0"/>
          <w:color w:val="303030"/>
          <w:sz w:val="19"/>
        </w:rPr>
        <w:t>fiscal-model/out/T4-rate-impact.csv</w:t>
      </w:r>
      <w:r>
        <w:rPr>
          <w:b w:val="0"/>
          <w:i w:val="0"/>
          <w:strike w:val="0"/>
        </w:rPr>
        <w:t>. The liability increase is amortized as a level percent of payroll over the published 20-year period at 6.75% interest and 3.00% payroll growth (ASM-20), which mirrors VRS's method but is not VRS's calculation. Published employer DB rates are the FY2027–FY2028 certified rates (SRC-15).</w:t>
      </w:r>
    </w:p>
    <w:p>
      <w:pPr>
        <w:pStyle w:val="Heading3"/>
      </w:pPr>
      <w:r>
        <w:rPr>
          <w:b w:val="0"/>
          <w:i w:val="0"/>
          <w:strike w:val="0"/>
        </w:rPr>
        <w:t>7.1 Headline, moderate take-up, purchase rule as drafted (D4a), φ = 0.50</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i w:val="0"/>
                <w:strike w:val="0"/>
              </w:rPr>
              <w:t>Plan</w:t>
            </w:r>
          </w:p>
        </w:tc>
        <w:tc>
          <w:tcPr>
            <w:tcW w:type="dxa" w:w="864"/>
          </w:tcPr>
          <w:p>
            <w:r>
              <w:rPr>
                <w:b/>
                <w:i w:val="0"/>
                <w:strike w:val="0"/>
              </w:rPr>
              <w:t>Published employer DB rate</w:t>
            </w:r>
          </w:p>
        </w:tc>
        <w:tc>
          <w:tcPr>
            <w:tcW w:type="dxa" w:w="864"/>
          </w:tcPr>
          <w:p>
            <w:r>
              <w:rPr>
                <w:b/>
                <w:i w:val="0"/>
                <w:strike w:val="0"/>
              </w:rPr>
              <w:t>Purchasers FY2029-38</w:t>
            </w:r>
          </w:p>
        </w:tc>
        <w:tc>
          <w:tcPr>
            <w:tcW w:type="dxa" w:w="864"/>
          </w:tcPr>
          <w:p>
            <w:r>
              <w:rPr>
                <w:b/>
                <w:i w:val="0"/>
                <w:strike w:val="0"/>
              </w:rPr>
              <w:t>Member payments received</w:t>
            </w:r>
          </w:p>
        </w:tc>
        <w:tc>
          <w:tcPr>
            <w:tcW w:type="dxa" w:w="864"/>
          </w:tcPr>
          <w:p>
            <w:r>
              <w:rPr>
                <w:b/>
                <w:i w:val="0"/>
                <w:strike w:val="0"/>
              </w:rPr>
              <w:t xml:space="preserve">Value of acceleration — </w:t>
            </w:r>
            <w:r>
              <w:rPr>
                <w:rFonts w:ascii="Consolas" w:hAnsi="Consolas"/>
                <w:b/>
                <w:i w:val="0"/>
                <w:strike w:val="0"/>
                <w:color w:val="303030"/>
                <w:sz w:val="19"/>
              </w:rPr>
              <w:t>SUB</w:t>
            </w:r>
          </w:p>
        </w:tc>
        <w:tc>
          <w:tcPr>
            <w:tcW w:type="dxa" w:w="864"/>
          </w:tcPr>
          <w:p>
            <w:r>
              <w:rPr>
                <w:b/>
                <w:i w:val="0"/>
                <w:strike w:val="0"/>
              </w:rPr>
              <w:t xml:space="preserve">— </w:t>
            </w:r>
            <w:r>
              <w:rPr>
                <w:rFonts w:ascii="Consolas" w:hAnsi="Consolas"/>
                <w:b/>
                <w:i w:val="0"/>
                <w:strike w:val="0"/>
                <w:color w:val="303030"/>
                <w:sz w:val="19"/>
              </w:rPr>
              <w:t>WTE</w:t>
            </w:r>
          </w:p>
        </w:tc>
        <w:tc>
          <w:tcPr>
            <w:tcW w:type="dxa" w:w="864"/>
          </w:tcPr>
          <w:p>
            <w:r>
              <w:rPr>
                <w:b/>
                <w:i w:val="0"/>
                <w:strike w:val="0"/>
              </w:rPr>
              <w:t>— blended</w:t>
            </w:r>
          </w:p>
        </w:tc>
        <w:tc>
          <w:tcPr>
            <w:tcW w:type="dxa" w:w="864"/>
          </w:tcPr>
          <w:p>
            <w:r>
              <w:rPr>
                <w:b/>
                <w:i w:val="0"/>
                <w:strike w:val="0"/>
              </w:rPr>
              <w:t>Net liability increase</w:t>
            </w:r>
          </w:p>
        </w:tc>
        <w:tc>
          <w:tcPr>
            <w:tcW w:type="dxa" w:w="864"/>
          </w:tcPr>
          <w:p>
            <w:r>
              <w:rPr>
                <w:b/>
                <w:i w:val="0"/>
                <w:strike w:val="0"/>
              </w:rPr>
              <w:t>Rate impact</w:t>
            </w:r>
          </w:p>
        </w:tc>
        <w:tc>
          <w:tcPr>
            <w:tcW w:type="dxa" w:w="864"/>
          </w:tcPr>
          <w:p>
            <w:r>
              <w:rPr>
                <w:b/>
                <w:i w:val="0"/>
                <w:strike w:val="0"/>
              </w:rPr>
              <w:t xml:space="preserve">Rate impact on </w:t>
            </w:r>
            <w:r>
              <w:rPr>
                <w:rFonts w:ascii="Consolas" w:hAnsi="Consolas"/>
                <w:b/>
                <w:i w:val="0"/>
                <w:strike w:val="0"/>
                <w:color w:val="303030"/>
                <w:sz w:val="19"/>
              </w:rPr>
              <w:t>SUB</w:t>
            </w:r>
            <w:r>
              <w:rPr>
                <w:b/>
                <w:i w:val="0"/>
                <w:strike w:val="0"/>
              </w:rPr>
              <w:t xml:space="preserve"> measure alone</w:t>
            </w:r>
          </w:p>
        </w:tc>
      </w:tr>
      <w:tr>
        <w:tc>
          <w:tcPr>
            <w:tcW w:type="dxa" w:w="864"/>
          </w:tcPr>
          <w:p>
            <w:r>
              <w:rPr>
                <w:b w:val="0"/>
                <w:i w:val="0"/>
                <w:strike w:val="0"/>
              </w:rPr>
              <w:t>VRS State Employees</w:t>
            </w:r>
          </w:p>
        </w:tc>
        <w:tc>
          <w:tcPr>
            <w:tcW w:type="dxa" w:w="864"/>
          </w:tcPr>
          <w:p>
            <w:r>
              <w:rPr>
                <w:b w:val="0"/>
                <w:i w:val="0"/>
                <w:strike w:val="0"/>
              </w:rPr>
              <w:t>11.07%</w:t>
            </w:r>
          </w:p>
        </w:tc>
        <w:tc>
          <w:tcPr>
            <w:tcW w:type="dxa" w:w="864"/>
          </w:tcPr>
          <w:p>
            <w:r>
              <w:rPr>
                <w:b w:val="0"/>
                <w:i w:val="0"/>
                <w:strike w:val="0"/>
              </w:rPr>
              <w:t>60</w:t>
            </w:r>
          </w:p>
        </w:tc>
        <w:tc>
          <w:tcPr>
            <w:tcW w:type="dxa" w:w="864"/>
          </w:tcPr>
          <w:p>
            <w:r>
              <w:rPr>
                <w:b w:val="0"/>
                <w:i w:val="0"/>
                <w:strike w:val="0"/>
              </w:rPr>
              <w:t>$2.13M</w:t>
            </w:r>
          </w:p>
        </w:tc>
        <w:tc>
          <w:tcPr>
            <w:tcW w:type="dxa" w:w="864"/>
          </w:tcPr>
          <w:p>
            <w:r>
              <w:rPr>
                <w:b w:val="0"/>
                <w:i w:val="0"/>
                <w:strike w:val="0"/>
              </w:rPr>
              <w:t>$7.25M</w:t>
            </w:r>
          </w:p>
        </w:tc>
        <w:tc>
          <w:tcPr>
            <w:tcW w:type="dxa" w:w="864"/>
          </w:tcPr>
          <w:p>
            <w:r>
              <w:rPr>
                <w:b w:val="0"/>
                <w:i w:val="0"/>
                <w:strike w:val="0"/>
              </w:rPr>
              <w:t>$1.11M</w:t>
            </w:r>
          </w:p>
        </w:tc>
        <w:tc>
          <w:tcPr>
            <w:tcW w:type="dxa" w:w="864"/>
          </w:tcPr>
          <w:p>
            <w:r>
              <w:rPr>
                <w:b w:val="0"/>
                <w:i w:val="0"/>
                <w:strike w:val="0"/>
              </w:rPr>
              <w:t>$4.18M</w:t>
            </w:r>
          </w:p>
        </w:tc>
        <w:tc>
          <w:tcPr>
            <w:tcW w:type="dxa" w:w="864"/>
          </w:tcPr>
          <w:p>
            <w:r>
              <w:rPr>
                <w:b w:val="0"/>
                <w:i w:val="0"/>
                <w:strike w:val="0"/>
              </w:rPr>
              <w:t>$2.05M</w:t>
            </w:r>
          </w:p>
        </w:tc>
        <w:tc>
          <w:tcPr>
            <w:tcW w:type="dxa" w:w="864"/>
          </w:tcPr>
          <w:p>
            <w:r>
              <w:rPr>
                <w:b/>
                <w:i w:val="0"/>
                <w:strike w:val="0"/>
              </w:rPr>
              <w:t>0.22 bp</w:t>
            </w:r>
          </w:p>
        </w:tc>
        <w:tc>
          <w:tcPr>
            <w:tcW w:type="dxa" w:w="864"/>
          </w:tcPr>
          <w:p>
            <w:r>
              <w:rPr>
                <w:b w:val="0"/>
                <w:i w:val="0"/>
                <w:strike w:val="0"/>
              </w:rPr>
              <w:t>0.56 bp</w:t>
            </w:r>
          </w:p>
        </w:tc>
      </w:tr>
      <w:tr>
        <w:tc>
          <w:tcPr>
            <w:tcW w:type="dxa" w:w="864"/>
          </w:tcPr>
          <w:p>
            <w:r>
              <w:rPr>
                <w:b w:val="0"/>
                <w:i w:val="0"/>
                <w:strike w:val="0"/>
              </w:rPr>
              <w:t>VRS Teachers</w:t>
            </w:r>
          </w:p>
        </w:tc>
        <w:tc>
          <w:tcPr>
            <w:tcW w:type="dxa" w:w="864"/>
          </w:tcPr>
          <w:p>
            <w:r>
              <w:rPr>
                <w:b w:val="0"/>
                <w:i w:val="0"/>
                <w:strike w:val="0"/>
              </w:rPr>
              <w:t>12.20%</w:t>
            </w:r>
          </w:p>
        </w:tc>
        <w:tc>
          <w:tcPr>
            <w:tcW w:type="dxa" w:w="864"/>
          </w:tcPr>
          <w:p>
            <w:r>
              <w:rPr>
                <w:b w:val="0"/>
                <w:i w:val="0"/>
                <w:strike w:val="0"/>
              </w:rPr>
              <w:t>75</w:t>
            </w:r>
          </w:p>
        </w:tc>
        <w:tc>
          <w:tcPr>
            <w:tcW w:type="dxa" w:w="864"/>
          </w:tcPr>
          <w:p>
            <w:r>
              <w:rPr>
                <w:b w:val="0"/>
                <w:i w:val="0"/>
                <w:strike w:val="0"/>
              </w:rPr>
              <w:t>$2.35M</w:t>
            </w:r>
          </w:p>
        </w:tc>
        <w:tc>
          <w:tcPr>
            <w:tcW w:type="dxa" w:w="864"/>
          </w:tcPr>
          <w:p>
            <w:r>
              <w:rPr>
                <w:b w:val="0"/>
                <w:i w:val="0"/>
                <w:strike w:val="0"/>
              </w:rPr>
              <w:t>$10.45M</w:t>
            </w:r>
          </w:p>
        </w:tc>
        <w:tc>
          <w:tcPr>
            <w:tcW w:type="dxa" w:w="864"/>
          </w:tcPr>
          <w:p>
            <w:r>
              <w:rPr>
                <w:b w:val="0"/>
                <w:i w:val="0"/>
                <w:strike w:val="0"/>
              </w:rPr>
              <w:t>$1.22M</w:t>
            </w:r>
          </w:p>
        </w:tc>
        <w:tc>
          <w:tcPr>
            <w:tcW w:type="dxa" w:w="864"/>
          </w:tcPr>
          <w:p>
            <w:r>
              <w:rPr>
                <w:b w:val="0"/>
                <w:i w:val="0"/>
                <w:strike w:val="0"/>
              </w:rPr>
              <w:t>$5.83M</w:t>
            </w:r>
          </w:p>
        </w:tc>
        <w:tc>
          <w:tcPr>
            <w:tcW w:type="dxa" w:w="864"/>
          </w:tcPr>
          <w:p>
            <w:r>
              <w:rPr>
                <w:b w:val="0"/>
                <w:i w:val="0"/>
                <w:strike w:val="0"/>
              </w:rPr>
              <w:t>$3.48M</w:t>
            </w:r>
          </w:p>
        </w:tc>
        <w:tc>
          <w:tcPr>
            <w:tcW w:type="dxa" w:w="864"/>
          </w:tcPr>
          <w:p>
            <w:r>
              <w:rPr>
                <w:b/>
                <w:i w:val="0"/>
                <w:strike w:val="0"/>
              </w:rPr>
              <w:t>0.20 bp</w:t>
            </w:r>
          </w:p>
        </w:tc>
        <w:tc>
          <w:tcPr>
            <w:tcW w:type="dxa" w:w="864"/>
          </w:tcPr>
          <w:p>
            <w:r>
              <w:rPr>
                <w:b w:val="0"/>
                <w:i w:val="0"/>
                <w:strike w:val="0"/>
              </w:rPr>
              <w:t>0.47 bp</w:t>
            </w:r>
          </w:p>
        </w:tc>
      </w:tr>
      <w:tr>
        <w:tc>
          <w:tcPr>
            <w:tcW w:type="dxa" w:w="864"/>
          </w:tcPr>
          <w:p>
            <w:r>
              <w:rPr>
                <w:b w:val="0"/>
                <w:i w:val="0"/>
                <w:strike w:val="0"/>
              </w:rPr>
              <w:t>Participating political subdivisions (aggregate)</w:t>
            </w:r>
          </w:p>
        </w:tc>
        <w:tc>
          <w:tcPr>
            <w:tcW w:type="dxa" w:w="864"/>
          </w:tcPr>
          <w:p>
            <w:r>
              <w:rPr>
                <w:b w:val="0"/>
                <w:i w:val="0"/>
                <w:strike w:val="0"/>
              </w:rPr>
              <w:t>10.59%</w:t>
            </w:r>
          </w:p>
        </w:tc>
        <w:tc>
          <w:tcPr>
            <w:tcW w:type="dxa" w:w="864"/>
          </w:tcPr>
          <w:p>
            <w:r>
              <w:rPr>
                <w:b w:val="0"/>
                <w:i w:val="0"/>
                <w:strike w:val="0"/>
              </w:rPr>
              <w:t>88</w:t>
            </w:r>
          </w:p>
        </w:tc>
        <w:tc>
          <w:tcPr>
            <w:tcW w:type="dxa" w:w="864"/>
          </w:tcPr>
          <w:p>
            <w:r>
              <w:rPr>
                <w:b w:val="0"/>
                <w:i w:val="0"/>
                <w:strike w:val="0"/>
              </w:rPr>
              <w:t>$2.80M</w:t>
            </w:r>
          </w:p>
        </w:tc>
        <w:tc>
          <w:tcPr>
            <w:tcW w:type="dxa" w:w="864"/>
          </w:tcPr>
          <w:p>
            <w:r>
              <w:rPr>
                <w:b w:val="0"/>
                <w:i w:val="0"/>
                <w:strike w:val="0"/>
              </w:rPr>
              <w:t>$7.33M</w:t>
            </w:r>
          </w:p>
        </w:tc>
        <w:tc>
          <w:tcPr>
            <w:tcW w:type="dxa" w:w="864"/>
          </w:tcPr>
          <w:p>
            <w:r>
              <w:rPr>
                <w:b w:val="0"/>
                <w:i w:val="0"/>
                <w:strike w:val="0"/>
              </w:rPr>
              <w:t>$1.53M</w:t>
            </w:r>
          </w:p>
        </w:tc>
        <w:tc>
          <w:tcPr>
            <w:tcW w:type="dxa" w:w="864"/>
          </w:tcPr>
          <w:p>
            <w:r>
              <w:rPr>
                <w:b w:val="0"/>
                <w:i w:val="0"/>
                <w:strike w:val="0"/>
              </w:rPr>
              <w:t>$4.43M</w:t>
            </w:r>
          </w:p>
        </w:tc>
        <w:tc>
          <w:tcPr>
            <w:tcW w:type="dxa" w:w="864"/>
          </w:tcPr>
          <w:p>
            <w:r>
              <w:rPr>
                <w:b w:val="0"/>
                <w:i w:val="0"/>
                <w:strike w:val="0"/>
              </w:rPr>
              <w:t>$1.62M</w:t>
            </w:r>
          </w:p>
        </w:tc>
        <w:tc>
          <w:tcPr>
            <w:tcW w:type="dxa" w:w="864"/>
          </w:tcPr>
          <w:p>
            <w:r>
              <w:rPr>
                <w:b/>
                <w:i w:val="0"/>
                <w:strike w:val="0"/>
              </w:rPr>
              <w:t>0.14 bp</w:t>
            </w:r>
          </w:p>
        </w:tc>
        <w:tc>
          <w:tcPr>
            <w:tcW w:type="dxa" w:w="864"/>
          </w:tcPr>
          <w:p>
            <w:r>
              <w:rPr>
                <w:b w:val="0"/>
                <w:i w:val="0"/>
                <w:strike w:val="0"/>
              </w:rPr>
              <w:t>0.39 bp</w:t>
            </w:r>
          </w:p>
        </w:tc>
      </w:tr>
      <w:tr>
        <w:tc>
          <w:tcPr>
            <w:tcW w:type="dxa" w:w="864"/>
          </w:tcPr>
          <w:p>
            <w:r>
              <w:rPr>
                <w:b/>
                <w:i w:val="0"/>
                <w:strike w:val="0"/>
              </w:rPr>
              <w:t>Combined</w:t>
            </w:r>
          </w:p>
        </w:tc>
        <w:tc>
          <w:tcPr>
            <w:tcW w:type="dxa" w:w="864"/>
          </w:tcPr>
          <w:p>
            <w:r>
              <w:rPr>
                <w:b w:val="0"/>
                <w:i w:val="0"/>
                <w:strike w:val="0"/>
              </w:rPr>
              <w:t>—</w:t>
            </w:r>
          </w:p>
        </w:tc>
        <w:tc>
          <w:tcPr>
            <w:tcW w:type="dxa" w:w="864"/>
          </w:tcPr>
          <w:p>
            <w:r>
              <w:rPr>
                <w:b/>
                <w:i w:val="0"/>
                <w:strike w:val="0"/>
              </w:rPr>
              <w:t>222</w:t>
            </w:r>
          </w:p>
        </w:tc>
        <w:tc>
          <w:tcPr>
            <w:tcW w:type="dxa" w:w="864"/>
          </w:tcPr>
          <w:p>
            <w:r>
              <w:rPr>
                <w:b/>
                <w:i w:val="0"/>
                <w:strike w:val="0"/>
              </w:rPr>
              <w:t>$7.29M</w:t>
            </w:r>
          </w:p>
        </w:tc>
        <w:tc>
          <w:tcPr>
            <w:tcW w:type="dxa" w:w="864"/>
          </w:tcPr>
          <w:p>
            <w:r>
              <w:rPr>
                <w:b/>
                <w:i w:val="0"/>
                <w:strike w:val="0"/>
              </w:rPr>
              <w:t>$25.03M</w:t>
            </w:r>
          </w:p>
        </w:tc>
        <w:tc>
          <w:tcPr>
            <w:tcW w:type="dxa" w:w="864"/>
          </w:tcPr>
          <w:p>
            <w:r>
              <w:rPr>
                <w:b/>
                <w:i w:val="0"/>
                <w:strike w:val="0"/>
              </w:rPr>
              <w:t>$3.86M</w:t>
            </w:r>
          </w:p>
        </w:tc>
        <w:tc>
          <w:tcPr>
            <w:tcW w:type="dxa" w:w="864"/>
          </w:tcPr>
          <w:p>
            <w:r>
              <w:rPr>
                <w:b/>
                <w:i w:val="0"/>
                <w:strike w:val="0"/>
              </w:rPr>
              <w:t>$14.44M</w:t>
            </w:r>
          </w:p>
        </w:tc>
        <w:tc>
          <w:tcPr>
            <w:tcW w:type="dxa" w:w="864"/>
          </w:tcPr>
          <w:p>
            <w:r>
              <w:rPr>
                <w:b/>
                <w:i w:val="0"/>
                <w:strike w:val="0"/>
              </w:rPr>
              <w:t>$7.15M</w:t>
            </w:r>
          </w:p>
        </w:tc>
        <w:tc>
          <w:tcPr>
            <w:tcW w:type="dxa" w:w="864"/>
          </w:tcPr>
          <w:p>
            <w:r>
              <w:rPr>
                <w:b/>
                <w:i w:val="0"/>
                <w:strike w:val="0"/>
              </w:rPr>
              <w:t>0.19 bp</w:t>
            </w:r>
          </w:p>
        </w:tc>
        <w:tc>
          <w:tcPr>
            <w:tcW w:type="dxa" w:w="864"/>
          </w:tcPr>
          <w:p>
            <w:r>
              <w:rPr>
                <w:b/>
                <w:i w:val="0"/>
                <w:strike w:val="0"/>
              </w:rPr>
              <w:t>0.47 bp</w:t>
            </w:r>
          </w:p>
        </w:tc>
      </w:tr>
    </w:tbl>
    <w:p/>
    <w:p>
      <w:r>
        <w:rPr>
          <w:b/>
          <w:i w:val="0"/>
          <w:strike w:val="0"/>
        </w:rPr>
        <w:t>Rounded to the basis point, every plan's employer contribution rate is unchanged.</w:t>
      </w:r>
      <w:r>
        <w:rPr>
          <w:b w:val="0"/>
          <w:i w:val="0"/>
          <w:strike w:val="0"/>
        </w:rPr>
        <w:t xml:space="preserve"> The state rate goes from 11.07% to 11.07%; the teacher rate from 12.20% to 12.20%.</w:t>
      </w:r>
    </w:p>
    <w:p>
      <w:pPr>
        <w:pStyle w:val="Heading3"/>
      </w:pPr>
      <w:r>
        <w:rPr>
          <w:b w:val="0"/>
          <w:i w:val="0"/>
          <w:strike w:val="0"/>
        </w:rPr>
        <w:t>7.2 Sensitivity over take-up and the DECISION 4 purchase rule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i w:val="0"/>
                <w:strike w:val="0"/>
              </w:rPr>
              <w:t>Take-up L (10%)</w:t>
            </w:r>
          </w:p>
        </w:tc>
        <w:tc>
          <w:tcPr>
            <w:tcW w:type="dxa" w:w="2160"/>
          </w:tcPr>
          <w:p>
            <w:r>
              <w:rPr>
                <w:b/>
                <w:i w:val="0"/>
                <w:strike w:val="0"/>
              </w:rPr>
              <w:t>Take-up M (20%)</w:t>
            </w:r>
          </w:p>
        </w:tc>
        <w:tc>
          <w:tcPr>
            <w:tcW w:type="dxa" w:w="2160"/>
          </w:tcPr>
          <w:p>
            <w:r>
              <w:rPr>
                <w:b/>
                <w:i w:val="0"/>
                <w:strike w:val="0"/>
              </w:rPr>
              <w:t>Take-up H (30%)</w:t>
            </w:r>
          </w:p>
        </w:tc>
      </w:tr>
      <w:tr>
        <w:tc>
          <w:tcPr>
            <w:tcW w:type="dxa" w:w="2160"/>
          </w:tcPr>
          <w:p>
            <w:r>
              <w:rPr>
                <w:b/>
                <w:i w:val="0"/>
                <w:strike w:val="0"/>
              </w:rPr>
              <w:t>State plan</w:t>
            </w:r>
            <w:r>
              <w:rPr>
                <w:b w:val="0"/>
                <w:i w:val="0"/>
                <w:strike w:val="0"/>
              </w:rPr>
              <w:t xml:space="preserve"> — D4a as drafted</w:t>
            </w:r>
          </w:p>
        </w:tc>
        <w:tc>
          <w:tcPr>
            <w:tcW w:type="dxa" w:w="2160"/>
          </w:tcPr>
          <w:p>
            <w:r>
              <w:rPr>
                <w:b w:val="0"/>
                <w:i w:val="0"/>
                <w:strike w:val="0"/>
              </w:rPr>
              <w:t>0.11 bp</w:t>
            </w:r>
          </w:p>
        </w:tc>
        <w:tc>
          <w:tcPr>
            <w:tcW w:type="dxa" w:w="2160"/>
          </w:tcPr>
          <w:p>
            <w:r>
              <w:rPr>
                <w:b/>
                <w:i w:val="0"/>
                <w:strike w:val="0"/>
              </w:rPr>
              <w:t>0.22 bp</w:t>
            </w:r>
          </w:p>
        </w:tc>
        <w:tc>
          <w:tcPr>
            <w:tcW w:type="dxa" w:w="2160"/>
          </w:tcPr>
          <w:p>
            <w:r>
              <w:rPr>
                <w:b w:val="0"/>
                <w:i w:val="0"/>
                <w:strike w:val="0"/>
              </w:rPr>
              <w:t>0.34 bp</w:t>
            </w:r>
          </w:p>
        </w:tc>
      </w:tr>
      <w:tr>
        <w:tc>
          <w:tcPr>
            <w:tcW w:type="dxa" w:w="2160"/>
          </w:tcPr>
          <w:p>
            <w:r>
              <w:rPr>
                <w:b/>
                <w:i w:val="0"/>
                <w:strike w:val="0"/>
              </w:rPr>
              <w:t>State plan</w:t>
            </w:r>
            <w:r>
              <w:rPr>
                <w:b w:val="0"/>
                <w:i w:val="0"/>
                <w:strike w:val="0"/>
              </w:rPr>
              <w:t xml:space="preserve"> — D4b stricter</w:t>
            </w:r>
          </w:p>
        </w:tc>
        <w:tc>
          <w:tcPr>
            <w:tcW w:type="dxa" w:w="2160"/>
          </w:tcPr>
          <w:p>
            <w:r>
              <w:rPr>
                <w:b w:val="0"/>
                <w:i w:val="0"/>
                <w:strike w:val="0"/>
              </w:rPr>
              <w:t>0.08 bp</w:t>
            </w:r>
          </w:p>
        </w:tc>
        <w:tc>
          <w:tcPr>
            <w:tcW w:type="dxa" w:w="2160"/>
          </w:tcPr>
          <w:p>
            <w:r>
              <w:rPr>
                <w:b w:val="0"/>
                <w:i w:val="0"/>
                <w:strike w:val="0"/>
              </w:rPr>
              <w:t>0.15 bp</w:t>
            </w:r>
          </w:p>
        </w:tc>
        <w:tc>
          <w:tcPr>
            <w:tcW w:type="dxa" w:w="2160"/>
          </w:tcPr>
          <w:p>
            <w:r>
              <w:rPr>
                <w:b w:val="0"/>
                <w:i w:val="0"/>
                <w:strike w:val="0"/>
              </w:rPr>
              <w:t>0.23 bp</w:t>
            </w:r>
          </w:p>
        </w:tc>
      </w:tr>
      <w:tr>
        <w:tc>
          <w:tcPr>
            <w:tcW w:type="dxa" w:w="2160"/>
          </w:tcPr>
          <w:p>
            <w:r>
              <w:rPr>
                <w:b/>
                <w:i w:val="0"/>
                <w:strike w:val="0"/>
              </w:rPr>
              <w:t>Teacher plan</w:t>
            </w:r>
            <w:r>
              <w:rPr>
                <w:b w:val="0"/>
                <w:i w:val="0"/>
                <w:strike w:val="0"/>
              </w:rPr>
              <w:t xml:space="preserve"> — D4a</w:t>
            </w:r>
          </w:p>
        </w:tc>
        <w:tc>
          <w:tcPr>
            <w:tcW w:type="dxa" w:w="2160"/>
          </w:tcPr>
          <w:p>
            <w:r>
              <w:rPr>
                <w:b w:val="0"/>
                <w:i w:val="0"/>
                <w:strike w:val="0"/>
              </w:rPr>
              <w:t>0.10 bp</w:t>
            </w:r>
          </w:p>
        </w:tc>
        <w:tc>
          <w:tcPr>
            <w:tcW w:type="dxa" w:w="2160"/>
          </w:tcPr>
          <w:p>
            <w:r>
              <w:rPr>
                <w:b/>
                <w:i w:val="0"/>
                <w:strike w:val="0"/>
              </w:rPr>
              <w:t>0.20 bp</w:t>
            </w:r>
          </w:p>
        </w:tc>
        <w:tc>
          <w:tcPr>
            <w:tcW w:type="dxa" w:w="2160"/>
          </w:tcPr>
          <w:p>
            <w:r>
              <w:rPr>
                <w:b w:val="0"/>
                <w:i w:val="0"/>
                <w:strike w:val="0"/>
              </w:rPr>
              <w:t>0.31 bp</w:t>
            </w:r>
          </w:p>
        </w:tc>
      </w:tr>
      <w:tr>
        <w:tc>
          <w:tcPr>
            <w:tcW w:type="dxa" w:w="2160"/>
          </w:tcPr>
          <w:p>
            <w:r>
              <w:rPr>
                <w:b/>
                <w:i w:val="0"/>
                <w:strike w:val="0"/>
              </w:rPr>
              <w:t>Teacher plan</w:t>
            </w:r>
            <w:r>
              <w:rPr>
                <w:b w:val="0"/>
                <w:i w:val="0"/>
                <w:strike w:val="0"/>
              </w:rPr>
              <w:t xml:space="preserve"> — D4b</w:t>
            </w:r>
          </w:p>
        </w:tc>
        <w:tc>
          <w:tcPr>
            <w:tcW w:type="dxa" w:w="2160"/>
          </w:tcPr>
          <w:p>
            <w:r>
              <w:rPr>
                <w:b w:val="0"/>
                <w:i w:val="0"/>
                <w:strike w:val="0"/>
              </w:rPr>
              <w:t>0.07 bp</w:t>
            </w:r>
          </w:p>
        </w:tc>
        <w:tc>
          <w:tcPr>
            <w:tcW w:type="dxa" w:w="2160"/>
          </w:tcPr>
          <w:p>
            <w:r>
              <w:rPr>
                <w:b w:val="0"/>
                <w:i w:val="0"/>
                <w:strike w:val="0"/>
              </w:rPr>
              <w:t>0.14 bp</w:t>
            </w:r>
          </w:p>
        </w:tc>
        <w:tc>
          <w:tcPr>
            <w:tcW w:type="dxa" w:w="2160"/>
          </w:tcPr>
          <w:p>
            <w:r>
              <w:rPr>
                <w:b w:val="0"/>
                <w:i w:val="0"/>
                <w:strike w:val="0"/>
              </w:rPr>
              <w:t>0.21 bp</w:t>
            </w:r>
          </w:p>
        </w:tc>
      </w:tr>
      <w:tr>
        <w:tc>
          <w:tcPr>
            <w:tcW w:type="dxa" w:w="2160"/>
          </w:tcPr>
          <w:p>
            <w:r>
              <w:rPr>
                <w:b/>
                <w:i w:val="0"/>
                <w:strike w:val="0"/>
              </w:rPr>
              <w:t>Political subdivisions</w:t>
            </w:r>
            <w:r>
              <w:rPr>
                <w:b w:val="0"/>
                <w:i w:val="0"/>
                <w:strike w:val="0"/>
              </w:rPr>
              <w:t xml:space="preserve"> — D4a</w:t>
            </w:r>
          </w:p>
        </w:tc>
        <w:tc>
          <w:tcPr>
            <w:tcW w:type="dxa" w:w="2160"/>
          </w:tcPr>
          <w:p>
            <w:r>
              <w:rPr>
                <w:b w:val="0"/>
                <w:i w:val="0"/>
                <w:strike w:val="0"/>
              </w:rPr>
              <w:t>0.07 bp</w:t>
            </w:r>
          </w:p>
        </w:tc>
        <w:tc>
          <w:tcPr>
            <w:tcW w:type="dxa" w:w="2160"/>
          </w:tcPr>
          <w:p>
            <w:r>
              <w:rPr>
                <w:b/>
                <w:i w:val="0"/>
                <w:strike w:val="0"/>
              </w:rPr>
              <w:t>0.14 bp</w:t>
            </w:r>
          </w:p>
        </w:tc>
        <w:tc>
          <w:tcPr>
            <w:tcW w:type="dxa" w:w="2160"/>
          </w:tcPr>
          <w:p>
            <w:r>
              <w:rPr>
                <w:b w:val="0"/>
                <w:i w:val="0"/>
                <w:strike w:val="0"/>
              </w:rPr>
              <w:t>0.21 bp</w:t>
            </w:r>
          </w:p>
        </w:tc>
      </w:tr>
      <w:tr>
        <w:tc>
          <w:tcPr>
            <w:tcW w:type="dxa" w:w="2160"/>
          </w:tcPr>
          <w:p>
            <w:r>
              <w:rPr>
                <w:b/>
                <w:i w:val="0"/>
                <w:strike w:val="0"/>
              </w:rPr>
              <w:t>Political subdivisions</w:t>
            </w:r>
            <w:r>
              <w:rPr>
                <w:b w:val="0"/>
                <w:i w:val="0"/>
                <w:strike w:val="0"/>
              </w:rPr>
              <w:t xml:space="preserve"> — D4b</w:t>
            </w:r>
          </w:p>
        </w:tc>
        <w:tc>
          <w:tcPr>
            <w:tcW w:type="dxa" w:w="2160"/>
          </w:tcPr>
          <w:p>
            <w:r>
              <w:rPr>
                <w:b w:val="0"/>
                <w:i w:val="0"/>
                <w:strike w:val="0"/>
              </w:rPr>
              <w:t>0.05 bp</w:t>
            </w:r>
          </w:p>
        </w:tc>
        <w:tc>
          <w:tcPr>
            <w:tcW w:type="dxa" w:w="2160"/>
          </w:tcPr>
          <w:p>
            <w:r>
              <w:rPr>
                <w:b w:val="0"/>
                <w:i w:val="0"/>
                <w:strike w:val="0"/>
              </w:rPr>
              <w:t>0.10 bp</w:t>
            </w:r>
          </w:p>
        </w:tc>
        <w:tc>
          <w:tcPr>
            <w:tcW w:type="dxa" w:w="2160"/>
          </w:tcPr>
          <w:p>
            <w:r>
              <w:rPr>
                <w:b w:val="0"/>
                <w:i w:val="0"/>
                <w:strike w:val="0"/>
              </w:rPr>
              <w:t>0.14 bp</w:t>
            </w:r>
          </w:p>
        </w:tc>
      </w:tr>
    </w:tbl>
    <w:p/>
    <w:p>
      <w:r>
        <w:rPr>
          <w:b/>
          <w:i w:val="0"/>
          <w:strike w:val="0"/>
        </w:rPr>
        <w:t>DECISION 4 is worth about a third of the cost.</w:t>
      </w:r>
      <w:r>
        <w:rPr>
          <w:b w:val="0"/>
          <w:i w:val="0"/>
          <w:strike w:val="0"/>
        </w:rPr>
        <w:t xml:space="preserve"> The stricter rule — permit a purchase only where the deficit is fully coverable, so that the purchase itself completes eligibility — cuts modeled purchasers from </w:t>
      </w:r>
      <w:r>
        <w:rPr>
          <w:b/>
          <w:i w:val="0"/>
          <w:strike w:val="0"/>
        </w:rPr>
        <w:t>222 to 137</w:t>
      </w:r>
      <w:r>
        <w:rPr>
          <w:b w:val="0"/>
          <w:i w:val="0"/>
          <w:strike w:val="0"/>
        </w:rPr>
        <w:t xml:space="preserve"> and the aggregate impact from </w:t>
      </w:r>
      <w:r>
        <w:rPr>
          <w:b/>
          <w:i w:val="0"/>
          <w:strike w:val="0"/>
        </w:rPr>
        <w:t>0.19 to 0.13 basis points</w:t>
      </w:r>
      <w:r>
        <w:rPr>
          <w:b w:val="0"/>
          <w:i w:val="0"/>
          <w:strike w:val="0"/>
        </w:rPr>
        <w:t xml:space="preserve">, because it excludes every veteran whose qualifying service is shorter than their deficit. </w:t>
      </w:r>
      <w:r>
        <w:rPr>
          <w:rFonts w:ascii="Consolas" w:hAnsi="Consolas"/>
          <w:b w:val="0"/>
          <w:i w:val="0"/>
          <w:strike w:val="0"/>
          <w:color w:val="303030"/>
          <w:sz w:val="19"/>
        </w:rPr>
        <w:t>fiscal-model/out/T2b-decision4.csv</w:t>
      </w:r>
      <w:r>
        <w:rPr>
          <w:b w:val="0"/>
          <w:i w:val="0"/>
          <w:strike w:val="0"/>
        </w:rPr>
        <w:t xml:space="preserve"> shows the member-level trade-off: a Profile A veteran with three years of qualifying service against a four-year deficit either buys three years and retires at 51 instead of 54 (rule as drafted, paying $31,875 for $297,542 of frozen-service value), or gets nothing at all (stricter rule). </w:t>
      </w:r>
      <w:r>
        <w:rPr>
          <w:b/>
          <w:i w:val="0"/>
          <w:strike w:val="0"/>
        </w:rPr>
        <w:t>The drafted rule is the more protective one and costs about 0.06 basis points.</w:t>
      </w:r>
      <w:r>
        <w:rPr>
          <w:b w:val="0"/>
          <w:i w:val="0"/>
          <w:strike w:val="0"/>
        </w:rPr>
        <w:t xml:space="preserve"> That is the number to put in front of the JLC.</w:t>
      </w:r>
    </w:p>
    <w:p>
      <w:pPr>
        <w:pStyle w:val="Heading3"/>
      </w:pPr>
      <w:r>
        <w:rPr>
          <w:b w:val="0"/>
          <w:i w:val="0"/>
          <w:strike w:val="0"/>
        </w:rPr>
        <w:t>7.3 What moves the answer</w:t>
      </w:r>
    </w:p>
    <w:p>
      <w:r>
        <w:rPr>
          <w:b w:val="0"/>
          <w:i w:val="0"/>
          <w:strike w:val="0"/>
        </w:rPr>
        <w:t xml:space="preserve">Full detail: </w:t>
      </w:r>
      <w:r>
        <w:rPr>
          <w:rFonts w:ascii="Consolas" w:hAnsi="Consolas"/>
          <w:b w:val="0"/>
          <w:i w:val="0"/>
          <w:strike w:val="0"/>
          <w:color w:val="303030"/>
          <w:sz w:val="19"/>
        </w:rPr>
        <w:t>fiscal-model/out/T5-sensitivity.csv</w:t>
      </w:r>
      <w:r>
        <w:rPr>
          <w:b w:val="0"/>
          <w:i w:val="0"/>
          <w:strike w:val="0"/>
        </w:rPr>
        <w:t>. Aggregate across all three plans; central case 0.19 bp.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Driver</w:t>
            </w:r>
          </w:p>
        </w:tc>
        <w:tc>
          <w:tcPr>
            <w:tcW w:type="dxa" w:w="1728"/>
          </w:tcPr>
          <w:p>
            <w:r>
              <w:rPr>
                <w:b/>
                <w:i w:val="0"/>
                <w:strike w:val="0"/>
              </w:rPr>
              <w:t>Variant</w:t>
            </w:r>
          </w:p>
        </w:tc>
        <w:tc>
          <w:tcPr>
            <w:tcW w:type="dxa" w:w="1728"/>
          </w:tcPr>
          <w:p>
            <w:r>
              <w:rPr>
                <w:b/>
                <w:i w:val="0"/>
                <w:strike w:val="0"/>
              </w:rPr>
              <w:t>Net liability increase</w:t>
            </w:r>
          </w:p>
        </w:tc>
        <w:tc>
          <w:tcPr>
            <w:tcW w:type="dxa" w:w="1728"/>
          </w:tcPr>
          <w:p>
            <w:r>
              <w:rPr>
                <w:b/>
                <w:i w:val="0"/>
                <w:strike w:val="0"/>
              </w:rPr>
              <w:t>Aggregate impact</w:t>
            </w:r>
          </w:p>
        </w:tc>
        <w:tc>
          <w:tcPr>
            <w:tcW w:type="dxa" w:w="1728"/>
          </w:tcPr>
          <w:p>
            <w:r>
              <w:rPr>
                <w:b/>
                <w:i w:val="0"/>
                <w:strike w:val="0"/>
              </w:rPr>
              <w:t>Change</w:t>
            </w:r>
          </w:p>
        </w:tc>
      </w:tr>
      <w:tr>
        <w:tc>
          <w:tcPr>
            <w:tcW w:type="dxa" w:w="1728"/>
          </w:tcPr>
          <w:p>
            <w:r>
              <w:rPr>
                <w:b/>
                <w:i w:val="0"/>
                <w:strike w:val="0"/>
              </w:rPr>
              <w:t>Veteran / purchasability funnel (ASM-15 to ASM-18)</w:t>
            </w:r>
          </w:p>
        </w:tc>
        <w:tc>
          <w:tcPr>
            <w:tcW w:type="dxa" w:w="1728"/>
          </w:tcPr>
          <w:p>
            <w:r>
              <w:rPr>
                <w:b/>
                <w:i w:val="0"/>
                <w:strike w:val="0"/>
              </w:rPr>
              <w:t>low</w:t>
            </w:r>
          </w:p>
        </w:tc>
        <w:tc>
          <w:tcPr>
            <w:tcW w:type="dxa" w:w="1728"/>
          </w:tcPr>
          <w:p>
            <w:r>
              <w:rPr>
                <w:b w:val="0"/>
                <w:i w:val="0"/>
                <w:strike w:val="0"/>
              </w:rPr>
              <w:t>$2.70M</w:t>
            </w:r>
          </w:p>
        </w:tc>
        <w:tc>
          <w:tcPr>
            <w:tcW w:type="dxa" w:w="1728"/>
          </w:tcPr>
          <w:p>
            <w:r>
              <w:rPr>
                <w:b/>
                <w:i w:val="0"/>
                <w:strike w:val="0"/>
              </w:rPr>
              <w:t>0.07 bp</w:t>
            </w:r>
          </w:p>
        </w:tc>
        <w:tc>
          <w:tcPr>
            <w:tcW w:type="dxa" w:w="1728"/>
          </w:tcPr>
          <w:p>
            <w:r>
              <w:rPr>
                <w:b/>
                <w:i w:val="0"/>
                <w:strike w:val="0"/>
              </w:rPr>
              <w:t>−0.12</w:t>
            </w:r>
          </w:p>
        </w:tc>
      </w:tr>
      <w:tr>
        <w:tc>
          <w:tcPr>
            <w:tcW w:type="dxa" w:w="1728"/>
          </w:tcPr>
          <w:p/>
        </w:tc>
        <w:tc>
          <w:tcPr>
            <w:tcW w:type="dxa" w:w="1728"/>
          </w:tcPr>
          <w:p>
            <w:r>
              <w:rPr>
                <w:b/>
                <w:i w:val="0"/>
                <w:strike w:val="0"/>
              </w:rPr>
              <w:t>high</w:t>
            </w:r>
          </w:p>
        </w:tc>
        <w:tc>
          <w:tcPr>
            <w:tcW w:type="dxa" w:w="1728"/>
          </w:tcPr>
          <w:p>
            <w:r>
              <w:rPr>
                <w:b w:val="0"/>
                <w:i w:val="0"/>
                <w:strike w:val="0"/>
              </w:rPr>
              <w:t>$16.78M</w:t>
            </w:r>
          </w:p>
        </w:tc>
        <w:tc>
          <w:tcPr>
            <w:tcW w:type="dxa" w:w="1728"/>
          </w:tcPr>
          <w:p>
            <w:r>
              <w:rPr>
                <w:b/>
                <w:i w:val="0"/>
                <w:strike w:val="0"/>
              </w:rPr>
              <w:t>0.44 bp</w:t>
            </w:r>
          </w:p>
        </w:tc>
        <w:tc>
          <w:tcPr>
            <w:tcW w:type="dxa" w:w="1728"/>
          </w:tcPr>
          <w:p>
            <w:r>
              <w:rPr>
                <w:b/>
                <w:i w:val="0"/>
                <w:strike w:val="0"/>
              </w:rPr>
              <w:t>+0.25</w:t>
            </w:r>
          </w:p>
        </w:tc>
      </w:tr>
      <w:tr>
        <w:tc>
          <w:tcPr>
            <w:tcW w:type="dxa" w:w="1728"/>
          </w:tcPr>
          <w:p>
            <w:r>
              <w:rPr>
                <w:b/>
                <w:i w:val="0"/>
                <w:strike w:val="0"/>
              </w:rPr>
              <w:t>Behavioural mix φ (ASM-22)</w:t>
            </w:r>
          </w:p>
        </w:tc>
        <w:tc>
          <w:tcPr>
            <w:tcW w:type="dxa" w:w="1728"/>
          </w:tcPr>
          <w:p>
            <w:r>
              <w:rPr>
                <w:b w:val="0"/>
                <w:i w:val="0"/>
                <w:strike w:val="0"/>
              </w:rPr>
              <w:t>0.25 — more purchasers leaving anyway</w:t>
            </w:r>
          </w:p>
        </w:tc>
        <w:tc>
          <w:tcPr>
            <w:tcW w:type="dxa" w:w="1728"/>
          </w:tcPr>
          <w:p>
            <w:r>
              <w:rPr>
                <w:b w:val="0"/>
                <w:i w:val="0"/>
                <w:strike w:val="0"/>
              </w:rPr>
              <w:t>$12.44M</w:t>
            </w:r>
          </w:p>
        </w:tc>
        <w:tc>
          <w:tcPr>
            <w:tcW w:type="dxa" w:w="1728"/>
          </w:tcPr>
          <w:p>
            <w:r>
              <w:rPr>
                <w:b w:val="0"/>
                <w:i w:val="0"/>
                <w:strike w:val="0"/>
              </w:rPr>
              <w:t>0.33 bp</w:t>
            </w:r>
          </w:p>
        </w:tc>
        <w:tc>
          <w:tcPr>
            <w:tcW w:type="dxa" w:w="1728"/>
          </w:tcPr>
          <w:p>
            <w:r>
              <w:rPr>
                <w:b w:val="0"/>
                <w:i w:val="0"/>
                <w:strike w:val="0"/>
              </w:rPr>
              <w:t>+0.14</w:t>
            </w:r>
          </w:p>
        </w:tc>
      </w:tr>
      <w:tr>
        <w:tc>
          <w:tcPr>
            <w:tcW w:type="dxa" w:w="1728"/>
          </w:tcPr>
          <w:p/>
        </w:tc>
        <w:tc>
          <w:tcPr>
            <w:tcW w:type="dxa" w:w="1728"/>
          </w:tcPr>
          <w:p>
            <w:r>
              <w:rPr>
                <w:b w:val="0"/>
                <w:i w:val="0"/>
                <w:strike w:val="0"/>
              </w:rPr>
              <w:t>0.75 — more would have worked on</w:t>
            </w:r>
          </w:p>
        </w:tc>
        <w:tc>
          <w:tcPr>
            <w:tcW w:type="dxa" w:w="1728"/>
          </w:tcPr>
          <w:p>
            <w:r>
              <w:rPr>
                <w:b w:val="0"/>
                <w:i w:val="0"/>
                <w:strike w:val="0"/>
              </w:rPr>
              <w:t>$1.86M</w:t>
            </w:r>
          </w:p>
        </w:tc>
        <w:tc>
          <w:tcPr>
            <w:tcW w:type="dxa" w:w="1728"/>
          </w:tcPr>
          <w:p>
            <w:r>
              <w:rPr>
                <w:b w:val="0"/>
                <w:i w:val="0"/>
                <w:strike w:val="0"/>
              </w:rPr>
              <w:t>0.05 bp</w:t>
            </w:r>
          </w:p>
        </w:tc>
        <w:tc>
          <w:tcPr>
            <w:tcW w:type="dxa" w:w="1728"/>
          </w:tcPr>
          <w:p>
            <w:r>
              <w:rPr>
                <w:b w:val="0"/>
                <w:i w:val="0"/>
                <w:strike w:val="0"/>
              </w:rPr>
              <w:t>−0.14</w:t>
            </w:r>
          </w:p>
        </w:tc>
      </w:tr>
      <w:tr>
        <w:tc>
          <w:tcPr>
            <w:tcW w:type="dxa" w:w="1728"/>
          </w:tcPr>
          <w:p>
            <w:r>
              <w:rPr>
                <w:b/>
                <w:i w:val="0"/>
                <w:strike w:val="0"/>
              </w:rPr>
              <w:t>Take-up (ASM-19)</w:t>
            </w:r>
          </w:p>
        </w:tc>
        <w:tc>
          <w:tcPr>
            <w:tcW w:type="dxa" w:w="1728"/>
          </w:tcPr>
          <w:p>
            <w:r>
              <w:rPr>
                <w:b w:val="0"/>
                <w:i w:val="0"/>
                <w:strike w:val="0"/>
              </w:rPr>
              <w:t>10% / 30%</w:t>
            </w:r>
          </w:p>
        </w:tc>
        <w:tc>
          <w:tcPr>
            <w:tcW w:type="dxa" w:w="1728"/>
          </w:tcPr>
          <w:p>
            <w:r>
              <w:rPr>
                <w:b w:val="0"/>
                <w:i w:val="0"/>
                <w:strike w:val="0"/>
              </w:rPr>
              <w:t>$3.58M / $10.73M</w:t>
            </w:r>
          </w:p>
        </w:tc>
        <w:tc>
          <w:tcPr>
            <w:tcW w:type="dxa" w:w="1728"/>
          </w:tcPr>
          <w:p>
            <w:r>
              <w:rPr>
                <w:b w:val="0"/>
                <w:i w:val="0"/>
                <w:strike w:val="0"/>
              </w:rPr>
              <w:t>0.09 / 0.28 bp</w:t>
            </w:r>
          </w:p>
        </w:tc>
        <w:tc>
          <w:tcPr>
            <w:tcW w:type="dxa" w:w="1728"/>
          </w:tcPr>
          <w:p>
            <w:r>
              <w:rPr>
                <w:b w:val="0"/>
                <w:i w:val="0"/>
                <w:strike w:val="0"/>
              </w:rPr>
              <w:t>∓0.09</w:t>
            </w:r>
          </w:p>
        </w:tc>
      </w:tr>
      <w:tr>
        <w:tc>
          <w:tcPr>
            <w:tcW w:type="dxa" w:w="1728"/>
          </w:tcPr>
          <w:p>
            <w:r>
              <w:rPr>
                <w:b/>
                <w:i w:val="0"/>
                <w:strike w:val="0"/>
              </w:rPr>
              <w:t>DECISION 4 rule</w:t>
            </w:r>
          </w:p>
        </w:tc>
        <w:tc>
          <w:tcPr>
            <w:tcW w:type="dxa" w:w="1728"/>
          </w:tcPr>
          <w:p>
            <w:r>
              <w:rPr>
                <w:b w:val="0"/>
                <w:i w:val="0"/>
                <w:strike w:val="0"/>
              </w:rPr>
              <w:t>D4b stricter</w:t>
            </w:r>
          </w:p>
        </w:tc>
        <w:tc>
          <w:tcPr>
            <w:tcW w:type="dxa" w:w="1728"/>
          </w:tcPr>
          <w:p>
            <w:r>
              <w:rPr>
                <w:b w:val="0"/>
                <w:i w:val="0"/>
                <w:strike w:val="0"/>
              </w:rPr>
              <w:t>$4.91M</w:t>
            </w:r>
          </w:p>
        </w:tc>
        <w:tc>
          <w:tcPr>
            <w:tcW w:type="dxa" w:w="1728"/>
          </w:tcPr>
          <w:p>
            <w:r>
              <w:rPr>
                <w:b w:val="0"/>
                <w:i w:val="0"/>
                <w:strike w:val="0"/>
              </w:rPr>
              <w:t>0.13 bp</w:t>
            </w:r>
          </w:p>
        </w:tc>
        <w:tc>
          <w:tcPr>
            <w:tcW w:type="dxa" w:w="1728"/>
          </w:tcPr>
          <w:p>
            <w:r>
              <w:rPr>
                <w:b w:val="0"/>
                <w:i w:val="0"/>
                <w:strike w:val="0"/>
              </w:rPr>
              <w:t>−0.06</w:t>
            </w:r>
          </w:p>
        </w:tc>
      </w:tr>
      <w:tr>
        <w:tc>
          <w:tcPr>
            <w:tcW w:type="dxa" w:w="1728"/>
          </w:tcPr>
          <w:p>
            <w:r>
              <w:rPr>
                <w:b w:val="0"/>
                <w:i w:val="0"/>
                <w:strike w:val="0"/>
              </w:rPr>
              <w:t>Position not refilled (ASM-21)</w:t>
            </w:r>
          </w:p>
        </w:tc>
        <w:tc>
          <w:tcPr>
            <w:tcW w:type="dxa" w:w="1728"/>
          </w:tcPr>
          <w:p>
            <w:r>
              <w:rPr>
                <w:b w:val="0"/>
                <w:i w:val="0"/>
                <w:strike w:val="0"/>
              </w:rPr>
              <w:t>plan also loses contributions</w:t>
            </w:r>
          </w:p>
        </w:tc>
        <w:tc>
          <w:tcPr>
            <w:tcW w:type="dxa" w:w="1728"/>
          </w:tcPr>
          <w:p>
            <w:r>
              <w:rPr>
                <w:b w:val="0"/>
                <w:i w:val="0"/>
                <w:strike w:val="0"/>
              </w:rPr>
              <w:t>$9.27M</w:t>
            </w:r>
          </w:p>
        </w:tc>
        <w:tc>
          <w:tcPr>
            <w:tcW w:type="dxa" w:w="1728"/>
          </w:tcPr>
          <w:p>
            <w:r>
              <w:rPr>
                <w:b w:val="0"/>
                <w:i w:val="0"/>
                <w:strike w:val="0"/>
              </w:rPr>
              <w:t>0.24 bp</w:t>
            </w:r>
          </w:p>
        </w:tc>
        <w:tc>
          <w:tcPr>
            <w:tcW w:type="dxa" w:w="1728"/>
          </w:tcPr>
          <w:p>
            <w:r>
              <w:rPr>
                <w:b w:val="0"/>
                <w:i w:val="0"/>
                <w:strike w:val="0"/>
              </w:rPr>
              <w:t>+0.06</w:t>
            </w:r>
          </w:p>
        </w:tc>
      </w:tr>
      <w:tr>
        <w:tc>
          <w:tcPr>
            <w:tcW w:type="dxa" w:w="1728"/>
          </w:tcPr>
          <w:p>
            <w:r>
              <w:rPr>
                <w:b w:val="0"/>
                <w:i w:val="0"/>
                <w:strike w:val="0"/>
              </w:rPr>
              <w:t>Discount rate (SRC-01)</w:t>
            </w:r>
          </w:p>
        </w:tc>
        <w:tc>
          <w:tcPr>
            <w:tcW w:type="dxa" w:w="1728"/>
          </w:tcPr>
          <w:p>
            <w:r>
              <w:rPr>
                <w:b w:val="0"/>
                <w:i w:val="0"/>
                <w:strike w:val="0"/>
              </w:rPr>
              <w:t>5.75% / 7.75%</w:t>
            </w:r>
          </w:p>
        </w:tc>
        <w:tc>
          <w:tcPr>
            <w:tcW w:type="dxa" w:w="1728"/>
          </w:tcPr>
          <w:p>
            <w:r>
              <w:rPr>
                <w:b w:val="0"/>
                <w:i w:val="0"/>
                <w:strike w:val="0"/>
              </w:rPr>
              <w:t>$8.10M / $6.37M</w:t>
            </w:r>
          </w:p>
        </w:tc>
        <w:tc>
          <w:tcPr>
            <w:tcW w:type="dxa" w:w="1728"/>
          </w:tcPr>
          <w:p>
            <w:r>
              <w:rPr>
                <w:b w:val="0"/>
                <w:i w:val="0"/>
                <w:strike w:val="0"/>
              </w:rPr>
              <w:t>0.21 / 0.17 bp</w:t>
            </w:r>
          </w:p>
        </w:tc>
        <w:tc>
          <w:tcPr>
            <w:tcW w:type="dxa" w:w="1728"/>
          </w:tcPr>
          <w:p>
            <w:r>
              <w:rPr>
                <w:b w:val="0"/>
                <w:i w:val="0"/>
                <w:strike w:val="0"/>
              </w:rPr>
              <w:t>+0.03 / −0.02</w:t>
            </w:r>
          </w:p>
        </w:tc>
      </w:tr>
      <w:tr>
        <w:tc>
          <w:tcPr>
            <w:tcW w:type="dxa" w:w="1728"/>
          </w:tcPr>
          <w:p>
            <w:r>
              <w:rPr>
                <w:b w:val="0"/>
                <w:i w:val="0"/>
                <w:strike w:val="0"/>
              </w:rPr>
              <w:t>Salary growth (ASM-07)</w:t>
            </w:r>
          </w:p>
        </w:tc>
        <w:tc>
          <w:tcPr>
            <w:tcW w:type="dxa" w:w="1728"/>
          </w:tcPr>
          <w:p>
            <w:r>
              <w:rPr>
                <w:b w:val="0"/>
                <w:i w:val="0"/>
                <w:strike w:val="0"/>
              </w:rPr>
              <w:t>2.50% / 4.50%</w:t>
            </w:r>
          </w:p>
        </w:tc>
        <w:tc>
          <w:tcPr>
            <w:tcW w:type="dxa" w:w="1728"/>
          </w:tcPr>
          <w:p>
            <w:r>
              <w:rPr>
                <w:b w:val="0"/>
                <w:i w:val="0"/>
                <w:strike w:val="0"/>
              </w:rPr>
              <w:t>$8.03M / $6.09M</w:t>
            </w:r>
          </w:p>
        </w:tc>
        <w:tc>
          <w:tcPr>
            <w:tcW w:type="dxa" w:w="1728"/>
          </w:tcPr>
          <w:p>
            <w:r>
              <w:rPr>
                <w:b w:val="0"/>
                <w:i w:val="0"/>
                <w:strike w:val="0"/>
              </w:rPr>
              <w:t>0.21 / 0.16 bp</w:t>
            </w:r>
          </w:p>
        </w:tc>
        <w:tc>
          <w:tcPr>
            <w:tcW w:type="dxa" w:w="1728"/>
          </w:tcPr>
          <w:p>
            <w:r>
              <w:rPr>
                <w:b w:val="0"/>
                <w:i w:val="0"/>
                <w:strike w:val="0"/>
              </w:rPr>
              <w:t>+0.02 / −0.03</w:t>
            </w:r>
          </w:p>
        </w:tc>
      </w:tr>
      <w:tr>
        <w:tc>
          <w:tcPr>
            <w:tcW w:type="dxa" w:w="1728"/>
          </w:tcPr>
          <w:p>
            <w:r>
              <w:rPr>
                <w:b w:val="0"/>
                <w:i w:val="0"/>
                <w:strike w:val="0"/>
              </w:rPr>
              <w:t>Other decrements (ASM-13)</w:t>
            </w:r>
          </w:p>
        </w:tc>
        <w:tc>
          <w:tcPr>
            <w:tcW w:type="dxa" w:w="1728"/>
          </w:tcPr>
          <w:p>
            <w:r>
              <w:rPr>
                <w:b w:val="0"/>
                <w:i w:val="0"/>
                <w:strike w:val="0"/>
              </w:rPr>
              <w:t>2.00% / 5.00%</w:t>
            </w:r>
          </w:p>
        </w:tc>
        <w:tc>
          <w:tcPr>
            <w:tcW w:type="dxa" w:w="1728"/>
          </w:tcPr>
          <w:p>
            <w:r>
              <w:rPr>
                <w:b w:val="0"/>
                <w:i w:val="0"/>
                <w:strike w:val="0"/>
              </w:rPr>
              <w:t>$7.72M / $6.14M</w:t>
            </w:r>
          </w:p>
        </w:tc>
        <w:tc>
          <w:tcPr>
            <w:tcW w:type="dxa" w:w="1728"/>
          </w:tcPr>
          <w:p>
            <w:r>
              <w:rPr>
                <w:b w:val="0"/>
                <w:i w:val="0"/>
                <w:strike w:val="0"/>
              </w:rPr>
              <w:t>0.20 / 0.16 bp</w:t>
            </w:r>
          </w:p>
        </w:tc>
        <w:tc>
          <w:tcPr>
            <w:tcW w:type="dxa" w:w="1728"/>
          </w:tcPr>
          <w:p>
            <w:r>
              <w:rPr>
                <w:b w:val="0"/>
                <w:i w:val="0"/>
                <w:strike w:val="0"/>
              </w:rPr>
              <w:t>+0.01 / −0.03</w:t>
            </w:r>
          </w:p>
        </w:tc>
      </w:tr>
      <w:tr>
        <w:tc>
          <w:tcPr>
            <w:tcW w:type="dxa" w:w="1728"/>
          </w:tcPr>
          <w:p>
            <w:r>
              <w:rPr>
                <w:b w:val="0"/>
                <w:i w:val="0"/>
                <w:strike w:val="0"/>
              </w:rPr>
              <w:t>Mortality improvement (ASM-05)</w:t>
            </w:r>
          </w:p>
        </w:tc>
        <w:tc>
          <w:tcPr>
            <w:tcW w:type="dxa" w:w="1728"/>
          </w:tcPr>
          <w:p>
            <w:r>
              <w:rPr>
                <w:b w:val="0"/>
                <w:i w:val="0"/>
                <w:strike w:val="0"/>
              </w:rPr>
              <w:t>0.00% / 1.25%</w:t>
            </w:r>
          </w:p>
        </w:tc>
        <w:tc>
          <w:tcPr>
            <w:tcW w:type="dxa" w:w="1728"/>
          </w:tcPr>
          <w:p>
            <w:r>
              <w:rPr>
                <w:b w:val="0"/>
                <w:i w:val="0"/>
                <w:strike w:val="0"/>
              </w:rPr>
              <w:t>$6.89M / $7.33M</w:t>
            </w:r>
          </w:p>
        </w:tc>
        <w:tc>
          <w:tcPr>
            <w:tcW w:type="dxa" w:w="1728"/>
          </w:tcPr>
          <w:p>
            <w:r>
              <w:rPr>
                <w:b w:val="0"/>
                <w:i w:val="0"/>
                <w:strike w:val="0"/>
              </w:rPr>
              <w:t>0.18 / 0.19 bp</w:t>
            </w:r>
          </w:p>
        </w:tc>
        <w:tc>
          <w:tcPr>
            <w:tcW w:type="dxa" w:w="1728"/>
          </w:tcPr>
          <w:p>
            <w:r>
              <w:rPr>
                <w:b w:val="0"/>
                <w:i w:val="0"/>
                <w:strike w:val="0"/>
              </w:rPr>
              <w:t>−0.01 / +0.00</w:t>
            </w:r>
          </w:p>
        </w:tc>
      </w:tr>
      <w:tr>
        <w:tc>
          <w:tcPr>
            <w:tcW w:type="dxa" w:w="1728"/>
          </w:tcPr>
          <w:p>
            <w:r>
              <w:rPr>
                <w:b/>
                <w:i w:val="0"/>
                <w:strike w:val="0"/>
              </w:rPr>
              <w:t>Hybrid inclusion (DECISION 2)</w:t>
            </w:r>
          </w:p>
        </w:tc>
        <w:tc>
          <w:tcPr>
            <w:tcW w:type="dxa" w:w="1728"/>
          </w:tcPr>
          <w:p>
            <w:r>
              <w:rPr>
                <w:b w:val="0"/>
                <w:i w:val="0"/>
                <w:strike w:val="0"/>
              </w:rPr>
              <w:t>hybrid participants included</w:t>
            </w:r>
          </w:p>
        </w:tc>
        <w:tc>
          <w:tcPr>
            <w:tcW w:type="dxa" w:w="1728"/>
          </w:tcPr>
          <w:p>
            <w:r>
              <w:rPr>
                <w:b w:val="0"/>
                <w:i w:val="0"/>
                <w:strike w:val="0"/>
              </w:rPr>
              <w:t>$7.06M</w:t>
            </w:r>
          </w:p>
        </w:tc>
        <w:tc>
          <w:tcPr>
            <w:tcW w:type="dxa" w:w="1728"/>
          </w:tcPr>
          <w:p>
            <w:r>
              <w:rPr>
                <w:b/>
                <w:i w:val="0"/>
                <w:strike w:val="0"/>
              </w:rPr>
              <w:t>0.19 bp</w:t>
            </w:r>
          </w:p>
        </w:tc>
        <w:tc>
          <w:tcPr>
            <w:tcW w:type="dxa" w:w="1728"/>
          </w:tcPr>
          <w:p>
            <w:r>
              <w:rPr>
                <w:b/>
                <w:i w:val="0"/>
                <w:strike w:val="0"/>
              </w:rPr>
              <w:t>−0.00</w:t>
            </w:r>
          </w:p>
        </w:tc>
      </w:tr>
    </w:tbl>
    <w:p/>
    <w:p>
      <w:r>
        <w:rPr>
          <w:b/>
          <w:i w:val="0"/>
          <w:strike w:val="0"/>
        </w:rPr>
        <w:t>Only two assumptions matter, and both are about people rather than actuarial method.</w:t>
      </w:r>
      <w:r>
        <w:rPr>
          <w:b w:val="0"/>
          <w:i w:val="0"/>
          <w:strike w:val="0"/>
        </w:rPr>
        <w:t xml:space="preserve"> The veteran funnel and the behavioural mix each move the answer by roughly 0.12 to 0.25 basis points. Every classical actuarial lever — discount rate, mortality improvement, salary growth, decrements — moves it by 0.05 basis points or less. </w:t>
      </w:r>
      <w:r>
        <w:rPr>
          <w:b/>
          <w:i w:val="0"/>
          <w:strike w:val="0"/>
        </w:rPr>
        <w:t>Nothing tested flips the aggregate into a saving, and nothing tested takes it above 0.84 basis points on any single plan.</w:t>
      </w:r>
      <w:r>
        <w:rPr>
          <w:b w:val="0"/>
          <w:i w:val="0"/>
          <w:strike w:val="0"/>
        </w:rPr>
        <w:t xml:space="preserve"> The model therefore does not support a claim of cost neutrality, and it does not support a claim that the bill is expensive either.</w:t>
      </w:r>
    </w:p>
    <w:p>
      <w:pPr>
        <w:jc w:val="center"/>
      </w:pPr>
      <w:r>
        <w:rPr>
          <w:color w:val="909090"/>
          <w:sz w:val="18"/>
        </w:rPr>
        <w:t>* * *</w:t>
      </w:r>
    </w:p>
    <w:p>
      <w:pPr>
        <w:pStyle w:val="Heading2"/>
      </w:pPr>
      <w:r>
        <w:rPr>
          <w:b w:val="0"/>
          <w:i w:val="0"/>
          <w:strike w:val="0"/>
        </w:rPr>
        <w:t>8. Deliverable 4 — hybrid-inclusion variant (DECISION 2)</w:t>
      </w:r>
    </w:p>
    <w:p>
      <w:r>
        <w:rPr>
          <w:b w:val="0"/>
          <w:i w:val="0"/>
          <w:strike w:val="0"/>
        </w:rPr>
        <w:t xml:space="preserve">Full detail: </w:t>
      </w:r>
      <w:r>
        <w:rPr>
          <w:rFonts w:ascii="Consolas" w:hAnsi="Consolas"/>
          <w:b w:val="0"/>
          <w:i w:val="0"/>
          <w:strike w:val="0"/>
          <w:color w:val="303030"/>
          <w:sz w:val="19"/>
        </w:rPr>
        <w:t>fiscal-model/out/T6-hybrid-variant.csv</w:t>
      </w:r>
      <w:r>
        <w:rPr>
          <w:b w:val="0"/>
          <w:i w:val="0"/>
          <w:strike w:val="0"/>
        </w:rPr>
        <w:t>.</w:t>
      </w:r>
    </w:p>
    <w:p>
      <w:r>
        <w:rPr>
          <w:b w:val="0"/>
          <w:i w:val="0"/>
          <w:strike w:val="0"/>
        </w:rPr>
        <w:t xml:space="preserve">The legal memo calls DECISION 2 "the single largest policy choice in the package" and expects inclusion to "raise the fiscal number." </w:t>
      </w:r>
      <w:r>
        <w:rPr>
          <w:b/>
          <w:i w:val="0"/>
          <w:strike w:val="0"/>
        </w:rPr>
        <w:t>Through FY2038 it does not.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strike w:val="0"/>
              </w:rPr>
              <w:t>Plan</w:t>
            </w:r>
          </w:p>
        </w:tc>
        <w:tc>
          <w:tcPr>
            <w:tcW w:type="dxa" w:w="1080"/>
          </w:tcPr>
          <w:p>
            <w:r>
              <w:rPr>
                <w:b/>
                <w:i w:val="0"/>
                <w:strike w:val="0"/>
              </w:rPr>
              <w:t>Purchasers — hybrid excluded</w:t>
            </w:r>
          </w:p>
        </w:tc>
        <w:tc>
          <w:tcPr>
            <w:tcW w:type="dxa" w:w="1080"/>
          </w:tcPr>
          <w:p>
            <w:r>
              <w:rPr>
                <w:b/>
                <w:i w:val="0"/>
                <w:strike w:val="0"/>
              </w:rPr>
              <w:t>— included</w:t>
            </w:r>
          </w:p>
        </w:tc>
        <w:tc>
          <w:tcPr>
            <w:tcW w:type="dxa" w:w="1080"/>
          </w:tcPr>
          <w:p>
            <w:r>
              <w:rPr>
                <w:b/>
                <w:i w:val="0"/>
                <w:strike w:val="0"/>
              </w:rPr>
              <w:t>Net liability — excluded</w:t>
            </w:r>
          </w:p>
        </w:tc>
        <w:tc>
          <w:tcPr>
            <w:tcW w:type="dxa" w:w="1080"/>
          </w:tcPr>
          <w:p>
            <w:r>
              <w:rPr>
                <w:b/>
                <w:i w:val="0"/>
                <w:strike w:val="0"/>
              </w:rPr>
              <w:t>— included</w:t>
            </w:r>
          </w:p>
        </w:tc>
        <w:tc>
          <w:tcPr>
            <w:tcW w:type="dxa" w:w="1080"/>
          </w:tcPr>
          <w:p>
            <w:r>
              <w:rPr>
                <w:b/>
                <w:i w:val="0"/>
                <w:strike w:val="0"/>
              </w:rPr>
              <w:t>Rate impact — excluded</w:t>
            </w:r>
          </w:p>
        </w:tc>
        <w:tc>
          <w:tcPr>
            <w:tcW w:type="dxa" w:w="1080"/>
          </w:tcPr>
          <w:p>
            <w:r>
              <w:rPr>
                <w:b/>
                <w:i w:val="0"/>
                <w:strike w:val="0"/>
              </w:rPr>
              <w:t>— included</w:t>
            </w:r>
          </w:p>
        </w:tc>
        <w:tc>
          <w:tcPr>
            <w:tcW w:type="dxa" w:w="1080"/>
          </w:tcPr>
          <w:p>
            <w:r>
              <w:rPr>
                <w:b/>
                <w:i w:val="0"/>
                <w:strike w:val="0"/>
              </w:rPr>
              <w:t>Change</w:t>
            </w:r>
          </w:p>
        </w:tc>
      </w:tr>
      <w:tr>
        <w:tc>
          <w:tcPr>
            <w:tcW w:type="dxa" w:w="1080"/>
          </w:tcPr>
          <w:p>
            <w:r>
              <w:rPr>
                <w:b w:val="0"/>
                <w:i w:val="0"/>
                <w:strike w:val="0"/>
              </w:rPr>
              <w:t>VRS State Employees</w:t>
            </w:r>
          </w:p>
        </w:tc>
        <w:tc>
          <w:tcPr>
            <w:tcW w:type="dxa" w:w="1080"/>
          </w:tcPr>
          <w:p>
            <w:r>
              <w:rPr>
                <w:b w:val="0"/>
                <w:i w:val="0"/>
                <w:strike w:val="0"/>
              </w:rPr>
              <w:t>60</w:t>
            </w:r>
          </w:p>
        </w:tc>
        <w:tc>
          <w:tcPr>
            <w:tcW w:type="dxa" w:w="1080"/>
          </w:tcPr>
          <w:p>
            <w:r>
              <w:rPr>
                <w:b w:val="0"/>
                <w:i w:val="0"/>
                <w:strike w:val="0"/>
              </w:rPr>
              <w:t>61</w:t>
            </w:r>
          </w:p>
        </w:tc>
        <w:tc>
          <w:tcPr>
            <w:tcW w:type="dxa" w:w="1080"/>
          </w:tcPr>
          <w:p>
            <w:r>
              <w:rPr>
                <w:b w:val="0"/>
                <w:i w:val="0"/>
                <w:strike w:val="0"/>
              </w:rPr>
              <w:t>$2.05M</w:t>
            </w:r>
          </w:p>
        </w:tc>
        <w:tc>
          <w:tcPr>
            <w:tcW w:type="dxa" w:w="1080"/>
          </w:tcPr>
          <w:p>
            <w:r>
              <w:rPr>
                <w:b w:val="0"/>
                <w:i w:val="0"/>
                <w:strike w:val="0"/>
              </w:rPr>
              <w:t>$2.02M</w:t>
            </w:r>
          </w:p>
        </w:tc>
        <w:tc>
          <w:tcPr>
            <w:tcW w:type="dxa" w:w="1080"/>
          </w:tcPr>
          <w:p>
            <w:r>
              <w:rPr>
                <w:b w:val="0"/>
                <w:i w:val="0"/>
                <w:strike w:val="0"/>
              </w:rPr>
              <w:t>0.22 bp</w:t>
            </w:r>
          </w:p>
        </w:tc>
        <w:tc>
          <w:tcPr>
            <w:tcW w:type="dxa" w:w="1080"/>
          </w:tcPr>
          <w:p>
            <w:r>
              <w:rPr>
                <w:b w:val="0"/>
                <w:i w:val="0"/>
                <w:strike w:val="0"/>
              </w:rPr>
              <w:t>0.22 bp</w:t>
            </w:r>
          </w:p>
        </w:tc>
        <w:tc>
          <w:tcPr>
            <w:tcW w:type="dxa" w:w="1080"/>
          </w:tcPr>
          <w:p>
            <w:r>
              <w:rPr>
                <w:b w:val="0"/>
                <w:i w:val="0"/>
                <w:strike w:val="0"/>
              </w:rPr>
              <w:t>−0.00</w:t>
            </w:r>
          </w:p>
        </w:tc>
      </w:tr>
      <w:tr>
        <w:tc>
          <w:tcPr>
            <w:tcW w:type="dxa" w:w="1080"/>
          </w:tcPr>
          <w:p>
            <w:r>
              <w:rPr>
                <w:b w:val="0"/>
                <w:i w:val="0"/>
                <w:strike w:val="0"/>
              </w:rPr>
              <w:t>VRS Teachers</w:t>
            </w:r>
          </w:p>
        </w:tc>
        <w:tc>
          <w:tcPr>
            <w:tcW w:type="dxa" w:w="1080"/>
          </w:tcPr>
          <w:p>
            <w:r>
              <w:rPr>
                <w:b w:val="0"/>
                <w:i w:val="0"/>
                <w:strike w:val="0"/>
              </w:rPr>
              <w:t>75</w:t>
            </w:r>
          </w:p>
        </w:tc>
        <w:tc>
          <w:tcPr>
            <w:tcW w:type="dxa" w:w="1080"/>
          </w:tcPr>
          <w:p>
            <w:r>
              <w:rPr>
                <w:b w:val="0"/>
                <w:i w:val="0"/>
                <w:strike w:val="0"/>
              </w:rPr>
              <w:t>76</w:t>
            </w:r>
          </w:p>
        </w:tc>
        <w:tc>
          <w:tcPr>
            <w:tcW w:type="dxa" w:w="1080"/>
          </w:tcPr>
          <w:p>
            <w:r>
              <w:rPr>
                <w:b w:val="0"/>
                <w:i w:val="0"/>
                <w:strike w:val="0"/>
              </w:rPr>
              <w:t>$3.48M</w:t>
            </w:r>
          </w:p>
        </w:tc>
        <w:tc>
          <w:tcPr>
            <w:tcW w:type="dxa" w:w="1080"/>
          </w:tcPr>
          <w:p>
            <w:r>
              <w:rPr>
                <w:b w:val="0"/>
                <w:i w:val="0"/>
                <w:strike w:val="0"/>
              </w:rPr>
              <w:t>$3.46M</w:t>
            </w:r>
          </w:p>
        </w:tc>
        <w:tc>
          <w:tcPr>
            <w:tcW w:type="dxa" w:w="1080"/>
          </w:tcPr>
          <w:p>
            <w:r>
              <w:rPr>
                <w:b w:val="0"/>
                <w:i w:val="0"/>
                <w:strike w:val="0"/>
              </w:rPr>
              <w:t>0.20 bp</w:t>
            </w:r>
          </w:p>
        </w:tc>
        <w:tc>
          <w:tcPr>
            <w:tcW w:type="dxa" w:w="1080"/>
          </w:tcPr>
          <w:p>
            <w:r>
              <w:rPr>
                <w:b w:val="0"/>
                <w:i w:val="0"/>
                <w:strike w:val="0"/>
              </w:rPr>
              <w:t>0.20 bp</w:t>
            </w:r>
          </w:p>
        </w:tc>
        <w:tc>
          <w:tcPr>
            <w:tcW w:type="dxa" w:w="1080"/>
          </w:tcPr>
          <w:p>
            <w:r>
              <w:rPr>
                <w:b w:val="0"/>
                <w:i w:val="0"/>
                <w:strike w:val="0"/>
              </w:rPr>
              <w:t>−0.00</w:t>
            </w:r>
          </w:p>
        </w:tc>
      </w:tr>
      <w:tr>
        <w:tc>
          <w:tcPr>
            <w:tcW w:type="dxa" w:w="1080"/>
          </w:tcPr>
          <w:p>
            <w:r>
              <w:rPr>
                <w:b w:val="0"/>
                <w:i w:val="0"/>
                <w:strike w:val="0"/>
              </w:rPr>
              <w:t>Participating political subdivisions</w:t>
            </w:r>
          </w:p>
        </w:tc>
        <w:tc>
          <w:tcPr>
            <w:tcW w:type="dxa" w:w="1080"/>
          </w:tcPr>
          <w:p>
            <w:r>
              <w:rPr>
                <w:b w:val="0"/>
                <w:i w:val="0"/>
                <w:strike w:val="0"/>
              </w:rPr>
              <w:t>88</w:t>
            </w:r>
          </w:p>
        </w:tc>
        <w:tc>
          <w:tcPr>
            <w:tcW w:type="dxa" w:w="1080"/>
          </w:tcPr>
          <w:p>
            <w:r>
              <w:rPr>
                <w:b w:val="0"/>
                <w:i w:val="0"/>
                <w:strike w:val="0"/>
              </w:rPr>
              <w:t>90</w:t>
            </w:r>
          </w:p>
        </w:tc>
        <w:tc>
          <w:tcPr>
            <w:tcW w:type="dxa" w:w="1080"/>
          </w:tcPr>
          <w:p>
            <w:r>
              <w:rPr>
                <w:b w:val="0"/>
                <w:i w:val="0"/>
                <w:strike w:val="0"/>
              </w:rPr>
              <w:t>$1.62M</w:t>
            </w:r>
          </w:p>
        </w:tc>
        <w:tc>
          <w:tcPr>
            <w:tcW w:type="dxa" w:w="1080"/>
          </w:tcPr>
          <w:p>
            <w:r>
              <w:rPr>
                <w:b w:val="0"/>
                <w:i w:val="0"/>
                <w:strike w:val="0"/>
              </w:rPr>
              <w:t>$1.58M</w:t>
            </w:r>
          </w:p>
        </w:tc>
        <w:tc>
          <w:tcPr>
            <w:tcW w:type="dxa" w:w="1080"/>
          </w:tcPr>
          <w:p>
            <w:r>
              <w:rPr>
                <w:b w:val="0"/>
                <w:i w:val="0"/>
                <w:strike w:val="0"/>
              </w:rPr>
              <w:t>0.14 bp</w:t>
            </w:r>
          </w:p>
        </w:tc>
        <w:tc>
          <w:tcPr>
            <w:tcW w:type="dxa" w:w="1080"/>
          </w:tcPr>
          <w:p>
            <w:r>
              <w:rPr>
                <w:b w:val="0"/>
                <w:i w:val="0"/>
                <w:strike w:val="0"/>
              </w:rPr>
              <w:t>0.13 bp</w:t>
            </w:r>
          </w:p>
        </w:tc>
        <w:tc>
          <w:tcPr>
            <w:tcW w:type="dxa" w:w="1080"/>
          </w:tcPr>
          <w:p>
            <w:r>
              <w:rPr>
                <w:b w:val="0"/>
                <w:i w:val="0"/>
                <w:strike w:val="0"/>
              </w:rPr>
              <w:t>−0.00</w:t>
            </w:r>
          </w:p>
        </w:tc>
      </w:tr>
      <w:tr>
        <w:tc>
          <w:tcPr>
            <w:tcW w:type="dxa" w:w="1080"/>
          </w:tcPr>
          <w:p>
            <w:r>
              <w:rPr>
                <w:b/>
                <w:i w:val="0"/>
                <w:strike w:val="0"/>
              </w:rPr>
              <w:t>Combined</w:t>
            </w:r>
          </w:p>
        </w:tc>
        <w:tc>
          <w:tcPr>
            <w:tcW w:type="dxa" w:w="1080"/>
          </w:tcPr>
          <w:p>
            <w:r>
              <w:rPr>
                <w:b/>
                <w:i w:val="0"/>
                <w:strike w:val="0"/>
              </w:rPr>
              <w:t>222</w:t>
            </w:r>
          </w:p>
        </w:tc>
        <w:tc>
          <w:tcPr>
            <w:tcW w:type="dxa" w:w="1080"/>
          </w:tcPr>
          <w:p>
            <w:r>
              <w:rPr>
                <w:b/>
                <w:i w:val="0"/>
                <w:strike w:val="0"/>
              </w:rPr>
              <w:t>227</w:t>
            </w:r>
          </w:p>
        </w:tc>
        <w:tc>
          <w:tcPr>
            <w:tcW w:type="dxa" w:w="1080"/>
          </w:tcPr>
          <w:p>
            <w:r>
              <w:rPr>
                <w:b/>
                <w:i w:val="0"/>
                <w:strike w:val="0"/>
              </w:rPr>
              <w:t>$7.15M</w:t>
            </w:r>
          </w:p>
        </w:tc>
        <w:tc>
          <w:tcPr>
            <w:tcW w:type="dxa" w:w="1080"/>
          </w:tcPr>
          <w:p>
            <w:r>
              <w:rPr>
                <w:b/>
                <w:i w:val="0"/>
                <w:strike w:val="0"/>
              </w:rPr>
              <w:t>$7.06M</w:t>
            </w:r>
          </w:p>
        </w:tc>
        <w:tc>
          <w:tcPr>
            <w:tcW w:type="dxa" w:w="1080"/>
          </w:tcPr>
          <w:p>
            <w:r>
              <w:rPr>
                <w:b/>
                <w:i w:val="0"/>
                <w:strike w:val="0"/>
              </w:rPr>
              <w:t>0.19 bp</w:t>
            </w:r>
          </w:p>
        </w:tc>
        <w:tc>
          <w:tcPr>
            <w:tcW w:type="dxa" w:w="1080"/>
          </w:tcPr>
          <w:p>
            <w:r>
              <w:rPr>
                <w:b/>
                <w:i w:val="0"/>
                <w:strike w:val="0"/>
              </w:rPr>
              <w:t>0.19 bp</w:t>
            </w:r>
          </w:p>
        </w:tc>
        <w:tc>
          <w:tcPr>
            <w:tcW w:type="dxa" w:w="1080"/>
          </w:tcPr>
          <w:p>
            <w:r>
              <w:rPr>
                <w:b/>
                <w:i w:val="0"/>
                <w:strike w:val="0"/>
              </w:rPr>
              <w:t>−0.00</w:t>
            </w:r>
          </w:p>
        </w:tc>
      </w:tr>
    </w:tbl>
    <w:p/>
    <w:p>
      <w:r>
        <w:rPr>
          <w:b/>
          <w:i w:val="0"/>
          <w:strike w:val="0"/>
        </w:rPr>
        <w:t>Why the number is zero, and it is not because the hybrid defined benefit is cheap.</w:t>
      </w:r>
      <w:r>
        <w:rPr>
          <w:b w:val="0"/>
          <w:i w:val="0"/>
          <w:strike w:val="0"/>
        </w:rPr>
        <w:t xml:space="preserve"> Hybrid participants are subject to § 51.1-153 B 3, so they need age plus creditable service of at least 86 to be within four points of the Rule of 90. They must also not already be eligible for an unreduced allowance under § 51.1-153 A, which for anyone born in 1960 or later means they must be under age 67. Those two conditions together require </w:t>
      </w:r>
      <w:r>
        <w:rPr>
          <w:b/>
          <w:i w:val="0"/>
          <w:strike w:val="0"/>
        </w:rPr>
        <w:t>more than 19 years of creditable service</w:t>
      </w:r>
      <w:r>
        <w:rPr>
          <w:b w:val="0"/>
          <w:i w:val="0"/>
          <w:strike w:val="0"/>
        </w:rPr>
        <w:t xml:space="preserve">. The hybrid plan opened on </w:t>
      </w:r>
      <w:r>
        <w:rPr>
          <w:b/>
          <w:i w:val="0"/>
          <w:strike w:val="0"/>
        </w:rPr>
        <w:t>January 1, 2014</w:t>
      </w:r>
      <w:r>
        <w:rPr>
          <w:b w:val="0"/>
          <w:i w:val="0"/>
          <w:strike w:val="0"/>
        </w:rPr>
        <w:t xml:space="preserve">. The first hybrid participants reach 20 years of service in </w:t>
      </w:r>
      <w:r>
        <w:rPr>
          <w:b/>
          <w:i w:val="0"/>
          <w:strike w:val="0"/>
        </w:rPr>
        <w:t>2034</w:t>
      </w:r>
      <w:r>
        <w:rPr>
          <w:b w:val="0"/>
          <w:i w:val="0"/>
          <w:strike w:val="0"/>
        </w:rPr>
        <w:t xml:space="preserve">, and only those hired at age 46 or older are in range even then. The modeled hybrid population enters the band in FY2037 (264 members) and FY2038 (760 members), and after the veteran funnel and take-up that is </w:t>
      </w:r>
      <w:r>
        <w:rPr>
          <w:b/>
          <w:i w:val="0"/>
          <w:strike w:val="0"/>
        </w:rPr>
        <w:t>about five additional purchasers across the whole decade.</w:t>
      </w:r>
    </w:p>
    <w:p>
      <w:r>
        <w:rPr>
          <w:b/>
          <w:i w:val="0"/>
          <w:strike w:val="0"/>
        </w:rPr>
        <w:t>The sign is also mildly favourable.</w:t>
      </w:r>
      <w:r>
        <w:rPr>
          <w:b w:val="0"/>
          <w:i w:val="0"/>
          <w:strike w:val="0"/>
        </w:rPr>
        <w:t xml:space="preserve"> Profile G — age 66, 20 years, $85,000, the earliest hybrid participant who can satisfy § 51.1-142.4 B 5 and C at all — pays </w:t>
      </w:r>
      <w:r>
        <w:rPr>
          <w:b/>
          <w:i w:val="0"/>
          <w:strike w:val="0"/>
        </w:rPr>
        <w:t>$22,712</w:t>
      </w:r>
      <w:r>
        <w:rPr>
          <w:b w:val="0"/>
          <w:i w:val="0"/>
          <w:strike w:val="0"/>
        </w:rPr>
        <w:t xml:space="preserve"> and receives </w:t>
      </w:r>
      <w:r>
        <w:rPr>
          <w:b/>
          <w:i w:val="0"/>
          <w:strike w:val="0"/>
        </w:rPr>
        <w:t>$12,355</w:t>
      </w:r>
      <w:r>
        <w:rPr>
          <w:b w:val="0"/>
          <w:i w:val="0"/>
          <w:strike w:val="0"/>
        </w:rPr>
        <w:t xml:space="preserve"> on the frozen-service measure or </w:t>
      </w:r>
      <w:r>
        <w:rPr>
          <w:b/>
          <w:i w:val="0"/>
          <w:strike w:val="0"/>
        </w:rPr>
        <w:t>$2,035</w:t>
      </w:r>
      <w:r>
        <w:rPr>
          <w:b w:val="0"/>
          <w:i w:val="0"/>
          <w:strike w:val="0"/>
        </w:rPr>
        <w:t xml:space="preserve"> on the work-to-eligibility measure. </w:t>
      </w:r>
      <w:r>
        <w:rPr>
          <w:b/>
          <w:i w:val="0"/>
          <w:strike w:val="0"/>
        </w:rPr>
        <w:t>The hybrid participant overpays on both.</w:t>
      </w:r>
      <w:r>
        <w:rPr>
          <w:b w:val="0"/>
          <w:i w:val="0"/>
          <w:strike w:val="0"/>
        </w:rPr>
        <w:t xml:space="preserve"> Three reasons: the 6.68% rate is applied to full salary while the benefit accrues at only 1.00% of AFC; Social Security normal retirement age at 67 caps the acceleration at </w:t>
      </w:r>
      <w:r>
        <w:rPr>
          <w:b/>
          <w:i w:val="0"/>
          <w:strike w:val="0"/>
        </w:rPr>
        <w:t>one year</w:t>
      </w:r>
      <w:r>
        <w:rPr>
          <w:b w:val="0"/>
          <w:i w:val="0"/>
          <w:strike w:val="0"/>
        </w:rPr>
        <w:t xml:space="preserve"> no matter how many points are bought; and the hybrid COLA is 2.25% rather than 2.50%.</w:t>
      </w:r>
    </w:p>
    <w:p>
      <w:r>
        <w:rPr>
          <w:b/>
          <w:i w:val="0"/>
          <w:strike w:val="0"/>
        </w:rPr>
        <w:t>Consequences for the package.</w:t>
      </w:r>
      <w:r>
        <w:rPr>
          <w:b w:val="0"/>
          <w:i w:val="0"/>
          <w:strike w:val="0"/>
        </w:rPr>
        <w:t xml:space="preserve"> DECISION 2 should be decided on equity and precedent, not on cost. The fairness objection the legal memo anticipates — that hybrid members, meaning most veterans hired since 2014, are excluded and the exclusion narrows further every year — can now be answered with a number: </w:t>
      </w:r>
      <w:r>
        <w:rPr>
          <w:b/>
          <w:i w:val="0"/>
          <w:strike w:val="0"/>
        </w:rPr>
        <w:t>including them changes the ten-year employer rate impact by less than one hundredth of a basis point.</w:t>
      </w:r>
      <w:r>
        <w:rPr>
          <w:b w:val="0"/>
          <w:i w:val="0"/>
          <w:strike w:val="0"/>
        </w:rPr>
        <w:t xml:space="preserve"> Two caveats belong in any brief that uses this:</w:t>
      </w:r>
    </w:p>
    <w:p>
      <w:pPr>
        <w:pStyle w:val="ListNumber"/>
      </w:pPr>
      <w:r>
        <w:rPr>
          <w:b/>
          <w:i w:val="0"/>
          <w:strike w:val="0"/>
        </w:rPr>
        <w:t>Material hybrid cost begins in the 2040s, outside any fiscal note window.</w:t>
      </w:r>
      <w:r>
        <w:rPr>
          <w:b w:val="0"/>
          <w:i w:val="0"/>
          <w:strike w:val="0"/>
        </w:rPr>
        <w:t xml:space="preserve"> Hybrid participants hired in 2014 at age 30 reach 86 points around 2042. The ten-year number is genuinely near zero; the thirty-year number is not, and the model does not estimate it. If the General Assembly includes hybrid participants, it should be told that the cost is deferred, not absent.</w:t>
      </w:r>
    </w:p>
    <w:p>
      <w:pPr>
        <w:pStyle w:val="ListNumber"/>
      </w:pPr>
      <w:r>
        <w:rPr>
          <w:b/>
          <w:i w:val="0"/>
          <w:strike w:val="0"/>
        </w:rPr>
        <w:t>A hybrid-inclusive bill is a larger commitment even at zero near-term cost</w:t>
      </w:r>
      <w:r>
        <w:rPr>
          <w:b w:val="0"/>
          <w:i w:val="0"/>
          <w:strike w:val="0"/>
        </w:rPr>
        <w:t>, because the hybrid plan is open and growing while Plan 1 and Plan 2 are closed. Inclusion converts a self-extinguishing benefit into a permanent one.</w:t>
      </w:r>
    </w:p>
    <w:p>
      <w:pPr>
        <w:jc w:val="center"/>
      </w:pPr>
      <w:r>
        <w:rPr>
          <w:color w:val="909090"/>
          <w:sz w:val="18"/>
        </w:rPr>
        <w:t>* * *</w:t>
      </w:r>
    </w:p>
    <w:p>
      <w:pPr>
        <w:pStyle w:val="Heading2"/>
      </w:pPr>
      <w:r>
        <w:rPr>
          <w:b w:val="0"/>
          <w:i w:val="0"/>
          <w:strike w:val="0"/>
        </w:rPr>
        <w:t>9. Workforce effects</w:t>
      </w:r>
    </w:p>
    <w:p>
      <w:r>
        <w:rPr>
          <w:b w:val="0"/>
          <w:i w:val="0"/>
          <w:strike w:val="0"/>
        </w:rPr>
        <w:t xml:space="preserve">Full detail: </w:t>
      </w:r>
      <w:r>
        <w:rPr>
          <w:rFonts w:ascii="Consolas" w:hAnsi="Consolas"/>
          <w:b w:val="0"/>
          <w:i w:val="0"/>
          <w:strike w:val="0"/>
          <w:color w:val="303030"/>
          <w:sz w:val="19"/>
        </w:rPr>
        <w:t>fiscal-model/out/T8-workforce.csv</w:t>
      </w:r>
      <w:r>
        <w:rPr>
          <w:b w:val="0"/>
          <w:i w:val="0"/>
          <w:strike w:val="0"/>
        </w:rPr>
        <w:t xml:space="preserve">. These are </w:t>
      </w:r>
      <w:r>
        <w:rPr>
          <w:b/>
          <w:i w:val="0"/>
          <w:strike w:val="0"/>
        </w:rPr>
        <w:t>employer payroll effects, not pension effects</w:t>
      </w:r>
      <w:r>
        <w:rPr>
          <w:b w:val="0"/>
          <w:i w:val="0"/>
          <w:strike w:val="0"/>
        </w:rPr>
        <w:t>, and they are reported separately because they do not belong in the contribution rate.</w:t>
      </w:r>
    </w:p>
    <w:p>
      <w:r>
        <w:rPr>
          <w:b w:val="0"/>
          <w:i w:val="0"/>
          <w:strike w:val="0"/>
        </w:rPr>
        <w:t xml:space="preserve">Over Profile A's four-year acceleration window the present value of the departing member's payroll is </w:t>
      </w:r>
      <w:r>
        <w:rPr>
          <w:b/>
          <w:i w:val="0"/>
          <w:strike w:val="0"/>
        </w:rPr>
        <w:t>$324,786</w:t>
      </w:r>
      <w:r>
        <w:rPr>
          <w:b w:val="0"/>
          <w:i w:val="0"/>
          <w:strike w:val="0"/>
        </w:rPr>
        <w:t xml:space="preserve">, carrying </w:t>
      </w:r>
      <w:r>
        <w:rPr>
          <w:b/>
          <w:i w:val="0"/>
          <w:strike w:val="0"/>
        </w:rPr>
        <w:t>$35,954</w:t>
      </w:r>
      <w:r>
        <w:rPr>
          <w:b w:val="0"/>
          <w:i w:val="0"/>
          <w:strike w:val="0"/>
        </w:rPr>
        <w:t xml:space="preserve"> of employer DB contributions.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Replacement at</w:t>
            </w:r>
          </w:p>
        </w:tc>
        <w:tc>
          <w:tcPr>
            <w:tcW w:type="dxa" w:w="2160"/>
          </w:tcPr>
          <w:p>
            <w:r>
              <w:rPr>
                <w:b/>
                <w:i w:val="0"/>
                <w:strike w:val="0"/>
              </w:rPr>
              <w:t>PV replacement payroll</w:t>
            </w:r>
          </w:p>
        </w:tc>
        <w:tc>
          <w:tcPr>
            <w:tcW w:type="dxa" w:w="2160"/>
          </w:tcPr>
          <w:p>
            <w:r>
              <w:rPr>
                <w:b/>
                <w:i w:val="0"/>
                <w:strike w:val="0"/>
              </w:rPr>
              <w:t>PV gross payroll difference</w:t>
            </w:r>
          </w:p>
        </w:tc>
        <w:tc>
          <w:tcPr>
            <w:tcW w:type="dxa" w:w="2160"/>
          </w:tcPr>
          <w:p>
            <w:r>
              <w:rPr>
                <w:b/>
                <w:i w:val="0"/>
                <w:strike w:val="0"/>
              </w:rPr>
              <w:t>PV net employer compensation difference</w:t>
            </w:r>
          </w:p>
        </w:tc>
      </w:tr>
      <w:tr>
        <w:tc>
          <w:tcPr>
            <w:tcW w:type="dxa" w:w="2160"/>
          </w:tcPr>
          <w:p>
            <w:r>
              <w:rPr>
                <w:b w:val="0"/>
                <w:i w:val="0"/>
                <w:strike w:val="0"/>
              </w:rPr>
              <w:t>100% of departing compensation</w:t>
            </w:r>
          </w:p>
        </w:tc>
        <w:tc>
          <w:tcPr>
            <w:tcW w:type="dxa" w:w="2160"/>
          </w:tcPr>
          <w:p>
            <w:r>
              <w:rPr>
                <w:b w:val="0"/>
                <w:i w:val="0"/>
                <w:strike w:val="0"/>
              </w:rPr>
              <w:t>$324,786</w:t>
            </w:r>
          </w:p>
        </w:tc>
        <w:tc>
          <w:tcPr>
            <w:tcW w:type="dxa" w:w="2160"/>
          </w:tcPr>
          <w:p>
            <w:r>
              <w:rPr>
                <w:b w:val="0"/>
                <w:i w:val="0"/>
                <w:strike w:val="0"/>
              </w:rPr>
              <w:t>$0</w:t>
            </w:r>
          </w:p>
        </w:tc>
        <w:tc>
          <w:tcPr>
            <w:tcW w:type="dxa" w:w="2160"/>
          </w:tcPr>
          <w:p>
            <w:r>
              <w:rPr>
                <w:b/>
                <w:i w:val="0"/>
                <w:strike w:val="0"/>
              </w:rPr>
              <w:t>$0</w:t>
            </w:r>
          </w:p>
        </w:tc>
      </w:tr>
      <w:tr>
        <w:tc>
          <w:tcPr>
            <w:tcW w:type="dxa" w:w="2160"/>
          </w:tcPr>
          <w:p>
            <w:r>
              <w:rPr>
                <w:b w:val="0"/>
                <w:i w:val="0"/>
                <w:strike w:val="0"/>
              </w:rPr>
              <w:t>90%</w:t>
            </w:r>
          </w:p>
        </w:tc>
        <w:tc>
          <w:tcPr>
            <w:tcW w:type="dxa" w:w="2160"/>
          </w:tcPr>
          <w:p>
            <w:r>
              <w:rPr>
                <w:b w:val="0"/>
                <w:i w:val="0"/>
                <w:strike w:val="0"/>
              </w:rPr>
              <w:t>$292,307</w:t>
            </w:r>
          </w:p>
        </w:tc>
        <w:tc>
          <w:tcPr>
            <w:tcW w:type="dxa" w:w="2160"/>
          </w:tcPr>
          <w:p>
            <w:r>
              <w:rPr>
                <w:b w:val="0"/>
                <w:i w:val="0"/>
                <w:strike w:val="0"/>
              </w:rPr>
              <w:t>$32,479</w:t>
            </w:r>
          </w:p>
        </w:tc>
        <w:tc>
          <w:tcPr>
            <w:tcW w:type="dxa" w:w="2160"/>
          </w:tcPr>
          <w:p>
            <w:r>
              <w:rPr>
                <w:b/>
                <w:i w:val="0"/>
                <w:strike w:val="0"/>
              </w:rPr>
              <w:t>$36,074</w:t>
            </w:r>
          </w:p>
        </w:tc>
      </w:tr>
      <w:tr>
        <w:tc>
          <w:tcPr>
            <w:tcW w:type="dxa" w:w="2160"/>
          </w:tcPr>
          <w:p>
            <w:r>
              <w:rPr>
                <w:b w:val="0"/>
                <w:i w:val="0"/>
                <w:strike w:val="0"/>
              </w:rPr>
              <w:t>80%</w:t>
            </w:r>
          </w:p>
        </w:tc>
        <w:tc>
          <w:tcPr>
            <w:tcW w:type="dxa" w:w="2160"/>
          </w:tcPr>
          <w:p>
            <w:r>
              <w:rPr>
                <w:b w:val="0"/>
                <w:i w:val="0"/>
                <w:strike w:val="0"/>
              </w:rPr>
              <w:t>$259,829</w:t>
            </w:r>
          </w:p>
        </w:tc>
        <w:tc>
          <w:tcPr>
            <w:tcW w:type="dxa" w:w="2160"/>
          </w:tcPr>
          <w:p>
            <w:r>
              <w:rPr>
                <w:b w:val="0"/>
                <w:i w:val="0"/>
                <w:strike w:val="0"/>
              </w:rPr>
              <w:t>$64,957</w:t>
            </w:r>
          </w:p>
        </w:tc>
        <w:tc>
          <w:tcPr>
            <w:tcW w:type="dxa" w:w="2160"/>
          </w:tcPr>
          <w:p>
            <w:r>
              <w:rPr>
                <w:b/>
                <w:i w:val="0"/>
                <w:strike w:val="0"/>
              </w:rPr>
              <w:t>$72,148</w:t>
            </w:r>
          </w:p>
        </w:tc>
      </w:tr>
    </w:tbl>
    <w:p/>
    <w:p>
      <w:r>
        <w:rPr>
          <w:b/>
          <w:i w:val="0"/>
          <w:strike w:val="0"/>
        </w:rPr>
        <w:t>No avoided salary is counted as a saving to the Commonwealth unless the position is eliminated, held vacant, or refilled at lower total compensation.</w:t>
      </w:r>
      <w:r>
        <w:rPr>
          <w:b w:val="0"/>
          <w:i w:val="0"/>
          <w:strike w:val="0"/>
        </w:rPr>
        <w:t xml:space="preserve"> Where the position is refilled at the same compensation the payroll effect is zero by construction. Where it is refilled at 80% — plausible for a 26-year incumbent replaced by a new hire — the modeled employer saving over the window is </w:t>
      </w:r>
      <w:r>
        <w:rPr>
          <w:b/>
          <w:i w:val="0"/>
          <w:strike w:val="0"/>
        </w:rPr>
        <w:t>$72,148 per accelerated retirement</w:t>
      </w:r>
      <w:r>
        <w:rPr>
          <w:b w:val="0"/>
          <w:i w:val="0"/>
          <w:strike w:val="0"/>
        </w:rPr>
        <w:t xml:space="preserve">, which exceeds the $42,500 the member paid and dwarfs the $6,853 net pension charge. </w:t>
      </w:r>
      <w:r>
        <w:rPr>
          <w:b/>
          <w:i w:val="0"/>
          <w:strike w:val="0"/>
        </w:rPr>
        <w:t>That comparison is real but it must not be put in a brief as a saving</w:t>
      </w:r>
      <w:r>
        <w:rPr>
          <w:b w:val="0"/>
          <w:i w:val="0"/>
          <w:strike w:val="0"/>
        </w:rPr>
        <w:t xml:space="preserve">, because the model assigns no dollar value to recruiting cost, onboarding, vacancy duration, productivity ramp-up, or loss of institutional knowledge, and those run the other way. The honest statement is that the payroll effect is </w:t>
      </w:r>
      <w:r>
        <w:rPr>
          <w:b/>
          <w:i w:val="0"/>
          <w:strike w:val="0"/>
        </w:rPr>
        <w:t>directionally favourable to the employer and quantitatively indeterminate.</w:t>
      </w:r>
    </w:p>
    <w:p>
      <w:r>
        <w:rPr>
          <w:b w:val="0"/>
          <w:i w:val="0"/>
          <w:strike w:val="0"/>
        </w:rPr>
        <w:t>The workforce case for the bill — orderly succession, promotion opportunity, pipeline renewal in agencies with aging workforces (VRS's published state-employee average age is 46.9 with 10.1 years of service) — is a management argument, not a fiscal one, and should be made as such.</w:t>
      </w:r>
    </w:p>
    <w:p>
      <w:pPr>
        <w:jc w:val="center"/>
      </w:pPr>
      <w:r>
        <w:rPr>
          <w:color w:val="909090"/>
          <w:sz w:val="18"/>
        </w:rPr>
        <w:t>* * *</w:t>
      </w:r>
    </w:p>
    <w:p>
      <w:pPr>
        <w:pStyle w:val="Heading2"/>
      </w:pPr>
      <w:r>
        <w:rPr>
          <w:b w:val="0"/>
          <w:i w:val="0"/>
          <w:strike w:val="0"/>
        </w:rPr>
        <w:t>10. Fiscal safeguards actually doing the work</w:t>
      </w:r>
    </w:p>
    <w:p>
      <w:r>
        <w:rPr>
          <w:b w:val="0"/>
          <w:i w:val="0"/>
          <w:strike w:val="0"/>
        </w:rPr>
        <w:t>The pricing is not what contains this bill. Five drafting features are, and the brief should name them because they are the answer to "why will this not blow up."</w:t>
      </w:r>
    </w:p>
    <w:p>
      <w:pPr>
        <w:pStyle w:val="ListNumber"/>
      </w:pPr>
      <w:r>
        <w:rPr>
          <w:b/>
          <w:i w:val="0"/>
          <w:strike w:val="0"/>
        </w:rPr>
        <w:t>The § 51.1-124.3 carve-out is the single most important provision in the bill.</w:t>
      </w:r>
      <w:r>
        <w:rPr>
          <w:b w:val="0"/>
          <w:i w:val="0"/>
          <w:strike w:val="0"/>
        </w:rPr>
        <w:t xml:space="preserve"> If eligibility credit counted as creditable service, Profile A's annual allowance would rise from </w:t>
      </w:r>
      <w:r>
        <w:rPr>
          <w:b/>
          <w:i w:val="0"/>
          <w:strike w:val="0"/>
        </w:rPr>
        <w:t>$35,696 to $41,188</w:t>
      </w:r>
      <w:r>
        <w:rPr>
          <w:b w:val="0"/>
          <w:i w:val="0"/>
          <w:strike w:val="0"/>
        </w:rPr>
        <w:t xml:space="preserve"> for life, and the work-to-eligibility liability increase would rise from </w:t>
      </w:r>
      <w:r>
        <w:rPr>
          <w:b/>
          <w:i w:val="0"/>
          <w:strike w:val="0"/>
        </w:rPr>
        <w:t>$21,000 to $119,349 — 5.7 times larger.</w:t>
      </w:r>
      <w:r>
        <w:rPr>
          <w:b w:val="0"/>
          <w:i w:val="0"/>
          <w:strike w:val="0"/>
        </w:rPr>
        <w:t xml:space="preserve"> Everything else in the bill is secondary to this one sentence.</w:t>
      </w:r>
    </w:p>
    <w:p>
      <w:pPr>
        <w:pStyle w:val="ListNumber"/>
      </w:pPr>
      <w:r>
        <w:rPr>
          <w:b/>
          <w:i w:val="0"/>
          <w:strike w:val="0"/>
        </w:rPr>
        <w:t>The eligibility-deficit cap (§ 51.1-142.4 C 1 and C 2 a).</w:t>
      </w:r>
      <w:r>
        <w:rPr>
          <w:b w:val="0"/>
          <w:i w:val="0"/>
          <w:strike w:val="0"/>
        </w:rPr>
        <w:t xml:space="preserve"> A member may buy only the shortfall. The modeled mean deficit in the four-point band is </w:t>
      </w:r>
      <w:r>
        <w:rPr>
          <w:b/>
          <w:i w:val="0"/>
          <w:strike w:val="0"/>
        </w:rPr>
        <w:t>2.23 years</w:t>
      </w:r>
      <w:r>
        <w:rPr>
          <w:b w:val="0"/>
          <w:i w:val="0"/>
          <w:strike w:val="0"/>
        </w:rPr>
        <w:t>, not four, so the cap reduces the average purchase — and the average subsidy — by roughly 45% against a flat four-year entitlement.</w:t>
      </w:r>
    </w:p>
    <w:p>
      <w:pPr>
        <w:pStyle w:val="ListNumber"/>
      </w:pPr>
      <w:r>
        <w:rPr>
          <w:b/>
          <w:i w:val="0"/>
          <w:strike w:val="0"/>
        </w:rPr>
        <w:t>Eligibility credit cannot increase attained age (§ 51.1-142.4 C 4).</w:t>
      </w:r>
      <w:r>
        <w:rPr>
          <w:b w:val="0"/>
          <w:i w:val="0"/>
          <w:strike w:val="0"/>
        </w:rPr>
        <w:t xml:space="preserve"> This is what prevents the bridge from helping a Plan 1 member who is short on age rather than service. A member with 26 years at age 46 may purchase, but still cannot retire before 50.</w:t>
      </w:r>
    </w:p>
    <w:p>
      <w:pPr>
        <w:pStyle w:val="ListNumber"/>
      </w:pPr>
      <w:r>
        <w:rPr>
          <w:b/>
          <w:i w:val="0"/>
          <w:strike w:val="0"/>
        </w:rPr>
        <w:t>The combined four-year cap and the no-double-purchase rule (§ 51.1-142.4 H 2, H 3).</w:t>
      </w:r>
    </w:p>
    <w:p>
      <w:pPr>
        <w:pStyle w:val="ListNumber"/>
      </w:pPr>
      <w:r>
        <w:rPr>
          <w:b/>
          <w:i w:val="0"/>
          <w:strike w:val="0"/>
        </w:rPr>
        <w:t>The military retired pay bar inherited at § 51.1-142.4 B 4 and H 5.</w:t>
      </w:r>
      <w:r>
        <w:rPr>
          <w:b w:val="0"/>
          <w:i w:val="0"/>
          <w:strike w:val="0"/>
        </w:rPr>
        <w:t xml:space="preserve"> This is the largest single population screen in the model and it is </w:t>
      </w:r>
      <w:r>
        <w:rPr>
          <w:b/>
          <w:i w:val="0"/>
          <w:strike w:val="0"/>
        </w:rPr>
        <w:t>not</w:t>
      </w:r>
      <w:r>
        <w:rPr>
          <w:b w:val="0"/>
          <w:i w:val="0"/>
          <w:strike w:val="0"/>
        </w:rPr>
        <w:t xml:space="preserve"> a drafting choice the package made — it is inherited from § 51.1-142.2 B. It is worth 18% of the eligible population in the central case. </w:t>
      </w:r>
      <w:r>
        <w:rPr>
          <w:b/>
          <w:i w:val="0"/>
          <w:strike w:val="0"/>
        </w:rPr>
        <w:t>DECISION 3 should be resolved by accepting the bar</w:t>
      </w:r>
      <w:r>
        <w:rPr>
          <w:b w:val="0"/>
          <w:i w:val="0"/>
          <w:strike w:val="0"/>
        </w:rPr>
        <w:t>, as drafted, and the brief should say so plainly rather than let a committee discover it.</w:t>
      </w:r>
    </w:p>
    <w:p>
      <w:r>
        <w:rPr>
          <w:b/>
          <w:i w:val="0"/>
          <w:strike w:val="0"/>
        </w:rPr>
        <w:t>One safeguard in the bill is not doing the work it appears to do.</w:t>
      </w:r>
      <w:r>
        <w:rPr>
          <w:b w:val="0"/>
          <w:i w:val="0"/>
          <w:strike w:val="0"/>
        </w:rPr>
        <w:t xml:space="preserve"> The conforming amendment to § 51.1-166 D 4 freezes COLA commencement for a retiree with fewer than 20 years of creditable service. That rule is </w:t>
      </w:r>
      <w:r>
        <w:rPr>
          <w:b/>
          <w:i w:val="0"/>
          <w:strike w:val="0"/>
        </w:rPr>
        <w:t>effectively inoperative for the bridge population</w:t>
      </w:r>
      <w:r>
        <w:rPr>
          <w:b w:val="0"/>
          <w:i w:val="0"/>
          <w:strike w:val="0"/>
        </w:rPr>
        <w:t xml:space="preserve">: under § 51.1-153 B 2 the member has 30 years by definition, and under B 3 a member with fewer than 20 years who is within four points of 90 must be at least age 66, where § 51.1-142.4 B 5 already bars them. </w:t>
      </w:r>
      <w:r>
        <w:rPr>
          <w:b/>
          <w:i w:val="0"/>
          <w:strike w:val="0"/>
        </w:rPr>
        <w:t>Keep the amendment</w:t>
      </w:r>
      <w:r>
        <w:rPr>
          <w:b w:val="0"/>
          <w:i w:val="0"/>
          <w:strike w:val="0"/>
        </w:rPr>
        <w:t xml:space="preserve"> — it closes a real leak at zero cost and costs nothing to retain — but do not present it as a material fiscal safeguard, because a committee staffer who works the arithmetic will find that it never binds.</w:t>
      </w:r>
    </w:p>
    <w:p>
      <w:pPr>
        <w:jc w:val="center"/>
      </w:pPr>
      <w:r>
        <w:rPr>
          <w:color w:val="909090"/>
          <w:sz w:val="18"/>
        </w:rPr>
        <w:t>* * *</w:t>
      </w:r>
    </w:p>
    <w:p>
      <w:pPr>
        <w:pStyle w:val="Heading2"/>
      </w:pPr>
      <w:r>
        <w:rPr>
          <w:b w:val="0"/>
          <w:i w:val="0"/>
          <w:strike w:val="0"/>
        </w:rPr>
        <w:t>11. Risks, and where this analysis may be wrong</w:t>
      </w:r>
    </w:p>
    <w:p>
      <w:r>
        <w:rPr>
          <w:b/>
          <w:i w:val="0"/>
          <w:strike w:val="0"/>
        </w:rPr>
        <w:t>Where the model may understate the cost.</w:t>
      </w:r>
    </w:p>
    <w:p>
      <w:pPr>
        <w:pStyle w:val="ListBullet"/>
      </w:pPr>
      <w:r>
        <w:rPr>
          <w:b/>
          <w:i w:val="0"/>
          <w:strike w:val="0"/>
        </w:rPr>
        <w:t>Self-selection is not modeled.</w:t>
      </w:r>
      <w:r>
        <w:rPr>
          <w:b w:val="0"/>
          <w:i w:val="0"/>
          <w:strike w:val="0"/>
        </w:rPr>
        <w:t xml:space="preserve"> The model applies a single take-up rate to the eligible population. In reality the members who buy will be disproportionately those who intend to leave immediately — exactly the </w:t>
      </w:r>
      <w:r>
        <w:rPr>
          <w:rFonts w:ascii="Consolas" w:hAnsi="Consolas"/>
          <w:b w:val="0"/>
          <w:i w:val="0"/>
          <w:strike w:val="0"/>
          <w:color w:val="303030"/>
          <w:sz w:val="19"/>
        </w:rPr>
        <w:t>SUB</w:t>
      </w:r>
      <w:r>
        <w:rPr>
          <w:b w:val="0"/>
          <w:i w:val="0"/>
          <w:strike w:val="0"/>
        </w:rPr>
        <w:t xml:space="preserve"> population. If selection is strong, φ is closer to 0.25 than 0.50 and the aggregate is 0.33 bp rather than 0.19 bp.</w:t>
      </w:r>
    </w:p>
    <w:p>
      <w:pPr>
        <w:pStyle w:val="ListBullet"/>
      </w:pPr>
      <w:r>
        <w:rPr>
          <w:b/>
          <w:i w:val="0"/>
          <w:strike w:val="0"/>
        </w:rPr>
        <w:t>Generational mortality improvement is proxied</w:t>
      </w:r>
      <w:r>
        <w:rPr>
          <w:b w:val="0"/>
          <w:i w:val="0"/>
          <w:strike w:val="0"/>
        </w:rPr>
        <w:t xml:space="preserve"> at a flat 0.75% per annum rather than 75% of MP-2021 (ASM-05). Omitting improvement entirely understates annuity values by roughly 4% to 6%.</w:t>
      </w:r>
    </w:p>
    <w:p>
      <w:pPr>
        <w:pStyle w:val="ListBullet"/>
      </w:pPr>
      <w:r>
        <w:rPr>
          <w:b/>
          <w:i w:val="0"/>
          <w:strike w:val="0"/>
        </w:rPr>
        <w:t>The annuity is valued as a single life</w:t>
      </w:r>
      <w:r>
        <w:rPr>
          <w:b w:val="0"/>
          <w:i w:val="0"/>
          <w:strike w:val="0"/>
        </w:rPr>
        <w:t>, ignoring the modified cash refund feature VRS actually assumes. The refund floor is worth more in the accelerated case, so this understates the subsidy slightly (ASM-04).</w:t>
      </w:r>
    </w:p>
    <w:p>
      <w:pPr>
        <w:pStyle w:val="ListBullet"/>
      </w:pPr>
      <w:r>
        <w:rPr>
          <w:b/>
          <w:i w:val="0"/>
          <w:strike w:val="0"/>
        </w:rPr>
        <w:t>The thirty-year horizon is not modeled at all</w:t>
      </w:r>
      <w:r>
        <w:rPr>
          <w:b w:val="0"/>
          <w:i w:val="0"/>
          <w:strike w:val="0"/>
        </w:rPr>
        <w:t>, which matters only if hybrid participants are included (section 8).</w:t>
      </w:r>
    </w:p>
    <w:p>
      <w:pPr>
        <w:pStyle w:val="ListBullet"/>
      </w:pPr>
      <w:r>
        <w:rPr>
          <w:b/>
          <w:i w:val="0"/>
          <w:strike w:val="0"/>
        </w:rPr>
        <w:t>Teacher and political subdivision veteran shares are assumed</w:t>
      </w:r>
      <w:r>
        <w:rPr>
          <w:b w:val="0"/>
          <w:i w:val="0"/>
          <w:strike w:val="0"/>
        </w:rPr>
        <w:t>, not published. If teachers are 5% veteran rather than 2.5%, the teacher-plan number roughly doubles — to 0.40 bp.</w:t>
      </w:r>
    </w:p>
    <w:p>
      <w:r>
        <w:rPr>
          <w:b/>
          <w:i w:val="0"/>
          <w:strike w:val="0"/>
        </w:rPr>
        <w:t>Where the model may overstate the cost.</w:t>
      </w:r>
    </w:p>
    <w:p>
      <w:pPr>
        <w:pStyle w:val="ListBullet"/>
      </w:pPr>
      <w:r>
        <w:rPr>
          <w:b/>
          <w:i w:val="0"/>
          <w:strike w:val="0"/>
        </w:rPr>
        <w:t>Basis-point conversion is deliberately conservative</w:t>
      </w:r>
      <w:r>
        <w:rPr>
          <w:b w:val="0"/>
          <w:i w:val="0"/>
          <w:strike w:val="0"/>
        </w:rPr>
        <w:t xml:space="preserve"> in two ways that both push the reported figure up (reconciliation note R-3).</w:t>
      </w:r>
    </w:p>
    <w:p>
      <w:pPr>
        <w:pStyle w:val="ListBullet"/>
      </w:pPr>
      <w:r>
        <w:rPr>
          <w:b/>
          <w:i w:val="0"/>
          <w:strike w:val="0"/>
        </w:rPr>
        <w:t>The 50/10 reduction factor of 0.400</w:t>
      </w:r>
      <w:r>
        <w:rPr>
          <w:b w:val="0"/>
          <w:i w:val="0"/>
          <w:strike w:val="0"/>
        </w:rPr>
        <w:t xml:space="preserve"> rests on the published additive construction. If VRS's actual factor tables are less severe, the Plan 1 </w:t>
      </w:r>
      <w:r>
        <w:rPr>
          <w:rFonts w:ascii="Consolas" w:hAnsi="Consolas"/>
          <w:b w:val="0"/>
          <w:i w:val="0"/>
          <w:strike w:val="0"/>
          <w:color w:val="303030"/>
          <w:sz w:val="19"/>
        </w:rPr>
        <w:t>SUB</w:t>
      </w:r>
      <w:r>
        <w:rPr>
          <w:b w:val="0"/>
          <w:i w:val="0"/>
          <w:strike w:val="0"/>
        </w:rPr>
        <w:t xml:space="preserve"> subsidy falls proportionately.</w:t>
      </w:r>
    </w:p>
    <w:p>
      <w:pPr>
        <w:pStyle w:val="ListBullet"/>
      </w:pPr>
      <w:r>
        <w:rPr>
          <w:b/>
          <w:i w:val="0"/>
          <w:strike w:val="0"/>
        </w:rPr>
        <w:t>No credit is taken</w:t>
      </w:r>
      <w:r>
        <w:rPr>
          <w:b w:val="0"/>
          <w:i w:val="0"/>
          <w:strike w:val="0"/>
        </w:rPr>
        <w:t xml:space="preserve"> for the cheaper hybrid accrual on refilled positions, for member contributions already in the trust funds, or for any payroll effect.</w:t>
      </w:r>
    </w:p>
    <w:p>
      <w:pPr>
        <w:pStyle w:val="ListBullet"/>
      </w:pPr>
      <w:r>
        <w:rPr>
          <w:b/>
          <w:i w:val="0"/>
          <w:strike w:val="0"/>
        </w:rPr>
        <w:t>The political subdivision line borrows the state-employee distribution shape</w:t>
      </w:r>
      <w:r>
        <w:rPr>
          <w:b w:val="0"/>
          <w:i w:val="0"/>
          <w:strike w:val="0"/>
        </w:rPr>
        <w:t xml:space="preserve"> (ASM-12). It is the least reliable line in every table and should be read as indicative only.</w:t>
      </w:r>
    </w:p>
    <w:p>
      <w:r>
        <w:rPr>
          <w:b/>
          <w:i w:val="0"/>
          <w:strike w:val="0"/>
        </w:rPr>
        <w:t>Where the model is probably simply wrong, pending VRS data.</w:t>
      </w:r>
      <w:r>
        <w:rPr>
          <w:b w:val="0"/>
          <w:i w:val="0"/>
          <w:strike w:val="0"/>
        </w:rPr>
        <w:t xml:space="preserve"> The joint distribution of benefit structure with age and service. The model fits a +3.0-year tenure offset to VRS's published plan split (ASM-23) and reproduces it to within 1% to 4%, but a fitted aggregate is not member-level data. The § 51.1-153 B 3 counts in particular — zero in FY2029, rising to 4,742 by FY2038 — are the most data-dependent figures in the analysis.</w:t>
      </w:r>
    </w:p>
    <w:p>
      <w:pPr>
        <w:jc w:val="center"/>
      </w:pPr>
      <w:r>
        <w:rPr>
          <w:color w:val="909090"/>
          <w:sz w:val="18"/>
        </w:rPr>
        <w:t>* * *</w:t>
      </w:r>
    </w:p>
    <w:p>
      <w:pPr>
        <w:pStyle w:val="Heading2"/>
      </w:pPr>
      <w:r>
        <w:rPr>
          <w:b w:val="0"/>
          <w:i w:val="0"/>
          <w:strike w:val="0"/>
        </w:rPr>
        <w:t>12. Data VRS should provide for the official fiscal note</w:t>
      </w:r>
    </w:p>
    <w:p>
      <w:r>
        <w:rPr>
          <w:b w:val="0"/>
          <w:i w:val="0"/>
          <w:strike w:val="0"/>
        </w:rPr>
        <w:t xml:space="preserve">Section 3 of the draft bill already requires the Board to report items 1, 3 and 10 below by December 1, 2027. </w:t>
      </w:r>
      <w:r>
        <w:rPr>
          <w:b/>
          <w:i w:val="0"/>
          <w:strike w:val="0"/>
        </w:rPr>
        <w:t>Items 4, 5, 6 and 7 should be added to that list</w:t>
      </w:r>
      <w:r>
        <w:rPr>
          <w:b w:val="0"/>
          <w:i w:val="0"/>
          <w:strike w:val="0"/>
        </w:rPr>
        <w:t>, because without them the Board's own statement will carry the same assumptions this model does.</w:t>
      </w:r>
    </w:p>
    <w:p>
      <w:pPr>
        <w:pStyle w:val="ListNumber"/>
      </w:pPr>
      <w:r>
        <w:rPr>
          <w:b w:val="0"/>
          <w:i w:val="0"/>
          <w:strike w:val="0"/>
        </w:rPr>
        <w:t xml:space="preserve">Active members by benefit structure </w:t>
      </w:r>
      <w:r>
        <w:rPr>
          <w:b/>
          <w:i w:val="0"/>
          <w:strike w:val="0"/>
        </w:rPr>
        <w:t>jointly with</w:t>
      </w:r>
      <w:r>
        <w:rPr>
          <w:b w:val="0"/>
          <w:i w:val="0"/>
          <w:strike w:val="0"/>
        </w:rPr>
        <w:t xml:space="preserve"> attained age and creditable service, for the state, teacher and each political subdivision plan.</w:t>
      </w:r>
    </w:p>
    <w:p>
      <w:pPr>
        <w:pStyle w:val="ListNumber"/>
      </w:pPr>
      <w:r>
        <w:rPr>
          <w:b w:val="0"/>
          <w:i w:val="0"/>
          <w:strike w:val="0"/>
        </w:rPr>
        <w:t>Age and service distribution for the aggregate political subdivision plan.</w:t>
      </w:r>
    </w:p>
    <w:p>
      <w:pPr>
        <w:pStyle w:val="ListNumber"/>
      </w:pPr>
      <w:r>
        <w:rPr>
          <w:b w:val="0"/>
          <w:i w:val="0"/>
          <w:strike w:val="0"/>
        </w:rPr>
        <w:t xml:space="preserve">Number of active non-hybrid members with verified, unpurchased qualifying active duty military service, </w:t>
      </w:r>
      <w:r>
        <w:rPr>
          <w:b/>
          <w:i w:val="0"/>
          <w:strike w:val="0"/>
        </w:rPr>
        <w:t>and the distribution of how much each has</w:t>
      </w:r>
      <w:r>
        <w:rPr>
          <w:b w:val="0"/>
          <w:i w:val="0"/>
          <w:strike w:val="0"/>
        </w:rPr>
        <w:t>.</w:t>
      </w:r>
    </w:p>
    <w:p>
      <w:pPr>
        <w:pStyle w:val="ListNumber"/>
      </w:pPr>
      <w:r>
        <w:rPr>
          <w:b w:val="0"/>
          <w:i w:val="0"/>
          <w:strike w:val="0"/>
        </w:rPr>
        <w:t>How many members with qualifying service already purchased it inside the § 51.1-142.2 B 3 24-month window.</w:t>
      </w:r>
    </w:p>
    <w:p>
      <w:pPr>
        <w:pStyle w:val="ListNumber"/>
      </w:pPr>
      <w:r>
        <w:rPr>
          <w:b w:val="0"/>
          <w:i w:val="0"/>
          <w:strike w:val="0"/>
        </w:rPr>
        <w:t>How many members' qualifying service is barred because it is counted in military retired pay (DECISION 3).</w:t>
      </w:r>
    </w:p>
    <w:p>
      <w:pPr>
        <w:pStyle w:val="ListNumber"/>
      </w:pPr>
      <w:r>
        <w:rPr>
          <w:b w:val="0"/>
          <w:i w:val="0"/>
          <w:strike w:val="0"/>
        </w:rPr>
        <w:t>Expected retirement behaviour of members who purchase eligibility credit — specifically, what share would have worked on to unreduced eligibility under current law (φ).</w:t>
      </w:r>
    </w:p>
    <w:p>
      <w:pPr>
        <w:pStyle w:val="ListNumber"/>
      </w:pPr>
      <w:r>
        <w:rPr>
          <w:b w:val="0"/>
          <w:i w:val="0"/>
          <w:strike w:val="0"/>
        </w:rPr>
        <w:t>The numeric Plan 2 and Hybrid 60/5 early-retirement reduction factor table.</w:t>
      </w:r>
    </w:p>
    <w:p>
      <w:pPr>
        <w:pStyle w:val="ListNumber"/>
      </w:pPr>
      <w:r>
        <w:rPr>
          <w:b w:val="0"/>
          <w:i w:val="0"/>
          <w:strike w:val="0"/>
        </w:rPr>
        <w:t>Members 1, 2, 3 and 4 years or points from a § 51.1-153 B 2 or B 3 threshold, by fiscal year, for FY2029 through FY2038 and beyond.</w:t>
      </w:r>
    </w:p>
    <w:p>
      <w:pPr>
        <w:pStyle w:val="ListNumber"/>
      </w:pPr>
      <w:r>
        <w:rPr>
          <w:b w:val="0"/>
          <w:i w:val="0"/>
          <w:strike w:val="0"/>
        </w:rPr>
        <w:t>Actuarial accrued liability under current law and under the bill, and the resulting employer contribution rate impact for the state plan, the teacher plan, and each participating political subdivision plan.</w:t>
      </w:r>
    </w:p>
    <w:p>
      <w:pPr>
        <w:pStyle w:val="ListNumber"/>
      </w:pPr>
      <w:r>
        <w:rPr>
          <w:b w:val="0"/>
          <w:i w:val="0"/>
          <w:strike w:val="0"/>
        </w:rPr>
        <w:t>The administrative lead time VRS actually needs for the separate ledger required by § 51.1-142.4 I, which determines whether the July 1, 2028 effective date holds.</w:t>
      </w:r>
    </w:p>
    <w:p>
      <w:pPr>
        <w:jc w:val="center"/>
      </w:pPr>
      <w:r>
        <w:rPr>
          <w:color w:val="909090"/>
          <w:sz w:val="18"/>
        </w:rPr>
        <w:t>* * *</w:t>
      </w:r>
    </w:p>
    <w:p>
      <w:pPr>
        <w:pStyle w:val="Heading2"/>
      </w:pPr>
      <w:r>
        <w:rPr>
          <w:b w:val="0"/>
          <w:i w:val="0"/>
          <w:strike w:val="0"/>
        </w:rPr>
        <w:t>13. Bottom-line fiscal interpretation</w:t>
      </w:r>
    </w:p>
    <w:p>
      <w:r>
        <w:rPr>
          <w:b/>
          <w:i w:val="0"/>
          <w:strike w:val="0"/>
        </w:rPr>
        <w:t>Modeled net cost. Not cost neutral. Small.</w:t>
      </w:r>
    </w:p>
    <w:p>
      <w:r>
        <w:rPr>
          <w:b w:val="0"/>
          <w:i w:val="0"/>
          <w:strike w:val="0"/>
        </w:rPr>
        <w:t xml:space="preserve">On the measure that isolates what the bridge sells, the approximate normal cost recovers </w:t>
      </w:r>
      <w:r>
        <w:rPr>
          <w:b/>
          <w:i w:val="0"/>
          <w:strike w:val="0"/>
        </w:rPr>
        <w:t>11% to 78%</w:t>
      </w:r>
      <w:r>
        <w:rPr>
          <w:b w:val="0"/>
          <w:i w:val="0"/>
          <w:strike w:val="0"/>
        </w:rPr>
        <w:t xml:space="preserve"> of the value conferred, and the per-member subsidy reaches </w:t>
      </w:r>
      <w:r>
        <w:rPr>
          <w:b/>
          <w:i w:val="0"/>
          <w:strike w:val="0"/>
        </w:rPr>
        <w:t>$341,065</w:t>
      </w:r>
      <w:r>
        <w:rPr>
          <w:b w:val="0"/>
          <w:i w:val="0"/>
          <w:strike w:val="0"/>
        </w:rPr>
        <w:t xml:space="preserve"> in the maximum-acceleration Plan 1 case. </w:t>
      </w:r>
      <w:r>
        <w:rPr>
          <w:b/>
          <w:i w:val="0"/>
          <w:strike w:val="0"/>
        </w:rPr>
        <w:t>The package should present this as a deliberate, quantified subsidy for veterans, with the number attached.</w:t>
      </w:r>
    </w:p>
    <w:p>
      <w:r>
        <w:rPr>
          <w:b w:val="0"/>
          <w:i w:val="0"/>
          <w:strike w:val="0"/>
        </w:rPr>
        <w:t xml:space="preserve">On the measure closest to a valuation liability change, the member </w:t>
      </w:r>
      <w:r>
        <w:rPr>
          <w:b/>
          <w:i w:val="0"/>
          <w:strike w:val="0"/>
        </w:rPr>
        <w:t>overpays</w:t>
      </w:r>
      <w:r>
        <w:rPr>
          <w:b w:val="0"/>
          <w:i w:val="0"/>
          <w:strike w:val="0"/>
        </w:rPr>
        <w:t xml:space="preserve"> in every profile modeled, and where the vacated position is refilled the plan is better off.</w:t>
      </w:r>
    </w:p>
    <w:p>
      <w:r>
        <w:rPr>
          <w:b w:val="0"/>
          <w:i w:val="0"/>
          <w:strike w:val="0"/>
        </w:rPr>
        <w:t xml:space="preserve">Blending the two and aggregating over the published near-threshold population, the modeled employer contribution rate impact for the FY2029–FY2038 cohort is </w:t>
      </w:r>
      <w:r>
        <w:rPr>
          <w:b/>
          <w:i w:val="0"/>
          <w:strike w:val="0"/>
        </w:rPr>
        <w:t>0.22 basis points on the state plan, 0.20 on the teacher plan and 0.14 on the participating political subdivision plans — 0.19 basis points combined.</w:t>
      </w:r>
      <w:r>
        <w:rPr>
          <w:b w:val="0"/>
          <w:i w:val="0"/>
          <w:strike w:val="0"/>
        </w:rPr>
        <w:t xml:space="preserve"> Across every sensitivity tested the aggregate stays between </w:t>
      </w:r>
      <w:r>
        <w:rPr>
          <w:b/>
          <w:i w:val="0"/>
          <w:strike w:val="0"/>
        </w:rPr>
        <w:t>0.05 and 0.44 basis points</w:t>
      </w:r>
      <w:r>
        <w:rPr>
          <w:b w:val="0"/>
          <w:i w:val="0"/>
          <w:strike w:val="0"/>
        </w:rPr>
        <w:t xml:space="preserve">, and no single plan exceeds </w:t>
      </w:r>
      <w:r>
        <w:rPr>
          <w:b/>
          <w:i w:val="0"/>
          <w:strike w:val="0"/>
        </w:rPr>
        <w:t>0.84</w:t>
      </w:r>
      <w:r>
        <w:rPr>
          <w:b w:val="0"/>
          <w:i w:val="0"/>
          <w:strike w:val="0"/>
        </w:rPr>
        <w:t xml:space="preserve">. </w:t>
      </w:r>
      <w:r>
        <w:rPr>
          <w:b/>
          <w:i w:val="0"/>
          <w:strike w:val="0"/>
        </w:rPr>
        <w:t>To the nearest basis point, no plan's employer contribution rate changes.</w:t>
      </w:r>
    </w:p>
    <w:p>
      <w:r>
        <w:rPr>
          <w:b/>
          <w:i w:val="0"/>
          <w:strike w:val="0"/>
        </w:rPr>
        <w:t>Extending the bridge to hybrid retirement program participants changes the ten-year number by less than one hundredth of a basis point</w:t>
      </w:r>
      <w:r>
        <w:rPr>
          <w:b w:val="0"/>
          <w:i w:val="0"/>
          <w:strike w:val="0"/>
        </w:rPr>
        <w:t>, and the earliest qualifying hybrid participant overpays. DECISION 2 should be decided on equity and precedent.</w:t>
      </w:r>
    </w:p>
    <w:p>
      <w:r>
        <w:rPr>
          <w:b/>
          <w:i w:val="0"/>
          <w:strike w:val="0"/>
        </w:rPr>
        <w:t>The stricter DECISION 4 purchase rule would save about 0.06 basis points</w:t>
      </w:r>
      <w:r>
        <w:rPr>
          <w:b w:val="0"/>
          <w:i w:val="0"/>
          <w:strike w:val="0"/>
        </w:rPr>
        <w:t xml:space="preserve"> and would deny the benefit entirely to veterans whose qualifying service is shorter than their eligibility deficit. The drafted rule is worth its price.</w:t>
      </w:r>
    </w:p>
    <w:p>
      <w:r>
        <w:rPr>
          <w:b/>
          <w:i w:val="0"/>
          <w:strike w:val="0"/>
        </w:rPr>
        <w:t>None of these figures can substitute for the VRS Board's statement under Va. Code § 30-19.1:7.</w:t>
      </w:r>
      <w:r>
        <w:rPr>
          <w:b w:val="0"/>
          <w:i w:val="0"/>
          <w:strike w:val="0"/>
        </w:rPr>
        <w:t xml:space="preserve"> The eligible-population inputs are not public, and the sign of the per-member result depends on a behavioural assumption on which no published data bears. The correct posture before the General Assembly is: </w:t>
      </w:r>
      <w:r>
        <w:rPr>
          <w:b w:val="0"/>
          <w:i/>
          <w:strike w:val="0"/>
        </w:rPr>
        <w:t>this is a deliberate subsidy, here is its size per member, here is why the aggregate is less than one basis point, and here is the member-level data VRS needs to confirm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