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All three blocking policy items are now resolved by recorded JLCVSO decisions (October 20, 2026) and are implemented in the text below.</w:t>
      </w:r>
      <w:r>
        <w:rPr>
          <w:b w:val="0"/>
          <w:i w:val="0"/>
          <w:strike w:val="0"/>
        </w:rPr>
        <w:t xml:space="preserve"> Two pre-introduction items remain, neither of which is a drafting question: the VRS Board impact statement under § 30-19.1:7 has not been requested, and the federal tax questions in note 8 have not been put to counsel. </w:t>
      </w:r>
      <w:r>
        <w:rPr>
          <w:b/>
          <w:i w:val="0"/>
          <w:strike w:val="0"/>
        </w:rPr>
        <w:t>Prepared for:</w:t>
      </w:r>
      <w:r>
        <w:rPr>
          <w:b w:val="0"/>
          <w:i w:val="0"/>
          <w:strike w:val="0"/>
        </w:rPr>
        <w:t xml:space="preserve"> Joint Leadership Council of Veterans Service Organizations (JLCVSO) </w:t>
      </w:r>
      <w:r>
        <w:rPr>
          <w:b/>
          <w:i w:val="0"/>
          <w:strike w:val="0"/>
        </w:rPr>
        <w:t>Prepared by:</w:t>
      </w:r>
      <w:r>
        <w:rPr>
          <w:b w:val="0"/>
          <w:i w:val="0"/>
          <w:strike w:val="0"/>
        </w:rPr>
        <w:t xml:space="preserve"> VRS2 — Virginia Public Pension Benefits Attorney </w:t>
      </w:r>
      <w:r>
        <w:rPr>
          <w:b/>
          <w:i w:val="0"/>
          <w:strike w:val="0"/>
        </w:rPr>
        <w:t>Version:</w:t>
      </w:r>
      <w:r>
        <w:rPr>
          <w:b w:val="0"/>
          <w:i w:val="0"/>
          <w:strike w:val="0"/>
        </w:rPr>
        <w:t xml:space="preserve"> 1.2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are now decided by the Council and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No exclusion is attempted, because none is possible — both run from the </w:t>
      </w:r>
      <w:r>
        <w:rPr>
          <w:b/>
          <w:i w:val="0"/>
          <w:strike w:val="0"/>
          <w:sz w:val="20"/>
        </w:rPr>
        <w:t>date of retirement</w:t>
      </w:r>
      <w:r>
        <w:rPr>
          <w:b w:val="0"/>
          <w:i w:val="0"/>
          <w:strike w:val="0"/>
          <w:sz w:val="20"/>
        </w:rPr>
        <w:t xml:space="preserve">, which this bill deliberately moves. Version 1.2 makes the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counsel recommended.</w:t>
      </w:r>
      <w:r>
        <w:rPr>
          <w:b w:val="0"/>
          <w:i w:val="0"/>
          <w:strike w:val="0"/>
          <w:sz w:val="20"/>
        </w:rPr>
        <w:t xml:space="preserve"> Decision: exclude only those B 4-resolution public-safety employees whose </w:t>
      </w:r>
      <w:r>
        <w:rPr>
          <w:b/>
          <w:i w:val="0"/>
          <w:strike w:val="0"/>
          <w:sz w:val="20"/>
        </w:rPr>
        <w:t>first membership began on or after January 1, 2014</w:t>
      </w:r>
      <w:r>
        <w:rPr>
          <w:b w:val="0"/>
          <w:i w:val="0"/>
          <w:strike w:val="0"/>
          <w:sz w:val="20"/>
        </w:rPr>
        <w:t xml:space="preserve">. Implemented in </w:t>
      </w:r>
      <w:r>
        <w:rPr>
          <w:b/>
          <w:i w:val="0"/>
          <w:strike w:val="0"/>
          <w:sz w:val="20"/>
        </w:rPr>
        <w:t>new clause B 1(iv)</w:t>
      </w:r>
      <w:r>
        <w:rPr>
          <w:b w:val="0"/>
          <w:i w:val="0"/>
          <w:strike w:val="0"/>
          <w:sz w:val="20"/>
        </w:rPr>
        <w:t xml:space="preserve"> and in subsection J. Counsel had recommended excluding the class outright; the Council's narrower line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closed and shrinking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JLCVSO decisions recorded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Independent review fixes applied.</w:t>
      </w:r>
      <w:r>
        <w:rPr>
          <w:b w:val="0"/>
          <w:i w:val="0"/>
          <w:strike w:val="0"/>
          <w:sz w:val="20"/>
        </w:rPr>
        <w:t xml:space="preserve"> The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or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3. Notwithstanding subsection C of § 51.1-153, eligibility credit shall be included as provided in subdivisions 1 and 2 only if the member was a member in service on the day immediately preceding the effective date of his retirement.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and (vii) a statement that, under subdivision E 3, eligibility credit will be included in determining the member's eligibility to retire only if the member is a member in service immediately preceding the effective date of his retirement, and that a member who terminates service before retiring will not be able to use the credit and will be entitled to a refund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c. The member's application for a retirement allowance pursuant to subsection C of § 51.1-153; or</w:t>
      </w:r>
    </w:p>
    <w:p>
      <w:r>
        <w:rPr>
          <w:b/>
          <w:i w:val="0"/>
          <w:strike w:val="0"/>
        </w:rPr>
        <w:t>d. The written request of a member who has ceased to be a member in service, made at any time while he remains a member.</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subdivisions B 1 and B 4 are unchanged and would be reenacted as they appear in current law. Subsection C is amended in version 1.2.]</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Council's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and K 1 d give her a refund with interest instead.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six amendments across five sections</w:t>
      </w:r>
      <w:r>
        <w:rPr>
          <w:b w:val="0"/>
          <w:i w:val="0"/>
          <w:strike w:val="0"/>
        </w:rPr>
        <w:t xml:space="preserve"> — to §§ 51.1-162, 51.1-165.01 and 51.1-166, to </w:t>
      </w:r>
      <w:r>
        <w:rPr>
          <w:b/>
          <w:i w:val="0"/>
          <w:strike w:val="0"/>
        </w:rPr>
        <w:t>§ 2.2-3204 in Title 2.2</w:t>
      </w:r>
      <w:r>
        <w:rPr>
          <w:b w:val="0"/>
          <w:i w:val="0"/>
          <w:strike w:val="0"/>
        </w:rPr>
        <w:t xml:space="preserve"> (subsections A and C,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health insurance credit and ordinary post-retirement supplements both commence at retirement and therefore begin up to four years earlier; neither is reachable by exclusion drafting. Per the Council's October 20, 2026 decision that exposure is </w:t>
      </w:r>
      <w:r>
        <w:rPr>
          <w:b/>
          <w:i w:val="0"/>
          <w:strike w:val="0"/>
        </w:rPr>
        <w:t>accepted and priced rather than cured</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JLCVSO decisions recorded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As of version 1.2 that is now true without qualification: the one leak that was neither closed nor shrinking — B 4-resolution public-safety employees — is shut for post-2014 entrants by clause B 1(iv).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independent review in MOO-260 (`06-red-team-review.docx`) are resolved.</w:t>
      </w:r>
      <w:r>
        <w:rPr>
          <w:b w:val="0"/>
          <w:i w:val="0"/>
          <w:strike w:val="0"/>
        </w:rPr>
        <w:t xml:space="preserve"> The Council decided all three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and K 1 d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Effect on the cost model:</w:t>
      </w:r>
      <w:r>
        <w:rPr>
          <w:b w:val="0"/>
          <w:i w:val="0"/>
          <w:strike w:val="0"/>
        </w:rPr>
        <w:t xml:space="preserve"> the MOO-259 model valued four years of acceleration on the bill as drafted and did not price the deferred path. Closing that path means the model's aggregates are no longer understatements on this account, and the model does not need to be redone for F-01. It should still be re-run against version 1.2 before introduction, because clause B 1(iv) removes a population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reachable by this bill's exclusion architecture: subdivision F 8 bars eligibility for and the amount of the health insurance credit, and neither verb reaches </w:t>
      </w:r>
      <w:r>
        <w:rPr>
          <w:b/>
          <w:i w:val="0"/>
          <w:strike w:val="0"/>
        </w:rPr>
        <w:t>duration</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Curing either would require amending Chapter 14 and § 51.1-166 to delay commencement for bridge retirees, a more intrusive move than anything else in this bill and one that would single out veterans for worse ancillary treatment than other early retirees. The Council chose acceptance.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because both run on separately funded trusts;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whose first membership began on or after January 1, 2014.</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Counsel recommended excluding the class outright; </w:t>
      </w:r>
      <w:r>
        <w:rPr>
          <w:b/>
          <w:i w:val="0"/>
          <w:strike w:val="0"/>
        </w:rPr>
        <w:t>the Council drew a narrower line, and it is the better fix.</w:t>
      </w:r>
      <w:r>
        <w:rPr>
          <w:b w:val="0"/>
          <w:i w:val="0"/>
          <w:strike w:val="0"/>
        </w:rPr>
        <w:t xml:space="preserve"> It removes the open-ended growth that was the actual problem — the post-2014 entrants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Council's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Council's verbatim text is recorded in Part 6 of the legal memorandum. Two consequences to carry forward: (i) the equal-treatment framing is now clean, because the exclusion tracks the hybrid-program line that already applies to every other post-2014 hire rather than drawing a line among veterans;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Subdivision E 3 as drafted would disregard the credit for a member who is not in service immediately before retirement, which could catch a member who separates for reasons outside her control. </w:t>
      </w:r>
      <w:r>
        <w:rPr>
          <w:b/>
          <w:i w:val="0"/>
          <w:strike w:val="0"/>
        </w:rPr>
        <w:t>Options if the Council wants that softened:</w:t>
      </w:r>
      <w:r>
        <w:rPr>
          <w:b w:val="0"/>
          <w:i w:val="0"/>
          <w:strike w:val="0"/>
        </w:rPr>
        <w:t xml:space="preserve"> deem in-service status to continue through an approved leave, or treat a member receiving long-term disability benefits as in service for purposes of subdivision E 3 only. Flagged rather than drafted, because it is a policy question the Council has not been asked.</w:t>
      </w:r>
    </w:p>
    <w:p>
      <w:pPr>
        <w:pStyle w:val="ListNumber"/>
      </w:pPr>
      <w:r>
        <w:rPr>
          <w:b/>
          <w:i w:val="0"/>
          <w:strike w:val="0"/>
        </w:rPr>
        <w:t>Version 1.2 also requires the cost model to be re-run before introduction.</w:t>
      </w:r>
      <w:r>
        <w:rPr>
          <w:b w:val="0"/>
          <w:i w:val="0"/>
          <w:strike w:val="0"/>
        </w:rPr>
        <w:t xml:space="preserve"> Clause B 1(iv) removes a population the MOO-259 model included, and subdivision E 3 closes a path it never priced. Neither change makes the model's aggregates too </w:t>
      </w:r>
      <w:r>
        <w:rPr>
          <w:b w:val="0"/>
          <w:i/>
          <w:strike w:val="0"/>
        </w:rPr>
        <w:t>high</w:t>
      </w:r>
      <w:r>
        <w:rPr>
          <w:b w:val="0"/>
          <w:i w:val="0"/>
          <w:strike w:val="0"/>
        </w:rPr>
        <w:t xml:space="preserve"> in a way that matters for a committee — the direction of both corrections is downward — but the model should be stated against the bill actually introduced.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