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Owner:</w:t>
      </w:r>
      <w:r>
        <w:rPr>
          <w:b w:val="0"/>
          <w:i w:val="0"/>
          <w:strike w:val="0"/>
        </w:rPr>
        <w:t xml:space="preserve"> VRS2 — Virginia Public Pension Benefits Attorney · </w:t>
      </w:r>
      <w:r>
        <w:rPr>
          <w:b/>
          <w:i w:val="0"/>
          <w:strike w:val="0"/>
        </w:rPr>
        <w:t>Version 1.2, October 20, 2026</w:t>
      </w:r>
    </w:p>
    <w:p>
      <w:pPr>
        <w:spacing w:after="80"/>
        <w:ind w:left="480"/>
      </w:pPr>
      <w:r>
        <w:rPr>
          <w:b/>
          <w:i w:val="0"/>
          <w:strike w:val="0"/>
          <w:sz w:val="20"/>
        </w:rPr>
        <w:t>Read this first.</w:t>
      </w:r>
      <w:r>
        <w:rPr>
          <w:b w:val="0"/>
          <w:i w:val="0"/>
          <w:strike w:val="0"/>
          <w:sz w:val="20"/>
        </w:rPr>
        <w:t xml:space="preserve"> </w:t>
      </w:r>
      <w:r>
        <w:rPr>
          <w:b/>
          <w:i w:val="0"/>
          <w:strike w:val="0"/>
          <w:sz w:val="20"/>
        </w:rPr>
        <w:t>Every policy question is now settled.</w:t>
      </w:r>
      <w:r>
        <w:rPr>
          <w:b w:val="0"/>
          <w:i w:val="0"/>
          <w:strike w:val="0"/>
          <w:sz w:val="20"/>
        </w:rPr>
        <w:t xml:space="preserve"> Four JLCVSO decisions were recorded on October 19, 2026 and the three blockers from independent adversarial review were decided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neither of which any exclusion clause can reach; and </w:t>
      </w:r>
      <w:r>
        <w:rPr>
          <w:b/>
          <w:i w:val="0"/>
          <w:strike w:val="0"/>
          <w:sz w:val="20"/>
        </w:rPr>
        <w:t>exclude § 51.1-153 B 4 public-safety employees first hired on or after January 1, 2014</w:t>
      </w:r>
      <w:r>
        <w:rPr>
          <w:b w:val="0"/>
          <w:i w:val="0"/>
          <w:strike w:val="0"/>
          <w:sz w:val="20"/>
        </w:rPr>
        <w:t xml:space="preserve"> — narrower than counsel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The bill is not cost neutral</w:t>
      </w:r>
      <w:r>
        <w:rPr>
          <w:b w:val="0"/>
          <w:i w:val="0"/>
          <w:strike w:val="0"/>
          <w:sz w:val="20"/>
        </w:rPr>
        <w:t xml:space="preserve">, and the package says so deliberately: a subsidy of up to $341,065 per member, at a combined employer contribution rate impact of </w:t>
      </w:r>
      <w:r>
        <w:rPr>
          <w:b/>
          <w:i w:val="0"/>
          <w:strike w:val="0"/>
          <w:sz w:val="20"/>
        </w:rPr>
        <w:t>0.19 basis points</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version 1.2 (both October 20 decisions move it downward).</w:t>
      </w:r>
    </w:p>
    <w:p>
      <w:r>
        <w:rPr>
          <w:b/>
          <w:i w:val="0"/>
          <w:strike w:val="0"/>
        </w:rPr>
        <w:t>Target:</w:t>
      </w:r>
      <w:r>
        <w:rPr>
          <w:b w:val="0"/>
          <w:i w:val="0"/>
          <w:strike w:val="0"/>
        </w:rPr>
        <w:t xml:space="preserve"> 2027 Virginia General Assembly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1.2 — all policy decisions drafted; pre-introduction items in the memo remain</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JLCVSO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Independent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val="0"/>
                <w:i w:val="0"/>
                <w:strike w:val="0"/>
              </w:rPr>
              <w:t xml:space="preserve">Complete (MOO-259) — </w:t>
            </w:r>
            <w:r>
              <w:rPr>
                <w:b/>
                <w:i w:val="0"/>
                <w:strike w:val="0"/>
              </w:rPr>
              <w:t>illustrative, not the Board's § 30-19.1:7 statement</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 with no increase in the retirement allowance and no effect on any other VRS benefit.</w:t>
      </w:r>
    </w:p>
    <w:p>
      <w:pPr>
        <w:pStyle w:val="Heading2"/>
      </w:pPr>
      <w:r>
        <w:rPr>
          <w:b w:val="0"/>
          <w:i w:val="0"/>
          <w:strike w:val="0"/>
        </w:rPr>
        <w:t>The three moves that make it work</w:t>
      </w:r>
    </w:p>
    <w:p>
      <w:pPr>
        <w:pStyle w:val="ListNumber"/>
      </w:pPr>
      <w:r>
        <w:rPr>
          <w:b/>
          <w:i w:val="0"/>
          <w:strike w:val="0"/>
        </w:rPr>
        <w:t>New § 51.1-142.4</w:t>
      </w:r>
      <w:r>
        <w:rPr>
          <w:b w:val="0"/>
          <w:i w:val="0"/>
          <w:strike w:val="0"/>
        </w:rPr>
        <w:t>, not an amendment inside § 51.1-142.2 — because "creditable service" is defined as "prior service as set forth in § 51.1-142.2 plus membership service," so anything added there becomes creditable service automatically.</w:t>
      </w:r>
    </w:p>
    <w:p>
      <w:pPr>
        <w:pStyle w:val="ListNumber"/>
      </w:pPr>
      <w:r>
        <w:rPr>
          <w:b/>
          <w:i w:val="0"/>
          <w:strike w:val="0"/>
        </w:rPr>
        <w:t>Express carve-out from the "creditable service" definition</w:t>
      </w:r>
      <w:r>
        <w:rPr>
          <w:b w:val="0"/>
          <w:i w:val="0"/>
          <w:strike w:val="0"/>
        </w:rPr>
        <w:t xml:space="preserve"> in § 51.1-124.3, which protects the benefit formula, AFC, the health insurance credit's </w:t>
      </w:r>
      <w:r>
        <w:rPr>
          <w:b/>
          <w:i w:val="0"/>
          <w:strike w:val="0"/>
        </w:rPr>
        <w:t>threshold and amount</w:t>
      </w:r>
      <w:r>
        <w:rPr>
          <w:b w:val="0"/>
          <w:i w:val="0"/>
          <w:strike w:val="0"/>
        </w:rPr>
        <w:t xml:space="preserve"> (not its commencement date — see below), group life thresholds, disability allowances, and the five-year vesting analogue in one stroke.</w:t>
      </w:r>
    </w:p>
    <w:p>
      <w:pPr>
        <w:pStyle w:val="ListNumber"/>
      </w:pPr>
      <w:r>
        <w:rPr>
          <w:b/>
          <w:i w:val="0"/>
          <w:strike w:val="0"/>
        </w:rPr>
        <w:t>Six conforming amendments across five sections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The health insurance credit and ordinary COLA both commence at retirement, so both start up to four years earlier and neither is reachable by exclusion drafting. </w:t>
      </w:r>
      <w:r>
        <w:rPr>
          <w:b/>
          <w:i w:val="0"/>
          <w:strike w:val="0"/>
        </w:rPr>
        <w:t>Per DECISION 9 that cost is accepted, priced and disclosed rather than cured</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seven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independent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No exclusion is attempted because none is possible.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whose first VRS membership began on or after January 1, 2014.</w:t>
      </w:r>
      <w:r>
        <w:rPr>
          <w:b w:val="0"/>
          <w:i w:val="0"/>
          <w:strike w:val="0"/>
        </w:rPr>
        <w:t xml:space="preserve"> Implemented in new clause B 1(iv) and subsection J, with new subdivision C 1 c resolving which deficit formula applies to the still-eligible pre-2014 class. Narrower than counsel recommended and adopted without reservation: the defect was that the class was permanent and growing, and this removes exactly that while keeping the bridge for pre-2014 public-safety veterans. </w:t>
      </w:r>
      <w:r>
        <w:rPr>
          <w:b/>
          <w:i w:val="0"/>
          <w:strike w:val="0"/>
        </w:rPr>
        <w:t>The beneficiary class is now closed and shrinking across the entire bill.</w:t>
      </w:r>
      <w:r>
        <w:rPr>
          <w:b w:val="0"/>
          <w:i w:val="0"/>
          <w:strike w:val="0"/>
        </w:rPr>
        <w:t xml:space="preserve"> The Council's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 a </w:t>
      </w:r>
      <w:r>
        <w:rPr>
          <w:b/>
          <w:i w:val="0"/>
          <w:strike w:val="0"/>
        </w:rPr>
        <w:t>$341,065 subsidy at 11.1% recovery</w:t>
      </w:r>
      <w:r>
        <w:rPr>
          <w:b w:val="0"/>
          <w:i w:val="0"/>
          <w:strike w:val="0"/>
        </w:rPr>
        <w:t xml:space="preserve">.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w:t>
      </w:r>
    </w:p>
    <w:p>
      <w:r>
        <w:rPr>
          <w:b w:val="0"/>
          <w:i w:val="0"/>
          <w:strike w:val="0"/>
        </w:rPr>
        <w:t xml:space="preserve">Three things that follow. The § 51.1-124.3 carve-out is worth a </w:t>
      </w:r>
      <w:r>
        <w:rPr>
          <w:b/>
          <w:i w:val="0"/>
          <w:strike w:val="0"/>
        </w:rPr>
        <w:t>5.7×</w:t>
      </w:r>
      <w:r>
        <w:rPr>
          <w:b w:val="0"/>
          <w:i w:val="0"/>
          <w:strike w:val="0"/>
        </w:rPr>
        <w:t xml:space="preserve"> difference in the liability increase and is the single most important provision in the bill.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post-2014 B 4 public-safety employees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decided by the Council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and on deferred-retirement application</w:t>
            </w:r>
          </w:p>
        </w:tc>
        <w:tc>
          <w:tcPr>
            <w:tcW w:type="dxa" w:w="2880"/>
          </w:tcPr>
          <w:p>
            <w:r>
              <w:rPr>
                <w:b/>
                <w:i w:val="0"/>
                <w:strike w:val="0"/>
              </w:rPr>
              <w:t>K 1 c</w:t>
            </w:r>
            <w:r>
              <w:rPr>
                <w:b w:val="0"/>
                <w:i w:val="0"/>
                <w:strike w:val="0"/>
              </w:rPr>
              <w:t xml:space="preserve">, </w:t>
            </w:r>
            <w:r>
              <w:rPr>
                <w:b/>
                <w:i w:val="0"/>
                <w:strike w:val="0"/>
              </w:rPr>
              <w:t>K 1 d</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Post-2014 B 4-resolution public-safety employees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the Council's narrower form</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review in MOO-260 was run by the attorney who drafted the package, because the independent Red Team / Counsel Reviewer was unavailable. The October 19 sign-off pass then found three stale statements that review had missed, which is exactly what self-review misses. </w:t>
      </w:r>
      <w:r>
        <w:rPr>
          <w:b/>
          <w:i w:val="0"/>
          <w:strike w:val="0"/>
        </w:rPr>
        <w:t>An independent read of version 1.2 is advisable before this reaches a patron.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