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strike w:val="0"/>
        </w:rPr>
        <w:t>MILITARY SERVICE RETIREMENT BRIDGE</w:t>
      </w:r>
    </w:p>
    <w:p>
      <w:pPr>
        <w:pStyle w:val="Heading3"/>
      </w:pPr>
      <w:r>
        <w:rPr>
          <w:b w:val="0"/>
          <w:i w:val="0"/>
          <w:strike w:val="0"/>
        </w:rPr>
        <w:t>One-page brief for the Joint Leadership Council of Veterans Service Organizations</w:t>
      </w:r>
    </w:p>
    <w:p>
      <w:r>
        <w:rPr>
          <w:b/>
          <w:i w:val="0"/>
          <w:strike w:val="0"/>
        </w:rPr>
        <w:t>Proposal:</w:t>
      </w:r>
      <w:r>
        <w:rPr>
          <w:b w:val="0"/>
          <w:i w:val="0"/>
          <w:strike w:val="0"/>
        </w:rPr>
        <w:t xml:space="preserve"> Let a vested VRS Plan 1 or Plan 2 member use up to four years of prior active duty military service, at the "approximate normal cost" new hires pay, </w:t>
      </w:r>
      <w:r>
        <w:rPr>
          <w:b/>
          <w:i w:val="0"/>
          <w:strike w:val="0"/>
        </w:rPr>
        <w:t>but only to reach the finish line for an unreduced retirement</w:t>
      </w:r>
      <w:r>
        <w:rPr>
          <w:b w:val="0"/>
          <w:i w:val="0"/>
          <w:strike w:val="0"/>
        </w:rPr>
        <w:t xml:space="preserve"> — never to raise the pension check. An </w:t>
      </w:r>
      <w:r>
        <w:rPr>
          <w:b/>
          <w:i w:val="0"/>
          <w:strike w:val="0"/>
        </w:rPr>
        <w:t>eligibility benefit, not a pension-accrual benefit</w:t>
      </w:r>
      <w:r>
        <w:rPr>
          <w:b w:val="0"/>
          <w:i w:val="0"/>
          <w:strike w:val="0"/>
        </w:rPr>
        <w:t>.</w:t>
      </w:r>
    </w:p>
    <w:p>
      <w:r>
        <w:rPr>
          <w:b/>
          <w:i w:val="0"/>
          <w:strike w:val="0"/>
        </w:rPr>
        <w:t>The gap this fills.</w:t>
      </w:r>
      <w:r>
        <w:rPr>
          <w:b w:val="0"/>
          <w:i w:val="0"/>
          <w:strike w:val="0"/>
        </w:rPr>
        <w:t xml:space="preserve"> A veteran has </w:t>
      </w:r>
      <w:r>
        <w:rPr>
          <w:b/>
          <w:i w:val="0"/>
          <w:strike w:val="0"/>
        </w:rPr>
        <w:t>24 months</w:t>
      </w:r>
      <w:r>
        <w:rPr>
          <w:b w:val="0"/>
          <w:i w:val="0"/>
          <w:strike w:val="0"/>
        </w:rPr>
        <w:t xml:space="preserve"> from hire to buy up to four years of active duty military service at approximate normal cost — for ordinary non-hazardous members, 12.50% of pay per year in Plan 1, 10.74% in Plan 2. After that the same years cost </w:t>
      </w:r>
      <w:r>
        <w:rPr>
          <w:b/>
          <w:i w:val="0"/>
          <w:strike w:val="0"/>
        </w:rPr>
        <w:t>actuarial equivalent cost</w:t>
      </w:r>
      <w:r>
        <w:rPr>
          <w:b w:val="0"/>
          <w:i w:val="0"/>
          <w:strike w:val="0"/>
        </w:rPr>
        <w:t xml:space="preserve">, several times higher. The low-cost window falls early in a career, when disposable income is often lower and retirement eligibility is remote; the 52-year-old three years short is priced out. </w:t>
      </w:r>
      <w:r>
        <w:rPr>
          <w:b/>
          <w:i w:val="0"/>
          <w:strike w:val="0"/>
        </w:rPr>
        <w:t>A pricing cliff, no second door.</w:t>
      </w:r>
    </w:p>
    <w:p>
      <w:r>
        <w:rPr>
          <w:b/>
          <w:i w:val="0"/>
          <w:strike w:val="0"/>
        </w:rPr>
        <w:t>What the proposal does.</w:t>
      </w:r>
      <w:r>
        <w:rPr>
          <w:b w:val="0"/>
          <w:i w:val="0"/>
          <w:strike w:val="0"/>
        </w:rPr>
        <w:t xml:space="preserve"> Existing right untouched. The bridge is available </w:t>
      </w:r>
      <w:r>
        <w:rPr>
          <w:b/>
          <w:i w:val="0"/>
          <w:strike w:val="0"/>
        </w:rPr>
        <w:t>any time after the 24-month window, once vested</w:t>
      </w:r>
      <w:r>
        <w:rPr>
          <w:b w:val="0"/>
          <w:i w:val="0"/>
          <w:strike w:val="0"/>
        </w:rPr>
        <w:t xml:space="preserve">, at the </w:t>
      </w:r>
      <w:r>
        <w:rPr>
          <w:b/>
          <w:i w:val="0"/>
          <w:strike w:val="0"/>
        </w:rPr>
        <w:t>same price</w:t>
      </w:r>
      <w:r>
        <w:rPr>
          <w:b w:val="0"/>
          <w:i w:val="0"/>
          <w:strike w:val="0"/>
        </w:rPr>
        <w:t xml:space="preserve">, and buys </w:t>
      </w:r>
      <w:r>
        <w:rPr>
          <w:b/>
          <w:i w:val="0"/>
          <w:strike w:val="0"/>
        </w:rPr>
        <w:t>eligibility only</w:t>
      </w:r>
      <w:r>
        <w:rPr>
          <w:b w:val="0"/>
          <w:i w:val="0"/>
          <w:strike w:val="0"/>
        </w:rPr>
        <w:t xml:space="preserve">. </w:t>
      </w:r>
      <w:r>
        <w:rPr>
          <w:b/>
          <w:i w:val="0"/>
          <w:strike w:val="0"/>
        </w:rPr>
        <w:t>Plan 1</w:t>
      </w:r>
      <w:r>
        <w:rPr>
          <w:b w:val="0"/>
          <w:i w:val="0"/>
          <w:strike w:val="0"/>
        </w:rPr>
        <w:t xml:space="preserve"> — counts toward the 30 years for unreduced retirement at 50 or later: </w:t>
      </w:r>
      <w:r>
        <w:rPr>
          <w:b w:val="0"/>
          <w:i/>
          <w:strike w:val="0"/>
        </w:rPr>
        <w:t>age 52 + 27 years + 3 bridge years = 30, unreduced now instead of at 55, benefit still on 27 years.</w:t>
      </w:r>
      <w:r>
        <w:rPr>
          <w:b w:val="0"/>
          <w:i w:val="0"/>
          <w:strike w:val="0"/>
        </w:rPr>
        <w:t xml:space="preserve"> </w:t>
      </w:r>
      <w:r>
        <w:rPr>
          <w:b/>
          <w:i w:val="0"/>
          <w:strike w:val="0"/>
        </w:rPr>
        <w:t>Plan 2</w:t>
      </w:r>
      <w:r>
        <w:rPr>
          <w:b w:val="0"/>
          <w:i w:val="0"/>
          <w:strike w:val="0"/>
        </w:rPr>
        <w:t xml:space="preserve"> — one-for-one toward the Rule of 90: </w:t>
      </w:r>
      <w:r>
        <w:rPr>
          <w:b w:val="0"/>
          <w:i/>
          <w:strike w:val="0"/>
        </w:rPr>
        <w:t>age 58 + 28 years + 4 bridge years = 90, two years early, benefit still on 28 years.</w:t>
      </w:r>
      <w:r>
        <w:rPr>
          <w:b w:val="0"/>
          <w:i w:val="0"/>
          <w:strike w:val="0"/>
        </w:rPr>
        <w:t xml:space="preserve"> Capped at the shortfall and at the acceleration achievable; inside the existing </w:t>
      </w:r>
      <w:r>
        <w:rPr>
          <w:b/>
          <w:i w:val="0"/>
          <w:strike w:val="0"/>
        </w:rPr>
        <w:t>four-year military cap</w:t>
      </w:r>
      <w:r>
        <w:rPr>
          <w:b w:val="0"/>
          <w:i w:val="0"/>
          <w:strike w:val="0"/>
        </w:rPr>
        <w:t>.</w:t>
      </w:r>
    </w:p>
    <w:p>
      <w:r>
        <w:rPr>
          <w:b/>
          <w:i w:val="0"/>
          <w:strike w:val="0"/>
        </w:rPr>
        <w:t>What it does and does not change.</w:t>
      </w:r>
      <w:r>
        <w:rPr>
          <w:b w:val="0"/>
          <w:i w:val="0"/>
          <w:strike w:val="0"/>
        </w:rPr>
        <w:t xml:space="preserve"> It does </w:t>
      </w:r>
      <w:r>
        <w:rPr>
          <w:b/>
          <w:i w:val="0"/>
          <w:strike w:val="0"/>
        </w:rPr>
        <w:t>not</w:t>
      </w:r>
      <w:r>
        <w:rPr>
          <w:b w:val="0"/>
          <w:i w:val="0"/>
          <w:strike w:val="0"/>
        </w:rPr>
        <w:t xml:space="preserve"> increase benefit-calculation service, the pension formula, or any service-credit-based benefit — secured by express exclusions plus six conforming amendments. </w:t>
      </w:r>
      <w:r>
        <w:rPr>
          <w:b/>
          <w:i w:val="0"/>
          <w:strike w:val="0"/>
        </w:rPr>
        <w:t>Ordinary consequences of an earlier retirement date remain applicable.</w:t>
      </w:r>
    </w:p>
    <w:p>
      <w:r>
        <w:rPr>
          <w:b/>
          <w:i w:val="0"/>
          <w:strike w:val="0"/>
        </w:rPr>
        <w:t>Say this first.</w:t>
      </w:r>
      <w:r>
        <w:rPr>
          <w:b w:val="0"/>
          <w:i w:val="0"/>
          <w:strike w:val="0"/>
        </w:rPr>
        <w:t xml:space="preserve"> The </w:t>
      </w:r>
      <w:r>
        <w:rPr>
          <w:b/>
          <w:i w:val="0"/>
          <w:strike w:val="0"/>
        </w:rPr>
        <w:t>health insurance credit</w:t>
      </w:r>
      <w:r>
        <w:rPr>
          <w:b w:val="0"/>
          <w:i w:val="0"/>
          <w:strike w:val="0"/>
        </w:rPr>
        <w:t xml:space="preserve"> and the </w:t>
      </w:r>
      <w:r>
        <w:rPr>
          <w:b/>
          <w:i w:val="0"/>
          <w:strike w:val="0"/>
        </w:rPr>
        <w:t>COLA</w:t>
      </w:r>
      <w:r>
        <w:rPr>
          <w:b w:val="0"/>
          <w:i w:val="0"/>
          <w:strike w:val="0"/>
        </w:rPr>
        <w:t xml:space="preserve"> follow the retirement date, so preventing earlier commencement would require separate statutory changes outside the bridge. Both begin up to four years earlier. Resolved October 20, 2026: the proposal </w:t>
      </w:r>
      <w:r>
        <w:rPr>
          <w:b/>
          <w:i w:val="0"/>
          <w:strike w:val="0"/>
        </w:rPr>
        <w:t>deliberately accepts and discloses</w:t>
      </w:r>
      <w:r>
        <w:rPr>
          <w:b w:val="0"/>
          <w:i w:val="0"/>
          <w:strike w:val="0"/>
        </w:rPr>
        <w:t xml:space="preserve"> that commencement rather than adding separate delay provisions.</w:t>
      </w:r>
    </w:p>
    <w:p>
      <w:pPr>
        <w:pStyle w:val="Heading3"/>
      </w:pPr>
      <w:r>
        <w:rPr>
          <w:b w:val="0"/>
          <w:i w:val="0"/>
          <w:strike w:val="0"/>
        </w:rPr>
        <w:t>Decisions resolved October 19–20, 2026 — all principal policy questions settled</w:t>
      </w:r>
    </w:p>
    <w:p>
      <w:r>
        <w:rPr>
          <w:b w:val="0"/>
          <w:i w:val="0"/>
          <w:strike w:val="0"/>
        </w:rPr>
        <w:t xml:space="preserve">Hybrid members </w:t>
      </w:r>
      <w:r>
        <w:rPr>
          <w:b/>
          <w:i w:val="0"/>
          <w:strike w:val="0"/>
        </w:rPr>
        <w:t>not</w:t>
      </w:r>
      <w:r>
        <w:rPr>
          <w:b w:val="0"/>
          <w:i w:val="0"/>
          <w:strike w:val="0"/>
        </w:rPr>
        <w:t xml:space="preserve"> covered (Plan 1/Plan 2 only); no retired-pay-bar exception; </w:t>
      </w:r>
      <w:r>
        <w:rPr>
          <w:b/>
          <w:i w:val="0"/>
          <w:strike w:val="0"/>
        </w:rPr>
        <w:t>PLOP date frozen</w:t>
      </w:r>
      <w:r>
        <w:rPr>
          <w:b w:val="0"/>
          <w:i w:val="0"/>
          <w:strike w:val="0"/>
        </w:rPr>
        <w:t xml:space="preserve">; </w:t>
      </w:r>
      <w:r>
        <w:rPr>
          <w:b/>
          <w:i w:val="0"/>
          <w:strike w:val="0"/>
        </w:rPr>
        <w:t>partial purchase capped at the shortfall</w:t>
      </w:r>
      <w:r>
        <w:rPr>
          <w:b w:val="0"/>
          <w:i w:val="0"/>
          <w:strike w:val="0"/>
        </w:rPr>
        <w:t xml:space="preserve">; credit counts </w:t>
      </w:r>
      <w:r>
        <w:rPr>
          <w:b/>
          <w:i w:val="0"/>
          <w:strike w:val="0"/>
        </w:rPr>
        <w:t>only if the member is still in service at retirement</w:t>
      </w:r>
      <w:r>
        <w:rPr>
          <w:b w:val="0"/>
          <w:i w:val="0"/>
          <w:strike w:val="0"/>
        </w:rPr>
        <w:t xml:space="preserve">, closing a buy-resign-defer loophole worth ~15 years; health insurance credit and COLA costs </w:t>
      </w:r>
      <w:r>
        <w:rPr>
          <w:b/>
          <w:i w:val="0"/>
          <w:strike w:val="0"/>
        </w:rPr>
        <w:t>accepted and disclosed</w:t>
      </w:r>
      <w:r>
        <w:rPr>
          <w:b w:val="0"/>
          <w:i w:val="0"/>
          <w:strike w:val="0"/>
        </w:rPr>
        <w:t xml:space="preserve">; and § 51.1-153 B 4 "resolution" public-safety employees who </w:t>
      </w:r>
      <w:r>
        <w:rPr>
          <w:b/>
          <w:i w:val="0"/>
          <w:strike w:val="0"/>
        </w:rPr>
        <w:t>first entered the VRS-administered retirement system on or after the January 1, 2014 Hybrid transition</w:t>
      </w:r>
      <w:r>
        <w:rPr>
          <w:b w:val="0"/>
          <w:i w:val="0"/>
          <w:strike w:val="0"/>
        </w:rPr>
        <w:t xml:space="preserve"> are </w:t>
      </w:r>
      <w:r>
        <w:rPr>
          <w:b/>
          <w:i w:val="0"/>
          <w:strike w:val="0"/>
        </w:rPr>
        <w:t>excluded</w:t>
      </w:r>
      <w:r>
        <w:rPr>
          <w:b w:val="0"/>
          <w:i w:val="0"/>
          <w:strike w:val="0"/>
        </w:rPr>
        <w:t xml:space="preserve"> — so the group is </w:t>
      </w:r>
      <w:r>
        <w:rPr>
          <w:b/>
          <w:i w:val="0"/>
          <w:strike w:val="0"/>
        </w:rPr>
        <w:t>closed and shrinking</w:t>
      </w:r>
      <w:r>
        <w:rPr>
          <w:b w:val="0"/>
          <w:i w:val="0"/>
          <w:strike w:val="0"/>
        </w:rPr>
        <w:t xml:space="preserve">. </w:t>
      </w:r>
      <w:r>
        <w:rPr>
          <w:b/>
          <w:i w:val="0"/>
          <w:strike w:val="0"/>
        </w:rPr>
        <w:t>One narrow question stays open:</w:t>
      </w:r>
      <w:r>
        <w:rPr>
          <w:b w:val="0"/>
          <w:i w:val="0"/>
          <w:strike w:val="0"/>
        </w:rPr>
        <w:t xml:space="preserve"> how the in-service-at-retirement requirement applies to approved leave or long-term disability.</w:t>
      </w:r>
    </w:p>
    <w:p>
      <w:r>
        <w:rPr>
          <w:b/>
          <w:i w:val="0"/>
          <w:strike w:val="0"/>
        </w:rPr>
        <w:t>The PLOP trade-off.</w:t>
      </w:r>
      <w:r>
        <w:rPr>
          <w:b w:val="0"/>
          <w:i w:val="0"/>
          <w:strike w:val="0"/>
        </w:rPr>
        <w:t xml:space="preserve"> PLOP eligibility depends on service performed </w:t>
      </w:r>
      <w:r>
        <w:rPr>
          <w:b w:val="0"/>
          <w:i/>
          <w:strike w:val="0"/>
        </w:rPr>
        <w:t>after</w:t>
      </w:r>
      <w:r>
        <w:rPr>
          <w:b w:val="0"/>
          <w:i w:val="0"/>
          <w:strike w:val="0"/>
        </w:rPr>
        <w:t xml:space="preserve"> first unreduced eligibility, and the bill freezes that date as if the bridge did not exist. </w:t>
      </w:r>
      <w:r>
        <w:rPr>
          <w:b/>
          <w:i w:val="0"/>
          <w:strike w:val="0"/>
        </w:rPr>
        <w:t>A member who retires at the accelerated date will generally have no PLOP;</w:t>
      </w:r>
      <w:r>
        <w:rPr>
          <w:b w:val="0"/>
          <w:i w:val="0"/>
          <w:strike w:val="0"/>
        </w:rPr>
        <w:t xml:space="preserve"> one who works on keeps it in full. VRS must disclose this in writing before purchase.</w:t>
      </w:r>
    </w:p>
    <w:p>
      <w:r>
        <w:rPr>
          <w:b/>
          <w:i w:val="0"/>
          <w:strike w:val="0"/>
        </w:rPr>
        <w:t>Carry this into the money committees — it costs money, and lead with that.</w:t>
      </w:r>
      <w:r>
        <w:rPr>
          <w:b w:val="0"/>
          <w:i w:val="0"/>
          <w:strike w:val="0"/>
        </w:rPr>
        <w:t xml:space="preserve"> The price recovers </w:t>
      </w:r>
      <w:r>
        <w:rPr>
          <w:b/>
          <w:i w:val="0"/>
          <w:strike w:val="0"/>
        </w:rPr>
        <w:t>11%–78%</w:t>
      </w:r>
      <w:r>
        <w:rPr>
          <w:b w:val="0"/>
          <w:i w:val="0"/>
          <w:strike w:val="0"/>
        </w:rPr>
        <w:t xml:space="preserve"> of the acceleration's value. </w:t>
      </w:r>
      <w:r>
        <w:rPr>
          <w:b/>
          <w:i w:val="0"/>
          <w:strike w:val="0"/>
        </w:rPr>
        <w:t>$341,065</w:t>
      </w:r>
      <w:r>
        <w:rPr>
          <w:b w:val="0"/>
          <w:i w:val="0"/>
          <w:strike w:val="0"/>
        </w:rPr>
        <w:t xml:space="preserve"> is the </w:t>
      </w:r>
      <w:r>
        <w:rPr>
          <w:b/>
          <w:i w:val="0"/>
          <w:strike w:val="0"/>
        </w:rPr>
        <w:t>maximum modeled net value above the member purchase price under the frozen-service/subsidy scenario</w:t>
      </w:r>
      <w:r>
        <w:rPr>
          <w:b w:val="0"/>
          <w:i w:val="0"/>
          <w:strike w:val="0"/>
        </w:rPr>
        <w:t xml:space="preserve"> — the most favorable single profile, </w:t>
      </w:r>
      <w:r>
        <w:rPr>
          <w:b/>
          <w:i w:val="0"/>
          <w:strike w:val="0"/>
        </w:rPr>
        <w:t>not</w:t>
      </w:r>
      <w:r>
        <w:rPr>
          <w:b w:val="0"/>
          <w:i w:val="0"/>
          <w:strike w:val="0"/>
        </w:rPr>
        <w:t xml:space="preserve"> a cost per veteran; members who would otherwise have worked on to unreduced eligibility </w:t>
      </w:r>
      <w:r>
        <w:rPr>
          <w:b/>
          <w:i w:val="0"/>
          <w:strike w:val="0"/>
        </w:rPr>
        <w:t>overpay</w:t>
      </w:r>
      <w:r>
        <w:rPr>
          <w:b w:val="0"/>
          <w:i w:val="0"/>
          <w:strike w:val="0"/>
        </w:rPr>
        <w:t xml:space="preserve"> in every modeled work-to-eligibility case. Employer rate impact is </w:t>
      </w:r>
      <w:r>
        <w:rPr>
          <w:b/>
          <w:i w:val="0"/>
          <w:strike w:val="0"/>
        </w:rPr>
        <w:t>0.19 basis points combined</w:t>
      </w:r>
      <w:r>
        <w:rPr>
          <w:b w:val="0"/>
          <w:i w:val="0"/>
          <w:strike w:val="0"/>
        </w:rPr>
        <w:t xml:space="preserve"> over FY2029–FY2038 — ~</w:t>
      </w:r>
      <w:r>
        <w:rPr>
          <w:b/>
          <w:i w:val="0"/>
          <w:strike w:val="0"/>
        </w:rPr>
        <w:t>222 purchasers</w:t>
      </w:r>
      <w:r>
        <w:rPr>
          <w:b w:val="0"/>
          <w:i w:val="0"/>
          <w:strike w:val="0"/>
        </w:rPr>
        <w:t xml:space="preserve"> against </w:t>
      </w:r>
      <w:r>
        <w:rPr>
          <w:b/>
          <w:i w:val="0"/>
          <w:strike w:val="0"/>
        </w:rPr>
        <w:t>$26.05 billion</w:t>
      </w:r>
      <w:r>
        <w:rPr>
          <w:b w:val="0"/>
          <w:i w:val="0"/>
          <w:strike w:val="0"/>
        </w:rPr>
        <w:t xml:space="preserve"> of payroll, so </w:t>
      </w:r>
      <w:r>
        <w:rPr>
          <w:b/>
          <w:i w:val="0"/>
          <w:strike w:val="0"/>
        </w:rPr>
        <w:t>to the nearest basis point no plan's rate changes.</w:t>
      </w:r>
      <w:r>
        <w:rPr>
          <w:b w:val="0"/>
          <w:i w:val="0"/>
          <w:strike w:val="0"/>
        </w:rPr>
        <w:t xml:space="preserve"> That is the </w:t>
      </w:r>
      <w:r>
        <w:rPr>
          <w:b/>
          <w:i w:val="0"/>
          <w:strike w:val="0"/>
        </w:rPr>
        <w:t>modeled retirement-plan employer contribution impact and excludes the separately funded health insurance credit and COLA effects, including unquantified COLA exposure.</w:t>
      </w:r>
      <w:r>
        <w:rPr>
          <w:b w:val="0"/>
          <w:i w:val="0"/>
          <w:strike w:val="0"/>
        </w:rPr>
        <w:t xml:space="preserve"> Carry both halves: "no cost" will be contradicted by the Board's § 30-19.1:7 statement.</w:t>
      </w:r>
    </w:p>
    <w:p>
      <w:r>
        <w:rPr>
          <w:b/>
          <w:i w:val="0"/>
          <w:strike w:val="0"/>
        </w:rPr>
        <w:t>Career military retirees are generally shut out — manage this expectation.</w:t>
      </w:r>
      <w:r>
        <w:rPr>
          <w:b w:val="0"/>
          <w:i w:val="0"/>
          <w:strike w:val="0"/>
        </w:rPr>
        <w:t xml:space="preserve"> The bill inherits the bar on buying service counted in another retirement allowance, which includes military retired pay. Federal law protects qualifying service associated with </w:t>
      </w:r>
      <w:r>
        <w:rPr>
          <w:b/>
          <w:i w:val="0"/>
          <w:strike w:val="0"/>
        </w:rPr>
        <w:t>non-regular Reserve-component retired pay</w:t>
      </w:r>
      <w:r>
        <w:rPr>
          <w:b w:val="0"/>
          <w:i w:val="0"/>
          <w:strike w:val="0"/>
        </w:rPr>
        <w:t xml:space="preserve"> under </w:t>
      </w:r>
      <w:r>
        <w:rPr>
          <w:b/>
          <w:i w:val="0"/>
          <w:strike w:val="0"/>
        </w:rPr>
        <w:t>10 U.S.C. chapter 1223</w:t>
      </w:r>
      <w:r>
        <w:rPr>
          <w:b w:val="0"/>
          <w:i w:val="0"/>
          <w:strike w:val="0"/>
        </w:rPr>
        <w:t xml:space="preserve">; whether </w:t>
      </w:r>
      <w:r>
        <w:rPr>
          <w:b/>
          <w:i w:val="0"/>
          <w:strike w:val="0"/>
        </w:rPr>
        <w:t>§ 12736</w:t>
      </w:r>
      <w:r>
        <w:rPr>
          <w:b w:val="0"/>
          <w:i w:val="0"/>
          <w:strike w:val="0"/>
        </w:rPr>
        <w:t xml:space="preserve"> applies to this bridge is </w:t>
      </w:r>
      <w:r>
        <w:rPr>
          <w:b/>
          <w:i w:val="0"/>
          <w:strike w:val="0"/>
        </w:rPr>
        <w:t>subject to counsel confirmation</w:t>
      </w:r>
      <w:r>
        <w:rPr>
          <w:b w:val="0"/>
          <w:i w:val="0"/>
          <w:strike w:val="0"/>
        </w:rPr>
        <w:t>.</w:t>
      </w:r>
    </w:p>
    <w:p>
      <w:pPr>
        <w:pStyle w:val="Heading3"/>
      </w:pPr>
      <w:r>
        <w:rPr>
          <w:b w:val="0"/>
          <w:i w:val="0"/>
          <w:strike w:val="0"/>
        </w:rPr>
        <w:t>Before external or patron use, five items must close</w:t>
      </w:r>
    </w:p>
    <w:p>
      <w:pPr>
        <w:pStyle w:val="ListNumber"/>
      </w:pPr>
      <w:r>
        <w:rPr>
          <w:b/>
          <w:i w:val="0"/>
          <w:strike w:val="0"/>
        </w:rPr>
        <w:t>Fiscal model re-run against bill version 1.2</w:t>
      </w:r>
      <w:r>
        <w:rPr>
          <w:b w:val="0"/>
          <w:i w:val="0"/>
          <w:strike w:val="0"/>
        </w:rPr>
        <w:t xml:space="preserve"> — complete for version 1.1 only.</w:t>
      </w:r>
    </w:p>
    <w:p>
      <w:pPr>
        <w:pStyle w:val="ListNumber"/>
      </w:pPr>
      <w:r>
        <w:rPr>
          <w:b/>
          <w:i w:val="0"/>
          <w:strike w:val="0"/>
        </w:rPr>
        <w:t>Outstanding source verifications completed</w:t>
      </w:r>
      <w:r>
        <w:rPr>
          <w:b w:val="0"/>
          <w:i w:val="0"/>
          <w:strike w:val="0"/>
        </w:rPr>
        <w:t xml:space="preserve"> — 2026 c. 563 clauses; LIS full-text search.</w:t>
      </w:r>
    </w:p>
    <w:p>
      <w:pPr>
        <w:pStyle w:val="ListNumber"/>
      </w:pPr>
      <w:r>
        <w:rPr>
          <w:b/>
          <w:i w:val="0"/>
          <w:strike w:val="0"/>
        </w:rPr>
        <w:t>Federal tax review by veterans' legal counsel</w:t>
      </w:r>
      <w:r>
        <w:rPr>
          <w:b w:val="0"/>
          <w:i w:val="0"/>
          <w:strike w:val="0"/>
        </w:rPr>
        <w:t xml:space="preserve"> — IRC §§ 415(n), 415(c); 10 U.S.C. § 12736.</w:t>
      </w:r>
    </w:p>
    <w:p>
      <w:pPr>
        <w:pStyle w:val="ListNumber"/>
      </w:pPr>
      <w:r>
        <w:rPr>
          <w:b/>
          <w:i w:val="0"/>
          <w:strike w:val="0"/>
        </w:rPr>
        <w:t>Approved-leave / long-term-disability question resolved or expressly deferred.</w:t>
      </w:r>
    </w:p>
    <w:p>
      <w:pPr>
        <w:pStyle w:val="ListNumber"/>
      </w:pPr>
      <w:r>
        <w:rPr>
          <w:b/>
          <w:i w:val="0"/>
          <w:strike w:val="0"/>
        </w:rPr>
        <w:t>VRS § 30-19.1:7 impact statement at the appropriate stage</w:t>
      </w:r>
      <w:r>
        <w:rPr>
          <w:b w:val="0"/>
          <w:i w:val="0"/>
          <w:strike w:val="0"/>
        </w:rPr>
        <w:t xml:space="preserve"> — our model is no substitute.</w:t>
      </w:r>
    </w:p>
    <w:p>
      <w:r>
        <w:rPr>
          <w:b w:val="0"/>
          <w:i/>
          <w:strike w:val="0"/>
        </w:rPr>
        <w:t>Prepared by Policy Development Team using legal, policy, and financial analysis tools, pending review by veterans' legal counsel. Code of Virginia verified October 20, 2026.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30" w:lineRule="exact" w:before="0"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340" w:lineRule="exact"/>
      <w:outlineLvl w:val="0"/>
    </w:pPr>
    <w:rPr>
      <w:rFonts w:asciiTheme="majorHAnsi" w:eastAsiaTheme="majorEastAsia" w:hAnsiTheme="majorHAnsi" w:cstheme="majorBidi" w:ascii="Calibri" w:hAnsi="Calibr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70" w:lineRule="exact"/>
      <w:outlineLvl w:val="1"/>
    </w:pPr>
    <w:rPr>
      <w:rFonts w:asciiTheme="majorHAnsi" w:eastAsiaTheme="majorEastAsia" w:hAnsiTheme="majorHAnsi" w:cstheme="majorBidi" w:ascii="Calibri" w:hAnsi="Calibri"/>
      <w:b/>
      <w:bCs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exact"/>
      <w:outlineLvl w:val="2"/>
    </w:pPr>
    <w:rPr>
      <w:rFonts w:asciiTheme="majorHAnsi" w:eastAsiaTheme="majorEastAsia" w:hAnsiTheme="majorHAnsi" w:cstheme="majorBidi" w:ascii="Calibri" w:hAnsi="Calibri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 w:line="230" w:lineRule="exact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1F1F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30" w:lineRule="exact" w:after="4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30" w:lineRule="exact" w:after="40"/>
      <w:contextualSpacing/>
    </w:pPr>
    <w:rPr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30" w:lineRule="exact" w:after="40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30" w:lineRule="exact" w:after="40"/>
      <w:contextualSpacing/>
    </w:pPr>
    <w:rPr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Development Team</dc:creator>
  <cp:keywords/>
  <dc:description>generated by python-docx</dc:description>
  <cp:lastModifiedBy>Policy Development Team</cp:lastModifiedBy>
  <cp:revision>1</cp:revision>
  <dcterms:created xsi:type="dcterms:W3CDTF">2013-12-23T23:15:00Z</dcterms:created>
  <dcterms:modified xsi:type="dcterms:W3CDTF">2013-12-23T23:15:00Z</dcterms:modified>
  <cp:category/>
</cp:coreProperties>
</file>