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Package version 1.3 — External-Review Cleanup, October 20, 2026</w:t>
      </w:r>
      <w:r>
        <w:rPr>
          <w:b w:val="0"/>
          <w:i w:val="0"/>
          <w:strike w:val="0"/>
        </w:rPr>
        <w:t xml:space="preserve"> · operative bill text unchanged at </w:t>
      </w:r>
      <w:r>
        <w:rPr>
          <w:b/>
          <w:i w:val="0"/>
          <w:strike w:val="0"/>
        </w:rPr>
        <w:t>version 1.2</w:t>
      </w:r>
    </w:p>
    <w:p>
      <w:r>
        <w:rPr>
          <w:b/>
          <w:i w:val="0"/>
          <w:strike w:val="0"/>
        </w:rPr>
        <w:t>Prepared by Policy Development Team using legal, policy, and financial analysis tools, pending review by veterans' legal counsel.</w:t>
      </w:r>
    </w:p>
    <w:p>
      <w:pPr>
        <w:spacing w:after="80"/>
        <w:ind w:left="480"/>
      </w:pPr>
      <w:r>
        <w:rPr>
          <w:b/>
          <w:i w:val="0"/>
          <w:strike w:val="0"/>
          <w:sz w:val="20"/>
        </w:rPr>
        <w:t>Read this first.</w:t>
      </w:r>
      <w:r>
        <w:rPr>
          <w:b w:val="0"/>
          <w:i w:val="0"/>
          <w:strike w:val="0"/>
          <w:sz w:val="20"/>
        </w:rPr>
        <w:t xml:space="preserve"> </w:t>
      </w:r>
      <w:r>
        <w:rPr>
          <w:b/>
          <w:i w:val="0"/>
          <w:strike w:val="0"/>
          <w:sz w:val="20"/>
        </w:rPr>
        <w:t>All principal policy questions are settled.</w:t>
      </w:r>
      <w:r>
        <w:rPr>
          <w:b w:val="0"/>
          <w:i w:val="0"/>
          <w:strike w:val="0"/>
          <w:sz w:val="20"/>
        </w:rPr>
        <w:t xml:space="preserve"> Four decisions were resolved on October 19, 2026 and the three blockers from internal adversarial review were resolved on October 20; version 1.2 drafts all seven. The October 20 decisions were: </w:t>
      </w:r>
      <w:r>
        <w:rPr>
          <w:b/>
          <w:i w:val="0"/>
          <w:strike w:val="0"/>
          <w:sz w:val="20"/>
        </w:rPr>
        <w:t>require member-in-service status at retirement</w:t>
      </w:r>
      <w:r>
        <w:rPr>
          <w:b w:val="0"/>
          <w:i w:val="0"/>
          <w:strike w:val="0"/>
          <w:sz w:val="20"/>
        </w:rPr>
        <w:t xml:space="preserve"> (closing a buy-resign-defer path worth roughly 15 years of acceleration rather than four); </w:t>
      </w:r>
      <w:r>
        <w:rPr>
          <w:b/>
          <w:i w:val="0"/>
          <w:strike w:val="0"/>
          <w:sz w:val="20"/>
        </w:rPr>
        <w:t>accept, price and disclose</w:t>
      </w:r>
      <w:r>
        <w:rPr>
          <w:b w:val="0"/>
          <w:i w:val="0"/>
          <w:strike w:val="0"/>
          <w:sz w:val="20"/>
        </w:rPr>
        <w:t xml:space="preserve"> the earlier commencement of the health insurance credit and COLA — both follow the retirement date, so preventing earlier commencement would require separate statutory changes outside the bridge; and </w:t>
      </w:r>
      <w:r>
        <w:rPr>
          <w:b/>
          <w:i w:val="0"/>
          <w:strike w:val="0"/>
          <w:sz w:val="20"/>
        </w:rPr>
        <w:t>exclude qualifying § 51.1-153 B 4 public-safety employees who first entered the VRS-administered retirement system on or after the January 1, 2014 Hybrid transition</w:t>
      </w:r>
      <w:r>
        <w:rPr>
          <w:b w:val="0"/>
          <w:i w:val="0"/>
          <w:strike w:val="0"/>
          <w:sz w:val="20"/>
        </w:rPr>
        <w:t xml:space="preserve"> — narrower than the policy-development team recommended, and better targeted, since it removes the one population that was permanent and growing. Two claims in the version 1.0 briefs were wrong and were corrected in version 1.1: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w:t>
      </w:r>
    </w:p>
    <w:p>
      <w:pPr>
        <w:spacing w:after="80"/>
        <w:ind w:left="480"/>
      </w:pPr>
      <w:r>
        <w:rPr>
          <w:b/>
          <w:i w:val="0"/>
          <w:strike w:val="0"/>
          <w:sz w:val="20"/>
        </w:rPr>
        <w:t>One narrow policy question remains unresolved:</w:t>
      </w:r>
      <w:r>
        <w:rPr>
          <w:b w:val="0"/>
          <w:i w:val="0"/>
          <w:strike w:val="0"/>
          <w:sz w:val="20"/>
        </w:rPr>
        <w:t xml:space="preserve"> how the in-service-at-retirement requirement in subdivision E 3 applies to a member on approved leave or receiving long-term disability benefits at the effective date of retirement. It must be resolved or expressly deferred before external or patron use. See drafting note 10 of the bill.</w:t>
      </w:r>
    </w:p>
    <w:p>
      <w:pPr>
        <w:spacing w:after="80"/>
        <w:ind w:left="480"/>
      </w:pPr>
      <w:r>
        <w:rPr>
          <w:b/>
          <w:i w:val="0"/>
          <w:strike w:val="0"/>
          <w:sz w:val="20"/>
        </w:rPr>
        <w:t>The bill is not cost neutral</w:t>
      </w:r>
      <w:r>
        <w:rPr>
          <w:b w:val="0"/>
          <w:i w:val="0"/>
          <w:strike w:val="0"/>
          <w:sz w:val="20"/>
        </w:rPr>
        <w:t xml:space="preserve">, and the package says so deliberately. </w:t>
      </w:r>
      <w:r>
        <w:rPr>
          <w:b/>
          <w:i w:val="0"/>
          <w:strike w:val="0"/>
          <w:sz w:val="20"/>
        </w:rPr>
        <w:t>$341,065</w:t>
      </w:r>
      <w:r>
        <w:rPr>
          <w:b w:val="0"/>
          <w:i w:val="0"/>
          <w:strike w:val="0"/>
          <w:sz w:val="20"/>
        </w:rPr>
        <w:t xml:space="preserve"> is the </w:t>
      </w:r>
      <w:r>
        <w:rPr>
          <w:b/>
          <w:i w:val="0"/>
          <w:strike w:val="0"/>
          <w:sz w:val="20"/>
        </w:rPr>
        <w:t>maximum modeled net value above the member purchase price under the frozen-service/subsidy scenario</w:t>
      </w:r>
      <w:r>
        <w:rPr>
          <w:b w:val="0"/>
          <w:i w:val="0"/>
          <w:strike w:val="0"/>
          <w:sz w:val="20"/>
        </w:rPr>
        <w:t xml:space="preserve"> — the single most favorable modeled profile, </w:t>
      </w:r>
      <w:r>
        <w:rPr>
          <w:b/>
          <w:i w:val="0"/>
          <w:strike w:val="0"/>
          <w:sz w:val="20"/>
        </w:rPr>
        <w:t>not</w:t>
      </w:r>
      <w:r>
        <w:rPr>
          <w:b w:val="0"/>
          <w:i w:val="0"/>
          <w:strike w:val="0"/>
          <w:sz w:val="20"/>
        </w:rPr>
        <w:t xml:space="preserve"> a cost per veteran; a member who would otherwise have worked on to unreduced eligibility </w:t>
      </w:r>
      <w:r>
        <w:rPr>
          <w:b/>
          <w:i w:val="0"/>
          <w:strike w:val="0"/>
          <w:sz w:val="20"/>
        </w:rPr>
        <w:t>overpays</w:t>
      </w:r>
      <w:r>
        <w:rPr>
          <w:b w:val="0"/>
          <w:i w:val="0"/>
          <w:strike w:val="0"/>
          <w:sz w:val="20"/>
        </w:rPr>
        <w:t xml:space="preserve"> in every modeled work-to-eligibility scenario. The combined employer contribution rate impact is </w:t>
      </w:r>
      <w:r>
        <w:rPr>
          <w:b/>
          <w:i w:val="0"/>
          <w:strike w:val="0"/>
          <w:sz w:val="20"/>
        </w:rPr>
        <w:t>0.19 basis points</w:t>
      </w:r>
      <w:r>
        <w:rPr>
          <w:b w:val="0"/>
          <w:i w:val="0"/>
          <w:strike w:val="0"/>
          <w:sz w:val="20"/>
        </w:rPr>
        <w:t xml:space="preserve">, which is the </w:t>
      </w:r>
      <w:r>
        <w:rPr>
          <w:b/>
          <w:i w:val="0"/>
          <w:strike w:val="0"/>
          <w:sz w:val="20"/>
        </w:rPr>
        <w:t>modeled retirement-plan employer contribution impact and excludes the separately funded health insurance credit and COLA effects, including unquantified COLA exposure</w:t>
      </w:r>
      <w:r>
        <w:rPr>
          <w:b w:val="0"/>
          <w:i w:val="0"/>
          <w:strike w:val="0"/>
          <w:sz w:val="20"/>
        </w:rPr>
        <w:t xml:space="preserve">. </w:t>
      </w:r>
      <w:r>
        <w:rPr>
          <w:b/>
          <w:i w:val="0"/>
          <w:strike w:val="0"/>
          <w:sz w:val="20"/>
        </w:rPr>
        <w:t>What still stands between this and a patron is not JLCVSO's to decide</w:t>
      </w:r>
      <w:r>
        <w:rPr>
          <w:b w:val="0"/>
          <w:i w:val="0"/>
          <w:strike w:val="0"/>
          <w:sz w:val="20"/>
        </w:rPr>
        <w:t xml:space="preserve"> — the VRS Board statement under § 30-19.1:7 has not been requested, the federal tax questions have not gone to counsel, and the cost model should be re-run against version 1.2 (both October 20 decisions move it downward).</w:t>
      </w:r>
    </w:p>
    <w:p>
      <w:r>
        <w:rPr>
          <w:b/>
          <w:i w:val="0"/>
          <w:strike w:val="0"/>
        </w:rPr>
        <w:t>Target:</w:t>
      </w:r>
      <w:r>
        <w:rPr>
          <w:b w:val="0"/>
          <w:i w:val="0"/>
          <w:strike w:val="0"/>
        </w:rPr>
        <w:t xml:space="preserve"> 2027 Virginia General Assembly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new § 51.1-142.4 plus conforming amendments to </w:t>
            </w:r>
            <w:r>
              <w:rPr>
                <w:b/>
                <w:i w:val="0"/>
                <w:strike w:val="0"/>
              </w:rPr>
              <w:t>§ 2.2-3204</w:t>
            </w:r>
            <w:r>
              <w:rPr>
                <w:b w:val="0"/>
                <w:i w:val="0"/>
                <w:strike w:val="0"/>
              </w:rPr>
              <w:t xml:space="preserve"> and §§ 51.1-124.3, 51.1-142.2, 51.1-153, 51.1-155, 51.1-162, 51.1-165.01, 51.1-166</w:t>
            </w:r>
          </w:p>
        </w:tc>
        <w:tc>
          <w:tcPr>
            <w:tcW w:type="dxa" w:w="2160"/>
          </w:tcPr>
          <w:p>
            <w:r>
              <w:rPr>
                <w:b w:val="0"/>
                <w:i w:val="0"/>
                <w:strike w:val="0"/>
              </w:rPr>
              <w:t>Patron, Division of Legislative Services</w:t>
            </w:r>
          </w:p>
        </w:tc>
        <w:tc>
          <w:tcPr>
            <w:tcW w:type="dxa" w:w="2160"/>
          </w:tcPr>
          <w:p>
            <w:r>
              <w:rPr>
                <w:b/>
                <w:i w:val="0"/>
                <w:strike w:val="0"/>
              </w:rPr>
              <w:t>Version 1.2 — all policy decisions drafted; pre-introduction items in the memo remain</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all seven recorded decisions including the three resolved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Internal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i w:val="0"/>
                <w:strike w:val="0"/>
              </w:rPr>
              <w:t>Complete for version 1.1; version 1.2 refresh required before external use</w:t>
            </w:r>
            <w:r>
              <w:rPr>
                <w:b w:val="0"/>
                <w:i w:val="0"/>
                <w:strike w:val="0"/>
              </w:rPr>
              <w:t xml:space="preserve"> (MOO-259) — illustrative, </w:t>
            </w:r>
            <w:r>
              <w:rPr>
                <w:b/>
                <w:i w:val="0"/>
                <w:strike w:val="0"/>
              </w:rPr>
              <w:t>not</w:t>
            </w:r>
            <w:r>
              <w:rPr>
                <w:b w:val="0"/>
                <w:i w:val="0"/>
                <w:strike w:val="0"/>
              </w:rPr>
              <w:t xml:space="preserve"> the Board's § 30-19.1:7 statement</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It does </w:t>
      </w:r>
      <w:r>
        <w:rPr>
          <w:b/>
          <w:i w:val="0"/>
          <w:strike w:val="0"/>
        </w:rPr>
        <w:t>not</w:t>
      </w:r>
      <w:r>
        <w:rPr>
          <w:b w:val="0"/>
          <w:i w:val="0"/>
          <w:strike w:val="0"/>
        </w:rPr>
        <w:t xml:space="preserve"> increase benefit-calculation service, the pension formula, or any benefit calculated by reference to service credit. </w:t>
      </w:r>
      <w:r>
        <w:rPr>
          <w:b/>
          <w:i w:val="0"/>
          <w:strike w:val="0"/>
        </w:rPr>
        <w:t>The ordinary consequences of an earlier retirement date remain applicable</w:t>
      </w:r>
      <w:r>
        <w:rPr>
          <w:b w:val="0"/>
          <w:i w:val="0"/>
          <w:strike w:val="0"/>
        </w:rPr>
        <w:t xml:space="preserve"> — see "What the three moves do not reach" below.</w:t>
      </w:r>
    </w:p>
    <w:p>
      <w:pPr>
        <w:pStyle w:val="Heading2"/>
      </w:pPr>
      <w:r>
        <w:rPr>
          <w:b w:val="0"/>
          <w:i w:val="0"/>
          <w:strike w:val="0"/>
        </w:rPr>
        <w:t>The three moves that make it work</w:t>
      </w:r>
    </w:p>
    <w:p>
      <w:pPr>
        <w:pStyle w:val="ListNumber"/>
      </w:pPr>
      <w:r>
        <w:rPr>
          <w:b/>
          <w:i w:val="0"/>
          <w:strike w:val="0"/>
        </w:rPr>
        <w:t>New § 51.1-142.4</w:t>
      </w:r>
      <w:r>
        <w:rPr>
          <w:b w:val="0"/>
          <w:i w:val="0"/>
          <w:strike w:val="0"/>
        </w:rPr>
        <w:t>, not an amendment inside § 51.1-142.2 — because "creditable service" is defined as "prior service as set forth in § 51.1-142.2 plus membership service," so anything added there becomes creditable service automatically.</w:t>
      </w:r>
    </w:p>
    <w:p>
      <w:pPr>
        <w:pStyle w:val="ListNumber"/>
      </w:pPr>
      <w:r>
        <w:rPr>
          <w:b/>
          <w:i w:val="0"/>
          <w:strike w:val="0"/>
        </w:rPr>
        <w:t>Express carve-out from the "creditable service" definition</w:t>
      </w:r>
      <w:r>
        <w:rPr>
          <w:b w:val="0"/>
          <w:i w:val="0"/>
          <w:strike w:val="0"/>
        </w:rPr>
        <w:t xml:space="preserve"> in § 51.1-124.3, which protects the benefit formula, AFC, the health insurance credit's </w:t>
      </w:r>
      <w:r>
        <w:rPr>
          <w:b/>
          <w:i w:val="0"/>
          <w:strike w:val="0"/>
        </w:rPr>
        <w:t>threshold and amount</w:t>
      </w:r>
      <w:r>
        <w:rPr>
          <w:b w:val="0"/>
          <w:i w:val="0"/>
          <w:strike w:val="0"/>
        </w:rPr>
        <w:t xml:space="preserve"> (not its commencement date — see below), group life thresholds, disability allowances, and the five-year vesting analogue in one stroke.</w:t>
      </w:r>
    </w:p>
    <w:p>
      <w:pPr>
        <w:pStyle w:val="ListNumber"/>
      </w:pPr>
      <w:r>
        <w:rPr>
          <w:b/>
          <w:i w:val="0"/>
          <w:strike w:val="0"/>
        </w:rPr>
        <w:t>Six conforming amendments across five sections</w:t>
      </w:r>
      <w:r>
        <w:rPr>
          <w:b w:val="0"/>
          <w:i w:val="0"/>
          <w:strike w:val="0"/>
        </w:rPr>
        <w:t xml:space="preserve"> — to §§ 51.1-162, 51.1-165.01 and 51.1-166, which key off the </w:t>
      </w:r>
      <w:r>
        <w:rPr>
          <w:b w:val="0"/>
          <w:i/>
          <w:strike w:val="0"/>
        </w:rPr>
        <w:t>date of unreduced-retirement eligibility</w:t>
      </w:r>
      <w:r>
        <w:rPr>
          <w:b w:val="0"/>
          <w:i w:val="0"/>
          <w:strike w:val="0"/>
        </w:rPr>
        <w:t xml:space="preserve"> rather than off creditable service; to </w:t>
      </w:r>
      <w:r>
        <w:rPr>
          <w:b/>
          <w:i w:val="0"/>
          <w:strike w:val="0"/>
        </w:rPr>
        <w:t>§ 2.2-3204 in Title 2.2</w:t>
      </w:r>
      <w:r>
        <w:rPr>
          <w:b w:val="0"/>
          <w:i w:val="0"/>
          <w:strike w:val="0"/>
        </w:rPr>
        <w:t xml:space="preserve"> (version 1.1),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and to </w:t>
      </w:r>
      <w:r>
        <w:rPr>
          <w:b/>
          <w:i w:val="0"/>
          <w:strike w:val="0"/>
        </w:rPr>
        <w:t>§ 51.1-153 C</w:t>
      </w:r>
      <w:r>
        <w:rPr>
          <w:b w:val="0"/>
          <w:i w:val="0"/>
          <w:strike w:val="0"/>
        </w:rPr>
        <w:t xml:space="preserve"> (version 1.2), the deferred-retirement subsection, which expressly waives in-service requirements and would otherwise have swallowed the new in-service-at-retirement condition. Without these, the credit leaks into PLOP, the death-in-service benefit, deferred retirement,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Both therefore start up to four years earlier. </w:t>
      </w:r>
      <w:r>
        <w:rPr>
          <w:b/>
          <w:i w:val="0"/>
          <w:strike w:val="0"/>
        </w:rPr>
        <w:t>Per DECISION 9 the proposal deliberately accepts and discloses that earlier commencement rather than adding separate delay provisions</w:t>
      </w:r>
      <w:r>
        <w:rPr>
          <w:b w:val="0"/>
          <w:i w:val="0"/>
          <w:strike w:val="0"/>
        </w:rPr>
        <w:t>, and the savings paragraph at the end of § 51.1-142.4 F says so affirmatively so no one misreads subdivision F 8 as delaying commencement.</w:t>
      </w:r>
    </w:p>
    <w:p>
      <w:pPr>
        <w:pStyle w:val="Heading2"/>
      </w:pPr>
      <w:r>
        <w:rPr>
          <w:b w:val="0"/>
          <w:i w:val="0"/>
          <w:strike w:val="0"/>
        </w:rPr>
        <w:t>Policy decisions — all principal policy questions settled</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Settled October 20, 2026 — the three blockers from internal adversarial review:</w:t>
      </w:r>
    </w:p>
    <w:p>
      <w:pPr>
        <w:pStyle w:val="ListBullet"/>
      </w:pPr>
      <w:r>
        <w:rPr>
          <w:b/>
          <w:i w:val="0"/>
          <w:strike w:val="0"/>
        </w:rPr>
        <w:t>DECISION 8 — deferred-member acceleration.</w:t>
      </w:r>
      <w:r>
        <w:rPr>
          <w:b w:val="0"/>
          <w:i w:val="0"/>
          <w:strike w:val="0"/>
        </w:rPr>
        <w:t xml:space="preserve"> </w:t>
      </w:r>
      <w:r>
        <w:rPr>
          <w:b w:val="0"/>
          <w:i/>
          <w:strike w:val="0"/>
        </w:rPr>
        <w:t>Require member-in-service status at retirement, not only at purchase.</w:t>
      </w:r>
      <w:r>
        <w:rPr>
          <w:b w:val="0"/>
          <w:i w:val="0"/>
          <w:strike w:val="0"/>
        </w:rPr>
        <w:t xml:space="preserve"> Implemented in new § 51.1-142.4 E 3 </w:t>
      </w:r>
      <w:r>
        <w:rPr>
          <w:b/>
          <w:i w:val="0"/>
          <w:strike w:val="0"/>
        </w:rPr>
        <w:t>and</w:t>
      </w:r>
      <w:r>
        <w:rPr>
          <w:b w:val="0"/>
          <w:i w:val="0"/>
          <w:strike w:val="0"/>
        </w:rPr>
        <w:t xml:space="preserve"> in an amendment to § 51.1-153 C — both were necessary, because that subsection's general waiver of in-service requirements would otherwise have consumed the new condition. A member who leaves before retiring is refunded with interest (K 1 c, K 1 d) and must be told so in writing before purchase (I 2(vii)).</w:t>
      </w:r>
    </w:p>
    <w:p>
      <w:pPr>
        <w:pStyle w:val="ListBullet"/>
      </w:pPr>
      <w:r>
        <w:rPr>
          <w:b/>
          <w:i w:val="0"/>
          <w:strike w:val="0"/>
        </w:rPr>
        <w:t>DECISION 9 — health insurance credit and COLA commencement.</w:t>
      </w:r>
      <w:r>
        <w:rPr>
          <w:b w:val="0"/>
          <w:i w:val="0"/>
          <w:strike w:val="0"/>
        </w:rPr>
        <w:t xml:space="preserve"> </w:t>
      </w:r>
      <w:r>
        <w:rPr>
          <w:b w:val="0"/>
          <w:i/>
          <w:strike w:val="0"/>
        </w:rPr>
        <w:t>Accept and price both; disclose them in the briefs and to the money committees.</w:t>
      </w:r>
      <w:r>
        <w:rPr>
          <w:b w:val="0"/>
          <w:i w:val="0"/>
          <w:strike w:val="0"/>
        </w:rPr>
        <w:t xml:space="preserve"> </w:t>
      </w:r>
      <w:r>
        <w:rPr>
          <w:b/>
          <w:i w:val="0"/>
          <w:strike w:val="0"/>
        </w:rPr>
        <w:t>HIC and COLA follow the retirement date, so preventing earlier commencement would require separate statutory changes outside the bridge.</w:t>
      </w:r>
      <w:r>
        <w:rPr>
          <w:b w:val="0"/>
          <w:i w:val="0"/>
          <w:strike w:val="0"/>
        </w:rPr>
        <w:t xml:space="preserve"> No exclusion is attempted: the proposal deliberately accepts and discloses the earlier commencement rather than adding separate delay provisions. Clause 3(vi) of the enactment requires the Board to report both by trust. The COLA exposure is the one figure the cost model does not quantify.</w:t>
      </w:r>
    </w:p>
    <w:p>
      <w:pPr>
        <w:pStyle w:val="ListBullet"/>
      </w:pPr>
      <w:r>
        <w:rPr>
          <w:b/>
          <w:i w:val="0"/>
          <w:strike w:val="0"/>
        </w:rPr>
        <w:t>DECISION 10 — § 51.1-153 B 4 public-safety scope.</w:t>
      </w:r>
      <w:r>
        <w:rPr>
          <w:b w:val="0"/>
          <w:i w:val="0"/>
          <w:strike w:val="0"/>
        </w:rPr>
        <w:t xml:space="preserve"> </w:t>
      </w:r>
      <w:r>
        <w:rPr>
          <w:b w:val="0"/>
          <w:i/>
          <w:strike w:val="0"/>
        </w:rPr>
        <w:t>Exclude only those qualifying B 4 employees who first entered the VRS-administered retirement system on or after the January 1, 2014 Hybrid transition.</w:t>
      </w:r>
      <w:r>
        <w:rPr>
          <w:b w:val="0"/>
          <w:i w:val="0"/>
          <w:strike w:val="0"/>
        </w:rPr>
        <w:t xml:space="preserve"> Clause B 1(iv) tracks the § 51.1-169 A membership test, so a member already in a VRS-administered plan before that date remains potentially eligible even if rehired later. Implemented in new clause B 1(iv) and subsection J, with new subdivision C 1 c resolving which deficit formula applies to the still-eligible pre-2014 class. Narrower than the policy-development team recommended and adopted without reservation: the defect was that the class was permanent and growing, and this removes exactly that while keeping the bridge for pre-2014 public-safety veterans. </w:t>
      </w:r>
      <w:r>
        <w:rPr>
          <w:b/>
          <w:i w:val="0"/>
          <w:strike w:val="0"/>
        </w:rPr>
        <w:t>The beneficiary class is now closed and shrinking across the entire bill.</w:t>
      </w:r>
      <w:r>
        <w:rPr>
          <w:b w:val="0"/>
          <w:i w:val="0"/>
          <w:strike w:val="0"/>
        </w:rPr>
        <w:t xml:space="preserve"> The resolved wording was conformed to the statute without changing its substance; its verbatim text is recorded in Part 6.1 of the memorandum.</w:t>
      </w:r>
    </w:p>
    <w:p>
      <w:r>
        <w:rPr>
          <w:b/>
          <w:i w:val="0"/>
          <w:strike w:val="0"/>
        </w:rPr>
        <w:t>Remaining open items are not JLCVSO policy questions:</w:t>
      </w:r>
      <w:r>
        <w:rPr>
          <w:b w:val="0"/>
          <w:i w:val="0"/>
          <w:strike w:val="0"/>
        </w:rPr>
        <w:t xml:space="preserve"> the VRS Board's § 30-19.1:7 statement, the federal tax questions in Part 5.2 of the memorandum, a re-run of the cost model against version 1.2, and the two verification items in Part 7.5. Drafting note 10 also flags one sub-question the Council has not been asked — whether a member on approved leave or long-term disability at retirement should count as in service for DECISION 8 purposes.</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 the model being </w:t>
      </w:r>
      <w:r>
        <w:rPr>
          <w:b/>
          <w:i w:val="0"/>
          <w:strike w:val="0"/>
        </w:rPr>
        <w:t>complete for version 1.1, with a version 1.2 refresh required before external use</w:t>
      </w:r>
      <w:r>
        <w:rPr>
          <w:b w:val="0"/>
          <w:i w:val="0"/>
          <w:strike w:val="0"/>
        </w:rPr>
        <w:t>.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In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w:t>
      </w:r>
      <w:r>
        <w:rPr>
          <w:b/>
          <w:i w:val="0"/>
          <w:strike w:val="0"/>
        </w:rPr>
        <w:t>$341,065</w:t>
      </w:r>
      <w:r>
        <w:rPr>
          <w:b w:val="0"/>
          <w:i w:val="0"/>
          <w:strike w:val="0"/>
        </w:rPr>
        <w:t xml:space="preserve"> is the </w:t>
      </w:r>
      <w:r>
        <w:rPr>
          <w:b/>
          <w:i w:val="0"/>
          <w:strike w:val="0"/>
        </w:rPr>
        <w:t>maximum modeled net value above the member purchase price under the frozen-service/subsidy scenario</w:t>
      </w:r>
      <w:r>
        <w:rPr>
          <w:b w:val="0"/>
          <w:i w:val="0"/>
          <w:strike w:val="0"/>
        </w:rPr>
        <w:t xml:space="preserve">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scenario.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 xml:space="preserve">. Every public use of the 0.19 bp figure must state that it is the </w:t>
      </w:r>
      <w:r>
        <w:rPr>
          <w:b/>
          <w:i w:val="0"/>
          <w:strike w:val="0"/>
        </w:rPr>
        <w:t>modeled retirement-plan employer contribution impact and excludes the separately funded health insurance credit and COLA effects, including unquantified COLA exposure.</w:t>
      </w:r>
    </w:p>
    <w:p>
      <w:r>
        <w:rPr>
          <w:b w:val="0"/>
          <w:i w:val="0"/>
          <w:strike w:val="0"/>
        </w:rPr>
        <w:t xml:space="preserve">The </w:t>
      </w:r>
      <w:r>
        <w:rPr>
          <w:b/>
          <w:i w:val="0"/>
          <w:strike w:val="0"/>
        </w:rPr>
        <w:t>12.50% Plan 1 / 10.74% Plan 2</w:t>
      </w:r>
      <w:r>
        <w:rPr>
          <w:b w:val="0"/>
          <w:i w:val="0"/>
          <w:strike w:val="0"/>
        </w:rPr>
        <w:t xml:space="preserve"> approximate normal cost rates are the rates for </w:t>
      </w:r>
      <w:r>
        <w:rPr>
          <w:b/>
          <w:i w:val="0"/>
          <w:strike w:val="0"/>
        </w:rPr>
        <w:t>ordinary non-hazardous members</w:t>
      </w:r>
      <w:r>
        <w:rPr>
          <w:b w:val="0"/>
          <w:i w:val="0"/>
          <w:strike w:val="0"/>
        </w:rPr>
        <w:t xml:space="preserve">. The applicable approximate-normal-cost rate for eligible pre-2014 § 51.1-153 B 4 public-safety members </w:t>
      </w:r>
      <w:r>
        <w:rPr>
          <w:b/>
          <w:i w:val="0"/>
          <w:strike w:val="0"/>
        </w:rPr>
        <w:t>requires VRS confirmation</w:t>
      </w:r>
      <w:r>
        <w:rPr>
          <w:b w:val="0"/>
          <w:i w:val="0"/>
          <w:strike w:val="0"/>
        </w:rPr>
        <w:t>.</w:t>
      </w:r>
    </w:p>
    <w:p>
      <w:r>
        <w:rPr>
          <w:b w:val="0"/>
          <w:i w:val="0"/>
          <w:strike w:val="0"/>
        </w:rPr>
        <w:t xml:space="preserve">Three things that follow. The § 51.1-124.3 carve-out is worth a </w:t>
      </w:r>
      <w:r>
        <w:rPr>
          <w:b/>
          <w:i w:val="0"/>
          <w:strike w:val="0"/>
        </w:rPr>
        <w:t>5.7×</w:t>
      </w:r>
      <w:r>
        <w:rPr>
          <w:b w:val="0"/>
          <w:i w:val="0"/>
          <w:strike w:val="0"/>
        </w:rPr>
        <w:t xml:space="preserve"> difference in the liability increase and is the single most important provision in the bill.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was built against </w:t>
      </w:r>
      <w:r>
        <w:rPr>
          <w:b/>
          <w:i w:val="0"/>
          <w:strike w:val="0"/>
        </w:rPr>
        <w:t>version 1.1</w:t>
      </w:r>
      <w:r>
        <w:rPr>
          <w:b w:val="0"/>
          <w:i w:val="0"/>
          <w:strike w:val="0"/>
        </w:rPr>
        <w:t xml:space="preserve">, so it should be re-run: it does not price the DECISION 8 deferred path, which version 1.2 has now </w:t>
      </w:r>
      <w:r>
        <w:rPr>
          <w:b/>
          <w:i w:val="0"/>
          <w:strike w:val="0"/>
        </w:rPr>
        <w:t>closed</w:t>
      </w:r>
      <w:r>
        <w:rPr>
          <w:b w:val="0"/>
          <w:i w:val="0"/>
          <w:strike w:val="0"/>
        </w:rPr>
        <w:t xml:space="preserve">, and its population includes the B 4 public-safety employees who first entered the VRS-administered retirement system on or after the January 1, 2014 Hybrid transition, whom clause B 1(iv) now </w:t>
      </w:r>
      <w:r>
        <w:rPr>
          <w:b/>
          <w:i w:val="0"/>
          <w:strike w:val="0"/>
        </w:rPr>
        <w:t>excludes</w:t>
      </w:r>
      <w:r>
        <w:rPr>
          <w:b w:val="0"/>
          <w:i w:val="0"/>
          <w:strike w:val="0"/>
        </w:rPr>
        <w:t>. Both corrections run downward, so no figure above is an understatement on their account.</w:t>
      </w:r>
    </w:p>
    <w:p>
      <w:pPr>
        <w:pStyle w:val="Heading2"/>
      </w:pPr>
      <w:r>
        <w:rPr>
          <w:b w:val="0"/>
          <w:i w:val="0"/>
          <w:strike w:val="0"/>
        </w:rPr>
        <w:t>Verification note</w:t>
      </w:r>
    </w:p>
    <w:p>
      <w:r>
        <w:rPr>
          <w:b w:val="0"/>
          <w:i w:val="0"/>
          <w:strike w:val="0"/>
        </w:rPr>
        <w:t>All statutory text was read in the official Code of Virginia at law.lis.virginia.gov on October 19–20, 2026, including the 2026 amendments to § 51.1-142.2 and, for version 1.2, the full text of § 51.1-153 C, § 51.1-153 B 4 and § 51.1-169 A.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p>
    <w:p>
      <w:pPr>
        <w:pStyle w:val="Heading2"/>
      </w:pPr>
      <w:r>
        <w:rPr>
          <w:b w:val="0"/>
          <w:i w:val="0"/>
          <w:strike w:val="0"/>
        </w:rPr>
        <w:t>Version 1.2 record (October 20, 2026)</w:t>
      </w:r>
    </w:p>
    <w:p>
      <w:r>
        <w:rPr>
          <w:b w:val="0"/>
          <w:i w:val="0"/>
          <w:strike w:val="0"/>
        </w:rPr>
        <w:t>The three blockers were resolved on October 20, 2026 and drafted. Changes to the operative text: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Change</w:t>
            </w:r>
          </w:p>
        </w:tc>
        <w:tc>
          <w:tcPr>
            <w:tcW w:type="dxa" w:w="2880"/>
          </w:tcPr>
          <w:p>
            <w:r>
              <w:rPr>
                <w:b/>
                <w:i w:val="0"/>
                <w:strike w:val="0"/>
              </w:rPr>
              <w:t>Where</w:t>
            </w:r>
          </w:p>
        </w:tc>
        <w:tc>
          <w:tcPr>
            <w:tcW w:type="dxa" w:w="2880"/>
          </w:tcPr>
          <w:p>
            <w:r>
              <w:rPr>
                <w:b/>
                <w:i w:val="0"/>
                <w:strike w:val="0"/>
              </w:rPr>
              <w:t>Why</w:t>
            </w:r>
          </w:p>
        </w:tc>
      </w:tr>
      <w:tr>
        <w:tc>
          <w:tcPr>
            <w:tcW w:type="dxa" w:w="2880"/>
          </w:tcPr>
          <w:p>
            <w:r>
              <w:rPr>
                <w:b w:val="0"/>
                <w:i w:val="0"/>
                <w:strike w:val="0"/>
              </w:rPr>
              <w:t xml:space="preserve">In-service status required </w:t>
            </w:r>
            <w:r>
              <w:rPr>
                <w:b/>
                <w:i w:val="0"/>
                <w:strike w:val="0"/>
              </w:rPr>
              <w:t>at retirement</w:t>
            </w:r>
            <w:r>
              <w:rPr>
                <w:b w:val="0"/>
                <w:i w:val="0"/>
                <w:strike w:val="0"/>
              </w:rPr>
              <w:t>, not only at purchase</w:t>
            </w:r>
          </w:p>
        </w:tc>
        <w:tc>
          <w:tcPr>
            <w:tcW w:type="dxa" w:w="2880"/>
          </w:tcPr>
          <w:p>
            <w:r>
              <w:rPr>
                <w:b w:val="0"/>
                <w:i w:val="0"/>
                <w:strike w:val="0"/>
              </w:rPr>
              <w:t xml:space="preserve">New § 51.1-142.4 </w:t>
            </w:r>
            <w:r>
              <w:rPr>
                <w:b/>
                <w:i w:val="0"/>
                <w:strike w:val="0"/>
              </w:rPr>
              <w:t>E 3</w:t>
            </w:r>
            <w:r>
              <w:rPr>
                <w:b w:val="0"/>
                <w:i w:val="0"/>
                <w:strike w:val="0"/>
              </w:rPr>
              <w:t xml:space="preserve">; new conforming amendment to </w:t>
            </w:r>
            <w:r>
              <w:rPr>
                <w:b/>
                <w:i w:val="0"/>
                <w:strike w:val="0"/>
              </w:rPr>
              <w:t>§ 51.1-153 C</w:t>
            </w:r>
          </w:p>
        </w:tc>
        <w:tc>
          <w:tcPr>
            <w:tcW w:type="dxa" w:w="2880"/>
          </w:tcPr>
          <w:p>
            <w:r>
              <w:rPr>
                <w:b w:val="0"/>
                <w:i w:val="0"/>
                <w:strike w:val="0"/>
              </w:rPr>
              <w:t>DECISION 8. Closes the buy-resign-defer path. The § 51.1-153 C amendment is load-bearing, not belt-and-braces: that subsection's second sentence waives in-service requirements outright</w:t>
            </w:r>
          </w:p>
        </w:tc>
      </w:tr>
      <w:tr>
        <w:tc>
          <w:tcPr>
            <w:tcW w:type="dxa" w:w="2880"/>
          </w:tcPr>
          <w:p>
            <w:r>
              <w:rPr>
                <w:b w:val="0"/>
                <w:i w:val="0"/>
                <w:strike w:val="0"/>
              </w:rPr>
              <w:t>Refund triggers on termination and on deferred-retirement application</w:t>
            </w:r>
          </w:p>
        </w:tc>
        <w:tc>
          <w:tcPr>
            <w:tcW w:type="dxa" w:w="2880"/>
          </w:tcPr>
          <w:p>
            <w:r>
              <w:rPr>
                <w:b/>
                <w:i w:val="0"/>
                <w:strike w:val="0"/>
              </w:rPr>
              <w:t>K 1 c</w:t>
            </w:r>
            <w:r>
              <w:rPr>
                <w:b w:val="0"/>
                <w:i w:val="0"/>
                <w:strike w:val="0"/>
              </w:rPr>
              <w:t xml:space="preserve">, </w:t>
            </w:r>
            <w:r>
              <w:rPr>
                <w:b/>
                <w:i w:val="0"/>
                <w:strike w:val="0"/>
              </w:rPr>
              <w:t>K 1 d</w:t>
            </w:r>
          </w:p>
        </w:tc>
        <w:tc>
          <w:tcPr>
            <w:tcW w:type="dxa" w:w="2880"/>
          </w:tcPr>
          <w:p>
            <w:r>
              <w:rPr>
                <w:b w:val="0"/>
                <w:i w:val="0"/>
                <w:strike w:val="0"/>
              </w:rPr>
              <w:t>A member who can no longer use the credit gets her money back with interest</w:t>
            </w:r>
          </w:p>
        </w:tc>
      </w:tr>
      <w:tr>
        <w:tc>
          <w:tcPr>
            <w:tcW w:type="dxa" w:w="2880"/>
          </w:tcPr>
          <w:p>
            <w:r>
              <w:rPr>
                <w:b w:val="0"/>
                <w:i w:val="0"/>
                <w:strike w:val="0"/>
              </w:rPr>
              <w:t>Pre-purchase disclosure of the in-service condition</w:t>
            </w:r>
          </w:p>
        </w:tc>
        <w:tc>
          <w:tcPr>
            <w:tcW w:type="dxa" w:w="2880"/>
          </w:tcPr>
          <w:p>
            <w:r>
              <w:rPr>
                <w:b/>
                <w:i w:val="0"/>
                <w:strike w:val="0"/>
              </w:rPr>
              <w:t>I 2(vii)</w:t>
            </w:r>
          </w:p>
        </w:tc>
        <w:tc>
          <w:tcPr>
            <w:tcW w:type="dxa" w:w="2880"/>
          </w:tcPr>
          <w:p>
            <w:r>
              <w:rPr>
                <w:b w:val="0"/>
                <w:i w:val="0"/>
                <w:strike w:val="0"/>
              </w:rPr>
              <w:t>A member must not pay for credit she will forfeit by leaving</w:t>
            </w:r>
          </w:p>
        </w:tc>
      </w:tr>
      <w:tr>
        <w:tc>
          <w:tcPr>
            <w:tcW w:type="dxa" w:w="2880"/>
          </w:tcPr>
          <w:p>
            <w:r>
              <w:rPr>
                <w:b w:val="0"/>
                <w:i w:val="0"/>
                <w:strike w:val="0"/>
              </w:rPr>
              <w:t>B 4-resolution public-safety employees who first entered the VRS-administered retirement system on or after the January 1, 2014 Hybrid transition excluded</w:t>
            </w:r>
          </w:p>
        </w:tc>
        <w:tc>
          <w:tcPr>
            <w:tcW w:type="dxa" w:w="2880"/>
          </w:tcPr>
          <w:p>
            <w:r>
              <w:rPr>
                <w:b w:val="0"/>
                <w:i w:val="0"/>
                <w:strike w:val="0"/>
              </w:rPr>
              <w:t xml:space="preserve">New clause </w:t>
            </w:r>
            <w:r>
              <w:rPr>
                <w:b/>
                <w:i w:val="0"/>
                <w:strike w:val="0"/>
              </w:rPr>
              <w:t>B 1(iv)</w:t>
            </w:r>
            <w:r>
              <w:rPr>
                <w:b w:val="0"/>
                <w:i w:val="0"/>
                <w:strike w:val="0"/>
              </w:rPr>
              <w:t xml:space="preserve">; </w:t>
            </w:r>
            <w:r>
              <w:rPr>
                <w:b/>
                <w:i w:val="0"/>
                <w:strike w:val="0"/>
              </w:rPr>
              <w:t>subsection J</w:t>
            </w:r>
          </w:p>
        </w:tc>
        <w:tc>
          <w:tcPr>
            <w:tcW w:type="dxa" w:w="2880"/>
          </w:tcPr>
          <w:p>
            <w:r>
              <w:rPr>
                <w:b w:val="0"/>
                <w:i w:val="0"/>
                <w:strike w:val="0"/>
              </w:rPr>
              <w:t>DECISION 10, in its narrower resolved form. A membership test, not a hire-date test, so a pre-2014 member rehired later remains potentially eligible</w:t>
            </w:r>
          </w:p>
        </w:tc>
      </w:tr>
      <w:tr>
        <w:tc>
          <w:tcPr>
            <w:tcW w:type="dxa" w:w="2880"/>
          </w:tcPr>
          <w:p>
            <w:r>
              <w:rPr>
                <w:b w:val="0"/>
                <w:i w:val="0"/>
                <w:strike w:val="0"/>
              </w:rPr>
              <w:t>B 4 members routed to the subdivision B 2 deficit formula</w:t>
            </w:r>
          </w:p>
        </w:tc>
        <w:tc>
          <w:tcPr>
            <w:tcW w:type="dxa" w:w="2880"/>
          </w:tcPr>
          <w:p>
            <w:r>
              <w:rPr>
                <w:b w:val="0"/>
                <w:i w:val="0"/>
                <w:strike w:val="0"/>
              </w:rPr>
              <w:t xml:space="preserve">New </w:t>
            </w:r>
            <w:r>
              <w:rPr>
                <w:b/>
                <w:i w:val="0"/>
                <w:strike w:val="0"/>
              </w:rPr>
              <w:t>C 1 c</w:t>
            </w:r>
          </w:p>
        </w:tc>
        <w:tc>
          <w:tcPr>
            <w:tcW w:type="dxa" w:w="2880"/>
          </w:tcPr>
          <w:p>
            <w:r>
              <w:rPr>
                <w:b w:val="0"/>
                <w:i w:val="0"/>
                <w:strike w:val="0"/>
              </w:rPr>
              <w:t>The B 4 deeming does not reach subdivision B 2, leaving the formula indeterminate for the still-eligible pre-2014 class</w:t>
            </w:r>
          </w:p>
        </w:tc>
      </w:tr>
      <w:tr>
        <w:tc>
          <w:tcPr>
            <w:tcW w:type="dxa" w:w="2880"/>
          </w:tcPr>
          <w:p>
            <w:r>
              <w:rPr>
                <w:b w:val="0"/>
                <w:i w:val="0"/>
                <w:strike w:val="0"/>
              </w:rPr>
              <w:t xml:space="preserve">Savings paragraph: the bill does </w:t>
            </w:r>
            <w:r>
              <w:rPr>
                <w:b/>
                <w:i w:val="0"/>
                <w:strike w:val="0"/>
              </w:rPr>
              <w:t>not</w:t>
            </w:r>
            <w:r>
              <w:rPr>
                <w:b w:val="0"/>
                <w:i w:val="0"/>
                <w:strike w:val="0"/>
              </w:rPr>
              <w:t xml:space="preserve"> delay health insurance credit or COLA commencement</w:t>
            </w:r>
          </w:p>
        </w:tc>
        <w:tc>
          <w:tcPr>
            <w:tcW w:type="dxa" w:w="2880"/>
          </w:tcPr>
          <w:p>
            <w:r>
              <w:rPr>
                <w:b w:val="0"/>
                <w:i w:val="0"/>
                <w:strike w:val="0"/>
              </w:rPr>
              <w:t xml:space="preserve">End of </w:t>
            </w:r>
            <w:r>
              <w:rPr>
                <w:b/>
                <w:i w:val="0"/>
                <w:strike w:val="0"/>
              </w:rPr>
              <w:t>subsection F</w:t>
            </w:r>
          </w:p>
        </w:tc>
        <w:tc>
          <w:tcPr>
            <w:tcW w:type="dxa" w:w="2880"/>
          </w:tcPr>
          <w:p>
            <w:r>
              <w:rPr>
                <w:b w:val="0"/>
                <w:i w:val="0"/>
                <w:strike w:val="0"/>
              </w:rPr>
              <w:t>DECISION 9. Makes the acceptance affirmative rather than an ambiguity in subdivision F 8</w:t>
            </w:r>
          </w:p>
        </w:tc>
      </w:tr>
      <w:tr>
        <w:tc>
          <w:tcPr>
            <w:tcW w:type="dxa" w:w="2880"/>
          </w:tcPr>
          <w:p>
            <w:r>
              <w:rPr>
                <w:b w:val="0"/>
                <w:i w:val="0"/>
                <w:strike w:val="0"/>
              </w:rPr>
              <w:t>Reporting item (vii) refocused from deferred-retirement cost to refund cost</w:t>
            </w:r>
          </w:p>
        </w:tc>
        <w:tc>
          <w:tcPr>
            <w:tcW w:type="dxa" w:w="2880"/>
          </w:tcPr>
          <w:p>
            <w:r>
              <w:rPr>
                <w:b w:val="0"/>
                <w:i w:val="0"/>
                <w:strike w:val="0"/>
              </w:rPr>
              <w:t xml:space="preserve">Enactment clause </w:t>
            </w:r>
            <w:r>
              <w:rPr>
                <w:b/>
                <w:i w:val="0"/>
                <w:strike w:val="0"/>
              </w:rPr>
              <w:t>3(vii)</w:t>
            </w:r>
          </w:p>
        </w:tc>
        <w:tc>
          <w:tcPr>
            <w:tcW w:type="dxa" w:w="2880"/>
          </w:tcPr>
          <w:p>
            <w:r>
              <w:rPr>
                <w:b w:val="0"/>
                <w:i w:val="0"/>
                <w:strike w:val="0"/>
              </w:rPr>
              <w:t>The deferred path it was written to measure is now closed</w:t>
            </w:r>
          </w:p>
        </w:tc>
      </w:tr>
    </w:tbl>
    <w:p/>
    <w:p>
      <w:r>
        <w:rPr>
          <w:b/>
          <w:i w:val="0"/>
          <w:strike w:val="0"/>
        </w:rPr>
        <w:t>Also recorded:</w:t>
      </w:r>
      <w:r>
        <w:rPr>
          <w:b w:val="0"/>
          <w:i w:val="0"/>
          <w:strike w:val="0"/>
        </w:rPr>
        <w:t xml:space="preserve"> "member in service," on which both in-service conditions turn, is used in Chapter 1 (§§ 51.1-142.2 B 2, 51.1-153 A, 51.1-153 C) but is </w:t>
      </w:r>
      <w:r>
        <w:rPr>
          <w:b/>
          <w:i w:val="0"/>
          <w:strike w:val="0"/>
        </w:rPr>
        <w:t>not defined</w:t>
      </w:r>
      <w:r>
        <w:rPr>
          <w:b w:val="0"/>
          <w:i w:val="0"/>
          <w:strike w:val="0"/>
        </w:rPr>
        <w:t xml:space="preserve"> in § 51.1-124.3. Drafting note 10 flags it for DLS along with the approved-leave and long-term-disability question.</w:t>
      </w:r>
    </w:p>
    <w:p>
      <w:r>
        <w:rPr>
          <w:b/>
          <w:i w:val="0"/>
          <w:strike w:val="0"/>
        </w:rPr>
        <w:t>Standing caveat.</w:t>
      </w:r>
      <w:r>
        <w:rPr>
          <w:b w:val="0"/>
          <w:i w:val="0"/>
          <w:strike w:val="0"/>
        </w:rPr>
        <w:t xml:space="preserve"> The adversarial pass in MOO-260 was an </w:t>
      </w:r>
      <w:r>
        <w:rPr>
          <w:b/>
          <w:i w:val="0"/>
          <w:strike w:val="0"/>
        </w:rPr>
        <w:t>internal adversarial review</w:t>
      </w:r>
      <w:r>
        <w:rPr>
          <w:b w:val="0"/>
          <w:i w:val="0"/>
          <w:strike w:val="0"/>
        </w:rPr>
        <w:t xml:space="preserve">: it was run by the policy-development team that drafted the package, because no independent reviewer was available. </w:t>
      </w:r>
      <w:r>
        <w:rPr>
          <w:b/>
          <w:i w:val="0"/>
          <w:strike w:val="0"/>
        </w:rPr>
        <w:t>It was not independent and must not be described as independent.</w:t>
      </w:r>
      <w:r>
        <w:rPr>
          <w:b w:val="0"/>
          <w:i w:val="0"/>
          <w:strike w:val="0"/>
        </w:rPr>
        <w:t xml:space="preserve"> The October 19 sign-off pass then found three stale statements that review had missed, which is exactly what self-review misses. </w:t>
      </w:r>
      <w:r>
        <w:rPr>
          <w:b/>
          <w:i w:val="0"/>
          <w:strike w:val="0"/>
        </w:rPr>
        <w:t>An independent read is advisable before this reaches a patron.</w:t>
      </w:r>
    </w:p>
    <w:p>
      <w:pPr>
        <w:pStyle w:val="Heading2"/>
      </w:pPr>
      <w:r>
        <w:rPr>
          <w:b w:val="0"/>
          <w:i w:val="0"/>
          <w:strike w:val="0"/>
        </w:rPr>
        <w:t>Version 1.3 change log — External-Review Cleanup (October 20, 2026)</w:t>
      </w:r>
    </w:p>
    <w:p>
      <w:r>
        <w:rPr>
          <w:b w:val="0"/>
          <w:i w:val="0"/>
          <w:strike w:val="0"/>
        </w:rPr>
        <w:t xml:space="preserve">A consistency and accuracy pass across all nine documents before outside legal review. </w:t>
      </w:r>
      <w:r>
        <w:rPr>
          <w:b/>
          <w:i w:val="0"/>
          <w:strike w:val="0"/>
        </w:rPr>
        <w:t>No settled policy decision was reopened and no operative bill provision changed</w:t>
      </w:r>
      <w:r>
        <w:rPr>
          <w:b w:val="0"/>
          <w:i w:val="0"/>
          <w:strike w:val="0"/>
        </w:rPr>
        <w:t xml:space="preserve">; the operative text remains at </w:t>
      </w:r>
      <w:r>
        <w:rPr>
          <w:b/>
          <w:i w:val="0"/>
          <w:strike w:val="0"/>
        </w:rPr>
        <w:t>version 1.2</w:t>
      </w:r>
      <w:r>
        <w:rPr>
          <w:b w:val="0"/>
          <w:i w:val="0"/>
          <w:strike w:val="0"/>
        </w:rPr>
        <w:t>. Each correction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Correction</w:t>
            </w:r>
          </w:p>
        </w:tc>
        <w:tc>
          <w:tcPr>
            <w:tcW w:type="dxa" w:w="2880"/>
          </w:tcPr>
          <w:p>
            <w:r>
              <w:rPr>
                <w:b/>
                <w:i w:val="0"/>
                <w:strike w:val="0"/>
              </w:rPr>
              <w:t>Where</w:t>
            </w:r>
          </w:p>
        </w:tc>
      </w:tr>
      <w:tr>
        <w:tc>
          <w:tcPr>
            <w:tcW w:type="dxa" w:w="2880"/>
          </w:tcPr>
          <w:p>
            <w:r>
              <w:rPr>
                <w:b w:val="0"/>
                <w:i w:val="0"/>
                <w:strike w:val="0"/>
              </w:rPr>
              <w:t>1</w:t>
            </w:r>
          </w:p>
        </w:tc>
        <w:tc>
          <w:tcPr>
            <w:tcW w:type="dxa" w:w="2880"/>
          </w:tcPr>
          <w:p>
            <w:r>
              <w:rPr>
                <w:b w:val="0"/>
                <w:i w:val="0"/>
                <w:strike w:val="0"/>
              </w:rPr>
              <w:t xml:space="preserve">The MOO-260 adversarial pass is labeled </w:t>
            </w:r>
            <w:r>
              <w:rPr>
                <w:b/>
                <w:i w:val="0"/>
                <w:strike w:val="0"/>
              </w:rPr>
              <w:t>"internal adversarial review"</w:t>
            </w:r>
            <w:r>
              <w:rPr>
                <w:b w:val="0"/>
                <w:i w:val="0"/>
                <w:strike w:val="0"/>
              </w:rPr>
              <w:t xml:space="preserve"> throughout. Nothing describes it as independent. Residual attorney-persona references ("this office," "counsel recommended") replaced with </w:t>
            </w:r>
            <w:r>
              <w:rPr>
                <w:b/>
                <w:i w:val="0"/>
                <w:strike w:val="0"/>
              </w:rPr>
              <w:t>"policy-development team."</w:t>
            </w:r>
          </w:p>
        </w:tc>
        <w:tc>
          <w:tcPr>
            <w:tcW w:type="dxa" w:w="2880"/>
          </w:tcPr>
          <w:p>
            <w:r>
              <w:rPr>
                <w:b w:val="0"/>
                <w:i w:val="0"/>
                <w:strike w:val="0"/>
              </w:rPr>
              <w:t>All nine documents</w:t>
            </w:r>
          </w:p>
        </w:tc>
      </w:tr>
      <w:tr>
        <w:tc>
          <w:tcPr>
            <w:tcW w:type="dxa" w:w="2880"/>
          </w:tcPr>
          <w:p>
            <w:r>
              <w:rPr>
                <w:b w:val="0"/>
                <w:i w:val="0"/>
                <w:strike w:val="0"/>
              </w:rPr>
              <w:t>2</w:t>
            </w:r>
          </w:p>
        </w:tc>
        <w:tc>
          <w:tcPr>
            <w:tcW w:type="dxa" w:w="2880"/>
          </w:tcPr>
          <w:p>
            <w:r>
              <w:rPr>
                <w:b w:val="0"/>
                <w:i w:val="0"/>
                <w:strike w:val="0"/>
              </w:rPr>
              <w:t xml:space="preserve">Removed the claim that the bridge has </w:t>
            </w:r>
            <w:r>
              <w:rPr>
                <w:b/>
                <w:i w:val="0"/>
                <w:strike w:val="0"/>
              </w:rPr>
              <w:t>"no effect on any other VRS benefit."</w:t>
            </w:r>
            <w:r>
              <w:rPr>
                <w:b w:val="0"/>
                <w:i w:val="0"/>
                <w:strike w:val="0"/>
              </w:rPr>
              <w:t xml:space="preserve"> Replaced with: it does not increase benefit-calculation service, the pension formula, or service-credit-based benefits, while </w:t>
            </w:r>
            <w:r>
              <w:rPr>
                <w:b/>
                <w:i w:val="0"/>
                <w:strike w:val="0"/>
              </w:rPr>
              <w:t>ordinary consequences of an earlier retirement date remain applicable</w:t>
            </w:r>
          </w:p>
        </w:tc>
        <w:tc>
          <w:tcPr>
            <w:tcW w:type="dxa" w:w="2880"/>
          </w:tcPr>
          <w:p>
            <w:r>
              <w:rPr>
                <w:b w:val="0"/>
                <w:i w:val="0"/>
                <w:strike w:val="0"/>
              </w:rPr>
              <w:t>README core policy principle, both briefs, bill drafting note 4, memo Part 4 reading note</w:t>
            </w:r>
          </w:p>
        </w:tc>
      </w:tr>
      <w:tr>
        <w:tc>
          <w:tcPr>
            <w:tcW w:type="dxa" w:w="2880"/>
          </w:tcPr>
          <w:p>
            <w:r>
              <w:rPr>
                <w:b w:val="0"/>
                <w:i w:val="0"/>
                <w:strike w:val="0"/>
              </w:rPr>
              <w:t>3</w:t>
            </w:r>
          </w:p>
        </w:tc>
        <w:tc>
          <w:tcPr>
            <w:tcW w:type="dxa" w:w="2880"/>
          </w:tcPr>
          <w:p>
            <w:r>
              <w:rPr>
                <w:b/>
                <w:i w:val="0"/>
                <w:strike w:val="0"/>
              </w:rPr>
              <w:t>HIC and COLA</w:t>
            </w:r>
            <w:r>
              <w:rPr>
                <w:b w:val="0"/>
                <w:i w:val="0"/>
                <w:strike w:val="0"/>
              </w:rPr>
              <w:t xml:space="preserve"> standardized to: </w:t>
            </w:r>
            <w:r>
              <w:rPr>
                <w:b w:val="0"/>
                <w:i/>
                <w:strike w:val="0"/>
              </w:rPr>
              <w:t>both follow the retirement date, so preventing earlier commencement would require separate statutory changes outside the bridge</w:t>
            </w:r>
            <w:r>
              <w:rPr>
                <w:b w:val="0"/>
                <w:i w:val="0"/>
                <w:strike w:val="0"/>
              </w:rPr>
              <w:t xml:space="preserve">, and the proposal </w:t>
            </w:r>
            <w:r>
              <w:rPr>
                <w:b/>
                <w:i w:val="0"/>
                <w:strike w:val="0"/>
              </w:rPr>
              <w:t>deliberately accepts and discloses</w:t>
            </w:r>
            <w:r>
              <w:rPr>
                <w:b w:val="0"/>
                <w:i w:val="0"/>
                <w:strike w:val="0"/>
              </w:rPr>
              <w:t xml:space="preserve"> that commencement rather than adding separate delay provisions. Removed every statement that preventing it is impossible or unreachable</w:t>
            </w:r>
          </w:p>
        </w:tc>
        <w:tc>
          <w:tcPr>
            <w:tcW w:type="dxa" w:w="2880"/>
          </w:tcPr>
          <w:p>
            <w:r>
              <w:rPr>
                <w:b w:val="0"/>
                <w:i w:val="0"/>
                <w:strike w:val="0"/>
              </w:rPr>
              <w:t>README, bill notes 4 and 7(b), memo Part 6, both briefs, fiscal memo § 4, internal review F-02 disposition</w:t>
            </w:r>
          </w:p>
        </w:tc>
      </w:tr>
      <w:tr>
        <w:tc>
          <w:tcPr>
            <w:tcW w:type="dxa" w:w="2880"/>
          </w:tcPr>
          <w:p>
            <w:r>
              <w:rPr>
                <w:b w:val="0"/>
                <w:i w:val="0"/>
                <w:strike w:val="0"/>
              </w:rPr>
              <w:t>4</w:t>
            </w:r>
          </w:p>
        </w:tc>
        <w:tc>
          <w:tcPr>
            <w:tcW w:type="dxa" w:w="2880"/>
          </w:tcPr>
          <w:p>
            <w:r>
              <w:rPr>
                <w:b/>
                <w:i w:val="0"/>
                <w:strike w:val="0"/>
              </w:rPr>
              <w:t>"Every policy question is settled"</w:t>
            </w:r>
            <w:r>
              <w:rPr>
                <w:b w:val="0"/>
                <w:i w:val="0"/>
                <w:strike w:val="0"/>
              </w:rPr>
              <w:t xml:space="preserve"> → </w:t>
            </w:r>
            <w:r>
              <w:rPr>
                <w:b/>
                <w:i w:val="0"/>
                <w:strike w:val="0"/>
              </w:rPr>
              <w:t>"All principal policy questions are settled,"</w:t>
            </w:r>
            <w:r>
              <w:rPr>
                <w:b w:val="0"/>
                <w:i w:val="0"/>
                <w:strike w:val="0"/>
              </w:rPr>
              <w:t xml:space="preserve"> with the </w:t>
            </w:r>
            <w:r>
              <w:rPr>
                <w:b/>
                <w:i w:val="0"/>
                <w:strike w:val="0"/>
              </w:rPr>
              <w:t>approved-leave / long-term-disability</w:t>
            </w:r>
            <w:r>
              <w:rPr>
                <w:b w:val="0"/>
                <w:i w:val="0"/>
                <w:strike w:val="0"/>
              </w:rPr>
              <w:t xml:space="preserve"> question flagged as the one narrow item still open</w:t>
            </w:r>
          </w:p>
        </w:tc>
        <w:tc>
          <w:tcPr>
            <w:tcW w:type="dxa" w:w="2880"/>
          </w:tcPr>
          <w:p>
            <w:r>
              <w:rPr>
                <w:b w:val="0"/>
                <w:i w:val="0"/>
                <w:strike w:val="0"/>
              </w:rPr>
              <w:t>README, two-page brief, bill note 10, memo Part 6</w:t>
            </w:r>
          </w:p>
        </w:tc>
      </w:tr>
      <w:tr>
        <w:tc>
          <w:tcPr>
            <w:tcW w:type="dxa" w:w="2880"/>
          </w:tcPr>
          <w:p>
            <w:r>
              <w:rPr>
                <w:b w:val="0"/>
                <w:i w:val="0"/>
                <w:strike w:val="0"/>
              </w:rPr>
              <w:t>5</w:t>
            </w:r>
          </w:p>
        </w:tc>
        <w:tc>
          <w:tcPr>
            <w:tcW w:type="dxa" w:w="2880"/>
          </w:tcPr>
          <w:p>
            <w:r>
              <w:rPr>
                <w:b w:val="0"/>
                <w:i w:val="0"/>
                <w:strike w:val="0"/>
              </w:rPr>
              <w:t>The one-page brief's pre-patron checklist rebuilt as five required items: fiscal model re-run against version 1.2; outstanding source verifications; federal tax review by veterans' legal counsel; approved-leave/LTD question resolved or expressly deferred; VRS § 30-19.1:7 statement at the appropriate stage</w:t>
            </w:r>
          </w:p>
        </w:tc>
        <w:tc>
          <w:tcPr>
            <w:tcW w:type="dxa" w:w="2880"/>
          </w:tcPr>
          <w:p>
            <w:r>
              <w:rPr>
                <w:b w:val="0"/>
                <w:i w:val="0"/>
                <w:strike w:val="0"/>
              </w:rPr>
              <w:t>One-page brief</w:t>
            </w:r>
          </w:p>
        </w:tc>
      </w:tr>
      <w:tr>
        <w:tc>
          <w:tcPr>
            <w:tcW w:type="dxa" w:w="2880"/>
          </w:tcPr>
          <w:p>
            <w:r>
              <w:rPr>
                <w:b w:val="0"/>
                <w:i w:val="0"/>
                <w:strike w:val="0"/>
              </w:rPr>
              <w:t>6</w:t>
            </w:r>
          </w:p>
        </w:tc>
        <w:tc>
          <w:tcPr>
            <w:tcW w:type="dxa" w:w="2880"/>
          </w:tcPr>
          <w:p>
            <w:r>
              <w:rPr>
                <w:b w:val="0"/>
                <w:i w:val="0"/>
                <w:strike w:val="0"/>
              </w:rPr>
              <w:t xml:space="preserve">Fiscal model status is no longer "Complete." It reads </w:t>
            </w:r>
            <w:r>
              <w:rPr>
                <w:b/>
                <w:i w:val="0"/>
                <w:strike w:val="0"/>
              </w:rPr>
              <w:t>"Complete for version 1.1; version 1.2 refresh required before external use"</w:t>
            </w:r>
          </w:p>
        </w:tc>
        <w:tc>
          <w:tcPr>
            <w:tcW w:type="dxa" w:w="2880"/>
          </w:tcPr>
          <w:p>
            <w:r>
              <w:rPr>
                <w:b w:val="0"/>
                <w:i w:val="0"/>
                <w:strike w:val="0"/>
              </w:rPr>
              <w:t>README index, two-page brief, fiscal memo, memo Part 6</w:t>
            </w:r>
          </w:p>
        </w:tc>
      </w:tr>
      <w:tr>
        <w:tc>
          <w:tcPr>
            <w:tcW w:type="dxa" w:w="2880"/>
          </w:tcPr>
          <w:p>
            <w:r>
              <w:rPr>
                <w:b w:val="0"/>
                <w:i w:val="0"/>
                <w:strike w:val="0"/>
              </w:rPr>
              <w:t>7</w:t>
            </w:r>
          </w:p>
        </w:tc>
        <w:tc>
          <w:tcPr>
            <w:tcW w:type="dxa" w:w="2880"/>
          </w:tcPr>
          <w:p>
            <w:r>
              <w:rPr>
                <w:b w:val="0"/>
                <w:i w:val="0"/>
                <w:strike w:val="0"/>
              </w:rPr>
              <w:t xml:space="preserve">Every public use of </w:t>
            </w:r>
            <w:r>
              <w:rPr>
                <w:b/>
                <w:i w:val="0"/>
                <w:strike w:val="0"/>
              </w:rPr>
              <w:t>0.19 bp</w:t>
            </w:r>
            <w:r>
              <w:rPr>
                <w:b w:val="0"/>
                <w:i w:val="0"/>
                <w:strike w:val="0"/>
              </w:rPr>
              <w:t xml:space="preserve"> now states that it is the </w:t>
            </w:r>
            <w:r>
              <w:rPr>
                <w:b/>
                <w:i w:val="0"/>
                <w:strike w:val="0"/>
              </w:rPr>
              <w:t>modeled retirement-plan employer contribution impact and excludes separately funded HIC and COLA effects, including unquantified COLA exposure</w:t>
            </w:r>
          </w:p>
        </w:tc>
        <w:tc>
          <w:tcPr>
            <w:tcW w:type="dxa" w:w="2880"/>
          </w:tcPr>
          <w:p>
            <w:r>
              <w:rPr>
                <w:b w:val="0"/>
                <w:i w:val="0"/>
                <w:strike w:val="0"/>
              </w:rPr>
              <w:t>README, both briefs, bill note 7(c), memo Part 5.1, fiscal memo §§ 1 and 13</w:t>
            </w:r>
          </w:p>
        </w:tc>
      </w:tr>
      <w:tr>
        <w:tc>
          <w:tcPr>
            <w:tcW w:type="dxa" w:w="2880"/>
          </w:tcPr>
          <w:p>
            <w:r>
              <w:rPr>
                <w:b w:val="0"/>
                <w:i w:val="0"/>
                <w:strike w:val="0"/>
              </w:rPr>
              <w:t>8</w:t>
            </w:r>
          </w:p>
        </w:tc>
        <w:tc>
          <w:tcPr>
            <w:tcW w:type="dxa" w:w="2880"/>
          </w:tcPr>
          <w:p>
            <w:r>
              <w:rPr>
                <w:b/>
                <w:i w:val="0"/>
                <w:strike w:val="0"/>
              </w:rPr>
              <w:t>B-4 cutoff standardized.</w:t>
            </w:r>
            <w:r>
              <w:rPr>
                <w:b w:val="0"/>
                <w:i w:val="0"/>
                <w:strike w:val="0"/>
              </w:rPr>
              <w:t xml:space="preserve"> No document now says merely "first hired after January 1, 2014." All use the § 51.1-169 A membership test — </w:t>
            </w:r>
            <w:r>
              <w:rPr>
                <w:b/>
                <w:i w:val="0"/>
                <w:strike w:val="0"/>
              </w:rPr>
              <w:t>first entered the VRS-administered retirement system on or after the January 1, 2014 Hybrid transition</w:t>
            </w:r>
            <w:r>
              <w:rPr>
                <w:b w:val="0"/>
                <w:i w:val="0"/>
                <w:strike w:val="0"/>
              </w:rPr>
              <w:t xml:space="preserve"> — and note that a pre-2014 member rehired later remains potentially eligible</w:t>
            </w:r>
          </w:p>
        </w:tc>
        <w:tc>
          <w:tcPr>
            <w:tcW w:type="dxa" w:w="2880"/>
          </w:tcPr>
          <w:p>
            <w:r>
              <w:rPr>
                <w:b w:val="0"/>
                <w:i w:val="0"/>
                <w:strike w:val="0"/>
              </w:rPr>
              <w:t>All documents referring to clause B 1(iv)</w:t>
            </w:r>
          </w:p>
        </w:tc>
      </w:tr>
      <w:tr>
        <w:tc>
          <w:tcPr>
            <w:tcW w:type="dxa" w:w="2880"/>
          </w:tcPr>
          <w:p>
            <w:r>
              <w:rPr>
                <w:b w:val="0"/>
                <w:i w:val="0"/>
                <w:strike w:val="0"/>
              </w:rPr>
              <w:t>9</w:t>
            </w:r>
          </w:p>
        </w:tc>
        <w:tc>
          <w:tcPr>
            <w:tcW w:type="dxa" w:w="2880"/>
          </w:tcPr>
          <w:p>
            <w:r>
              <w:rPr>
                <w:b/>
                <w:i w:val="0"/>
                <w:strike w:val="0"/>
              </w:rPr>
              <w:t>12.50% / 10.74%</w:t>
            </w:r>
            <w:r>
              <w:rPr>
                <w:b w:val="0"/>
                <w:i w:val="0"/>
                <w:strike w:val="0"/>
              </w:rPr>
              <w:t xml:space="preserve"> qualified as rates for </w:t>
            </w:r>
            <w:r>
              <w:rPr>
                <w:b/>
                <w:i w:val="0"/>
                <w:strike w:val="0"/>
              </w:rPr>
              <w:t>ordinary non-hazardous members</w:t>
            </w:r>
            <w:r>
              <w:rPr>
                <w:b w:val="0"/>
                <w:i w:val="0"/>
                <w:strike w:val="0"/>
              </w:rPr>
              <w:t xml:space="preserve">, with the rate for eligible pre-2014 B 4 public-safety members stated to </w:t>
            </w:r>
            <w:r>
              <w:rPr>
                <w:b/>
                <w:i w:val="0"/>
                <w:strike w:val="0"/>
              </w:rPr>
              <w:t>require VRS confirmation</w:t>
            </w:r>
          </w:p>
        </w:tc>
        <w:tc>
          <w:tcPr>
            <w:tcW w:type="dxa" w:w="2880"/>
          </w:tcPr>
          <w:p>
            <w:r>
              <w:rPr>
                <w:b w:val="0"/>
                <w:i w:val="0"/>
                <w:strike w:val="0"/>
              </w:rPr>
              <w:t>README, both briefs, memo Parts 1.1 and 5.1, fiscal memo</w:t>
            </w:r>
          </w:p>
        </w:tc>
      </w:tr>
      <w:tr>
        <w:tc>
          <w:tcPr>
            <w:tcW w:type="dxa" w:w="2880"/>
          </w:tcPr>
          <w:p>
            <w:r>
              <w:rPr>
                <w:b w:val="0"/>
                <w:i w:val="0"/>
                <w:strike w:val="0"/>
              </w:rPr>
              <w:t>10</w:t>
            </w:r>
          </w:p>
        </w:tc>
        <w:tc>
          <w:tcPr>
            <w:tcW w:type="dxa" w:w="2880"/>
          </w:tcPr>
          <w:p>
            <w:r>
              <w:rPr>
                <w:b/>
                <w:i w:val="0"/>
                <w:strike w:val="0"/>
              </w:rPr>
              <w:t>Reserve/Guard language narrowed.</w:t>
            </w:r>
            <w:r>
              <w:rPr>
                <w:b w:val="0"/>
                <w:i w:val="0"/>
                <w:strike w:val="0"/>
              </w:rPr>
              <w:t xml:space="preserve"> No document asserts that all Reserve and Guard service is protected. Federal law protects qualifying service associated with </w:t>
            </w:r>
            <w:r>
              <w:rPr>
                <w:b/>
                <w:i w:val="0"/>
                <w:strike w:val="0"/>
              </w:rPr>
              <w:t>non-regular Reserve-component retired pay under 10 U.S.C. chapter 1223</w:t>
            </w:r>
            <w:r>
              <w:rPr>
                <w:b w:val="0"/>
                <w:i w:val="0"/>
                <w:strike w:val="0"/>
              </w:rPr>
              <w:t xml:space="preserve">, with </w:t>
            </w:r>
            <w:r>
              <w:rPr>
                <w:b/>
                <w:i w:val="0"/>
                <w:strike w:val="0"/>
              </w:rPr>
              <w:t>§ 12736 application to the bridge subject to counsel confirmation</w:t>
            </w:r>
          </w:p>
        </w:tc>
        <w:tc>
          <w:tcPr>
            <w:tcW w:type="dxa" w:w="2880"/>
          </w:tcPr>
          <w:p>
            <w:r>
              <w:rPr>
                <w:b w:val="0"/>
                <w:i w:val="0"/>
                <w:strike w:val="0"/>
              </w:rPr>
              <w:t>Both briefs, memo Parts 5.2 and 5.3, bill note 8</w:t>
            </w:r>
          </w:p>
        </w:tc>
      </w:tr>
      <w:tr>
        <w:tc>
          <w:tcPr>
            <w:tcW w:type="dxa" w:w="2880"/>
          </w:tcPr>
          <w:p>
            <w:r>
              <w:rPr>
                <w:b w:val="0"/>
                <w:i w:val="0"/>
                <w:strike w:val="0"/>
              </w:rPr>
              <w:t>11</w:t>
            </w:r>
          </w:p>
        </w:tc>
        <w:tc>
          <w:tcPr>
            <w:tcW w:type="dxa" w:w="2880"/>
          </w:tcPr>
          <w:p>
            <w:r>
              <w:rPr>
                <w:b w:val="0"/>
                <w:i w:val="0"/>
                <w:strike w:val="0"/>
              </w:rPr>
              <w:t>Attorney-authorship implications removed; the package attribution is retained verbatim on every document</w:t>
            </w:r>
          </w:p>
        </w:tc>
        <w:tc>
          <w:tcPr>
            <w:tcW w:type="dxa" w:w="2880"/>
          </w:tcPr>
          <w:p>
            <w:r>
              <w:rPr>
                <w:b w:val="0"/>
                <w:i w:val="0"/>
                <w:strike w:val="0"/>
              </w:rPr>
              <w:t>All nine documents</w:t>
            </w:r>
          </w:p>
        </w:tc>
      </w:tr>
      <w:tr>
        <w:tc>
          <w:tcPr>
            <w:tcW w:type="dxa" w:w="2880"/>
          </w:tcPr>
          <w:p>
            <w:r>
              <w:rPr>
                <w:b w:val="0"/>
                <w:i w:val="0"/>
                <w:strike w:val="0"/>
              </w:rPr>
              <w:t>12</w:t>
            </w:r>
          </w:p>
        </w:tc>
        <w:tc>
          <w:tcPr>
            <w:tcW w:type="dxa" w:w="2880"/>
          </w:tcPr>
          <w:p>
            <w:r>
              <w:rPr>
                <w:b w:val="0"/>
                <w:i w:val="0"/>
                <w:strike w:val="0"/>
              </w:rPr>
              <w:t>Advocacy phrasing replaced with analytical phrasing. The "new hire in their twenties, who has neither the money nor a reason to care" formulation is gone; the point is now that the low-cost window falls early in a career, when disposable income is typically lower and retirement eligibility is remote</w:t>
            </w:r>
          </w:p>
        </w:tc>
        <w:tc>
          <w:tcPr>
            <w:tcW w:type="dxa" w:w="2880"/>
          </w:tcPr>
          <w:p>
            <w:r>
              <w:rPr>
                <w:b w:val="0"/>
                <w:i w:val="0"/>
                <w:strike w:val="0"/>
              </w:rPr>
              <w:t>Both briefs</w:t>
            </w:r>
          </w:p>
        </w:tc>
      </w:tr>
      <w:tr>
        <w:tc>
          <w:tcPr>
            <w:tcW w:type="dxa" w:w="2880"/>
          </w:tcPr>
          <w:p>
            <w:r>
              <w:rPr>
                <w:b w:val="0"/>
                <w:i w:val="0"/>
                <w:strike w:val="0"/>
              </w:rPr>
              <w:t>13</w:t>
            </w:r>
          </w:p>
        </w:tc>
        <w:tc>
          <w:tcPr>
            <w:tcW w:type="dxa" w:w="2880"/>
          </w:tcPr>
          <w:p>
            <w:r>
              <w:rPr>
                <w:b/>
                <w:i w:val="0"/>
                <w:strike w:val="0"/>
              </w:rPr>
              <w:t>$341,065</w:t>
            </w:r>
            <w:r>
              <w:rPr>
                <w:b w:val="0"/>
                <w:i w:val="0"/>
                <w:strike w:val="0"/>
              </w:rPr>
              <w:t xml:space="preserve"> identified as the </w:t>
            </w:r>
            <w:r>
              <w:rPr>
                <w:b/>
                <w:i w:val="0"/>
                <w:strike w:val="0"/>
              </w:rPr>
              <w:t>maximum modeled net value above the member purchase price under the frozen-service/subsidy scenario</w:t>
            </w:r>
            <w:r>
              <w:rPr>
                <w:b w:val="0"/>
                <w:i w:val="0"/>
                <w:strike w:val="0"/>
              </w:rPr>
              <w:t xml:space="preserve"> — not a cost per veteran. The model's finding that members who would otherwise work to unreduced eligibility </w:t>
            </w:r>
            <w:r>
              <w:rPr>
                <w:b/>
                <w:i w:val="0"/>
                <w:strike w:val="0"/>
              </w:rPr>
              <w:t>overpay</w:t>
            </w:r>
            <w:r>
              <w:rPr>
                <w:b w:val="0"/>
                <w:i w:val="0"/>
                <w:strike w:val="0"/>
              </w:rPr>
              <w:t xml:space="preserve"> in the modeled WTE scenarios is carried alongside it everywhere the figure appears</w:t>
            </w:r>
          </w:p>
        </w:tc>
        <w:tc>
          <w:tcPr>
            <w:tcW w:type="dxa" w:w="2880"/>
          </w:tcPr>
          <w:p>
            <w:r>
              <w:rPr>
                <w:b w:val="0"/>
                <w:i w:val="0"/>
                <w:strike w:val="0"/>
              </w:rPr>
              <w:t>README, both briefs, bill note 7(c), memo Part 5.1, fiscal memo</w:t>
            </w:r>
          </w:p>
        </w:tc>
      </w:tr>
      <w:tr>
        <w:tc>
          <w:tcPr>
            <w:tcW w:type="dxa" w:w="2880"/>
          </w:tcPr>
          <w:p>
            <w:r>
              <w:rPr>
                <w:b w:val="0"/>
                <w:i w:val="0"/>
                <w:strike w:val="0"/>
              </w:rPr>
              <w:t>14</w:t>
            </w:r>
          </w:p>
        </w:tc>
        <w:tc>
          <w:tcPr>
            <w:tcW w:type="dxa" w:w="2880"/>
          </w:tcPr>
          <w:p>
            <w:r>
              <w:rPr>
                <w:b w:val="0"/>
                <w:i w:val="0"/>
                <w:strike w:val="0"/>
              </w:rPr>
              <w:t xml:space="preserve">Cross-document sweep: version numbers and dates; </w:t>
            </w:r>
            <w:r>
              <w:rPr>
                <w:b/>
                <w:i w:val="0"/>
                <w:strike w:val="0"/>
              </w:rPr>
              <w:t>six conforming amendments across five sections</w:t>
            </w:r>
            <w:r>
              <w:rPr>
                <w:b w:val="0"/>
                <w:i w:val="0"/>
                <w:strike w:val="0"/>
              </w:rPr>
              <w:t>; HIC/COLA treatment; deferred-retirement treatment; B-4 treatment; retired-pay bar; PLOP; fiscal figures and their exclusions; and the status of every open counsel/VRS item</w:t>
            </w:r>
          </w:p>
        </w:tc>
        <w:tc>
          <w:tcPr>
            <w:tcW w:type="dxa" w:w="2880"/>
          </w:tcPr>
          <w:p>
            <w:r>
              <w:rPr>
                <w:b w:val="0"/>
                <w:i w:val="0"/>
                <w:strike w:val="0"/>
              </w:rPr>
              <w:t>All nine documents</w:t>
            </w:r>
          </w:p>
        </w:tc>
      </w:tr>
    </w:tbl>
    <w:p/>
    <w:p>
      <w:r>
        <w:rPr>
          <w:b/>
          <w:i w:val="0"/>
          <w:strike w:val="0"/>
        </w:rPr>
        <w:t>Both briefs still fit their stated lengths</w:t>
      </w:r>
      <w:r>
        <w:rPr>
          <w:b w:val="0"/>
          <w:i w:val="0"/>
          <w:strike w:val="0"/>
        </w:rPr>
        <w:t xml:space="preserve"> after these additions, measured with </w:t>
      </w:r>
      <w:r>
        <w:rPr>
          <w:rFonts w:ascii="Consolas" w:hAnsi="Consolas"/>
          <w:b w:val="0"/>
          <w:i w:val="0"/>
          <w:strike w:val="0"/>
          <w:color w:val="303030"/>
          <w:sz w:val="19"/>
        </w:rPr>
        <w:t>source-markdown/pagecheck.py</w:t>
      </w:r>
      <w:r>
        <w:rPr>
          <w:b w:val="0"/>
          <w:i w:val="0"/>
          <w:strike w:val="0"/>
        </w:rPr>
        <w:t xml:space="preserve"> against the compact brief layout: one-pager </w:t>
      </w:r>
      <w:r>
        <w:rPr>
          <w:b/>
          <w:i w:val="0"/>
          <w:strike w:val="0"/>
        </w:rPr>
        <w:t>0.94 page</w:t>
      </w:r>
      <w:r>
        <w:rPr>
          <w:b w:val="0"/>
          <w:i w:val="0"/>
          <w:strike w:val="0"/>
        </w:rPr>
        <w:t xml:space="preserve">, two-pager </w:t>
      </w:r>
      <w:r>
        <w:rPr>
          <w:b/>
          <w:i w:val="0"/>
          <w:strike w:val="0"/>
        </w:rPr>
        <w:t>1.85 pages</w:t>
      </w:r>
      <w:r>
        <w:rPr>
          <w:b w:val="0"/>
          <w:i w:val="0"/>
          <w:strike w:val="0"/>
        </w:rPr>
        <w:t>. To hold the page budget, the briefs' section headings were converted to bold run-in headings; no item on the do-not-drop list was removed — the Plan 1 and Plan 2 worked examples, the HIC/COLA correction, the PLOP disclosure, all seven recorded decisions, the three blockers and the subsidy framing are intact.</w:t>
      </w:r>
    </w:p>
    <w:p>
      <w:pPr>
        <w:pStyle w:val="Heading3"/>
      </w:pPr>
      <w:r>
        <w:rPr>
          <w:b w:val="0"/>
          <w:i w:val="0"/>
          <w:strike w:val="0"/>
        </w:rPr>
        <w:t>Still requiring outside confirmation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Item</w:t>
            </w:r>
          </w:p>
        </w:tc>
        <w:tc>
          <w:tcPr>
            <w:tcW w:type="dxa" w:w="2880"/>
          </w:tcPr>
          <w:p>
            <w:r>
              <w:rPr>
                <w:b/>
                <w:i w:val="0"/>
                <w:strike w:val="0"/>
              </w:rPr>
              <w:t>Owner</w:t>
            </w:r>
          </w:p>
        </w:tc>
        <w:tc>
          <w:tcPr>
            <w:tcW w:type="dxa" w:w="2880"/>
          </w:tcPr>
          <w:p>
            <w:r>
              <w:rPr>
                <w:b/>
                <w:i w:val="0"/>
                <w:strike w:val="0"/>
              </w:rPr>
              <w:t>Status</w:t>
            </w:r>
          </w:p>
        </w:tc>
      </w:tr>
      <w:tr>
        <w:tc>
          <w:tcPr>
            <w:tcW w:type="dxa" w:w="2880"/>
          </w:tcPr>
          <w:p>
            <w:r>
              <w:rPr>
                <w:b/>
                <w:i w:val="0"/>
                <w:strike w:val="0"/>
              </w:rPr>
              <w:t>VRS Board impact statement under § 30-19.1:7</w:t>
            </w:r>
            <w:r>
              <w:rPr>
                <w:b w:val="0"/>
                <w:i w:val="0"/>
                <w:strike w:val="0"/>
              </w:rPr>
              <w:t xml:space="preserve"> — mandatory for every VRS bill</w:t>
            </w:r>
          </w:p>
        </w:tc>
        <w:tc>
          <w:tcPr>
            <w:tcW w:type="dxa" w:w="2880"/>
          </w:tcPr>
          <w:p>
            <w:r>
              <w:rPr>
                <w:b w:val="0"/>
                <w:i w:val="0"/>
                <w:strike w:val="0"/>
              </w:rPr>
              <w:t>VRS Board / actuary</w:t>
            </w:r>
          </w:p>
        </w:tc>
        <w:tc>
          <w:tcPr>
            <w:tcW w:type="dxa" w:w="2880"/>
          </w:tcPr>
          <w:p>
            <w:r>
              <w:rPr>
                <w:b/>
                <w:i w:val="0"/>
                <w:strike w:val="0"/>
              </w:rPr>
              <w:t>Not requested.</w:t>
            </w:r>
            <w:r>
              <w:rPr>
                <w:b w:val="0"/>
                <w:i w:val="0"/>
                <w:strike w:val="0"/>
              </w:rPr>
              <w:t xml:space="preserve"> The MOO-259 model is illustrative and is not a substitute</w:t>
            </w:r>
          </w:p>
        </w:tc>
      </w:tr>
      <w:tr>
        <w:tc>
          <w:tcPr>
            <w:tcW w:type="dxa" w:w="2880"/>
          </w:tcPr>
          <w:p>
            <w:r>
              <w:rPr>
                <w:b/>
                <w:i w:val="0"/>
                <w:strike w:val="0"/>
              </w:rPr>
              <w:t>Federal tax</w:t>
            </w:r>
            <w:r>
              <w:rPr>
                <w:b w:val="0"/>
                <w:i w:val="0"/>
                <w:strike w:val="0"/>
              </w:rPr>
              <w:t xml:space="preserve"> — IRC § 415(n)(3)(A) and § 415(c) exposure; loss of 403(b)/457(b) trustee-to-trustee funding; § 414(h)(2) pick-up</w:t>
            </w:r>
          </w:p>
        </w:tc>
        <w:tc>
          <w:tcPr>
            <w:tcW w:type="dxa" w:w="2880"/>
          </w:tcPr>
          <w:p>
            <w:r>
              <w:rPr>
                <w:b w:val="0"/>
                <w:i w:val="0"/>
                <w:strike w:val="0"/>
              </w:rPr>
              <w:t>Veterans' legal counsel</w:t>
            </w:r>
          </w:p>
        </w:tc>
        <w:tc>
          <w:tcPr>
            <w:tcW w:type="dxa" w:w="2880"/>
          </w:tcPr>
          <w:p>
            <w:r>
              <w:rPr>
                <w:b w:val="0"/>
                <w:i w:val="0"/>
                <w:strike w:val="0"/>
              </w:rPr>
              <w:t>Open. Must be met before committee, not in it</w:t>
            </w:r>
          </w:p>
        </w:tc>
      </w:tr>
      <w:tr>
        <w:tc>
          <w:tcPr>
            <w:tcW w:type="dxa" w:w="2880"/>
          </w:tcPr>
          <w:p>
            <w:r>
              <w:rPr>
                <w:b/>
                <w:i w:val="0"/>
                <w:strike w:val="0"/>
              </w:rPr>
              <w:t>10 U.S.C. § 12736</w:t>
            </w:r>
            <w:r>
              <w:rPr>
                <w:b w:val="0"/>
                <w:i w:val="0"/>
                <w:strike w:val="0"/>
              </w:rPr>
              <w:t xml:space="preserve"> application to an eligibility-only credit</w:t>
            </w:r>
          </w:p>
        </w:tc>
        <w:tc>
          <w:tcPr>
            <w:tcW w:type="dxa" w:w="2880"/>
          </w:tcPr>
          <w:p>
            <w:r>
              <w:rPr>
                <w:b w:val="0"/>
                <w:i w:val="0"/>
                <w:strike w:val="0"/>
              </w:rPr>
              <w:t>Veterans' legal counsel</w:t>
            </w:r>
          </w:p>
        </w:tc>
        <w:tc>
          <w:tcPr>
            <w:tcW w:type="dxa" w:w="2880"/>
          </w:tcPr>
          <w:p>
            <w:r>
              <w:rPr>
                <w:b w:val="0"/>
                <w:i w:val="0"/>
                <w:strike w:val="0"/>
              </w:rPr>
              <w:t xml:space="preserve">Open. The bill's entire subject is </w:t>
            </w:r>
            <w:r>
              <w:rPr>
                <w:b w:val="0"/>
                <w:i/>
                <w:strike w:val="0"/>
              </w:rPr>
              <w:t>eligibility</w:t>
            </w:r>
            <w:r>
              <w:rPr>
                <w:b w:val="0"/>
                <w:i w:val="0"/>
                <w:strike w:val="0"/>
              </w:rPr>
              <w:t>, which is § 12736's operative word</w:t>
            </w:r>
          </w:p>
        </w:tc>
      </w:tr>
      <w:tr>
        <w:tc>
          <w:tcPr>
            <w:tcW w:type="dxa" w:w="2880"/>
          </w:tcPr>
          <w:p>
            <w:r>
              <w:rPr>
                <w:b/>
                <w:i w:val="0"/>
                <w:strike w:val="0"/>
              </w:rPr>
              <w:t>Approximate normal cost rate for eligible pre-2014 § 51.1-153 B 4 public-safety members</w:t>
            </w:r>
          </w:p>
        </w:tc>
        <w:tc>
          <w:tcPr>
            <w:tcW w:type="dxa" w:w="2880"/>
          </w:tcPr>
          <w:p>
            <w:r>
              <w:rPr>
                <w:b w:val="0"/>
                <w:i w:val="0"/>
                <w:strike w:val="0"/>
              </w:rPr>
              <w:t>VRS</w:t>
            </w:r>
          </w:p>
        </w:tc>
        <w:tc>
          <w:tcPr>
            <w:tcW w:type="dxa" w:w="2880"/>
          </w:tcPr>
          <w:p>
            <w:r>
              <w:rPr>
                <w:b w:val="0"/>
                <w:i w:val="0"/>
                <w:strike w:val="0"/>
              </w:rPr>
              <w:t>Open. The non-hazardous 12.50% / 10.74% rates do not apply to them</w:t>
            </w:r>
          </w:p>
        </w:tc>
      </w:tr>
      <w:tr>
        <w:tc>
          <w:tcPr>
            <w:tcW w:type="dxa" w:w="2880"/>
          </w:tcPr>
          <w:p>
            <w:r>
              <w:rPr>
                <w:b/>
                <w:i w:val="0"/>
                <w:strike w:val="0"/>
              </w:rPr>
              <w:t>Fiscal model re-run against version 1.2</w:t>
            </w:r>
          </w:p>
        </w:tc>
        <w:tc>
          <w:tcPr>
            <w:tcW w:type="dxa" w:w="2880"/>
          </w:tcPr>
          <w:p>
            <w:r>
              <w:rPr>
                <w:b w:val="0"/>
                <w:i w:val="0"/>
                <w:strike w:val="0"/>
              </w:rPr>
              <w:t>Policy-development team / VRS actuary</w:t>
            </w:r>
          </w:p>
        </w:tc>
        <w:tc>
          <w:tcPr>
            <w:tcW w:type="dxa" w:w="2880"/>
          </w:tcPr>
          <w:p>
            <w:r>
              <w:rPr>
                <w:b w:val="0"/>
                <w:i w:val="0"/>
                <w:strike w:val="0"/>
              </w:rPr>
              <w:t>Open. Both October 20 decisions move the model downward</w:t>
            </w:r>
          </w:p>
        </w:tc>
      </w:tr>
      <w:tr>
        <w:tc>
          <w:tcPr>
            <w:tcW w:type="dxa" w:w="2880"/>
          </w:tcPr>
          <w:p>
            <w:r>
              <w:rPr>
                <w:b/>
                <w:i w:val="0"/>
                <w:strike w:val="0"/>
              </w:rPr>
              <w:t>Approved-leave / long-term-disability treatment under subdivision E 3</w:t>
            </w:r>
          </w:p>
        </w:tc>
        <w:tc>
          <w:tcPr>
            <w:tcW w:type="dxa" w:w="2880"/>
          </w:tcPr>
          <w:p>
            <w:r>
              <w:rPr>
                <w:b w:val="0"/>
                <w:i w:val="0"/>
                <w:strike w:val="0"/>
              </w:rPr>
              <w:t>JLCVSO</w:t>
            </w:r>
          </w:p>
        </w:tc>
        <w:tc>
          <w:tcPr>
            <w:tcW w:type="dxa" w:w="2880"/>
          </w:tcPr>
          <w:p>
            <w:r>
              <w:rPr>
                <w:b w:val="0"/>
                <w:i w:val="0"/>
                <w:strike w:val="0"/>
              </w:rPr>
              <w:t>Open — the one narrow policy question left. Resolve or expressly defer</w:t>
            </w:r>
          </w:p>
        </w:tc>
      </w:tr>
      <w:tr>
        <w:tc>
          <w:tcPr>
            <w:tcW w:type="dxa" w:w="2880"/>
          </w:tcPr>
          <w:p>
            <w:r>
              <w:rPr>
                <w:b/>
                <w:i w:val="0"/>
                <w:strike w:val="0"/>
              </w:rPr>
              <w:t>COLA commencement exposure</w:t>
            </w:r>
          </w:p>
        </w:tc>
        <w:tc>
          <w:tcPr>
            <w:tcW w:type="dxa" w:w="2880"/>
          </w:tcPr>
          <w:p>
            <w:r>
              <w:rPr>
                <w:b w:val="0"/>
                <w:i w:val="0"/>
                <w:strike w:val="0"/>
              </w:rPr>
              <w:t>VRS actuary</w:t>
            </w:r>
          </w:p>
        </w:tc>
        <w:tc>
          <w:tcPr>
            <w:tcW w:type="dxa" w:w="2880"/>
          </w:tcPr>
          <w:p>
            <w:r>
              <w:rPr>
                <w:b/>
                <w:i w:val="0"/>
                <w:strike w:val="0"/>
              </w:rPr>
              <w:t>Unquantified.</w:t>
            </w:r>
            <w:r>
              <w:rPr>
                <w:b w:val="0"/>
                <w:i w:val="0"/>
                <w:strike w:val="0"/>
              </w:rPr>
              <w:t xml:space="preserve"> No figure in the package covers it</w:t>
            </w:r>
          </w:p>
        </w:tc>
      </w:tr>
      <w:tr>
        <w:tc>
          <w:tcPr>
            <w:tcW w:type="dxa" w:w="2880"/>
          </w:tcPr>
          <w:p>
            <w:r>
              <w:rPr>
                <w:b/>
                <w:i w:val="0"/>
                <w:strike w:val="0"/>
              </w:rPr>
              <w:t>Enactment clauses of 2026 c. 563</w:t>
            </w:r>
            <w:r>
              <w:rPr>
                <w:b w:val="0"/>
                <w:i w:val="0"/>
                <w:strike w:val="0"/>
              </w:rPr>
              <w:t xml:space="preserve">; </w:t>
            </w:r>
            <w:r>
              <w:rPr>
                <w:b/>
                <w:i w:val="0"/>
                <w:strike w:val="0"/>
              </w:rPr>
              <w:t>LIS full-text search</w:t>
            </w:r>
            <w:r>
              <w:rPr>
                <w:b w:val="0"/>
                <w:i w:val="0"/>
                <w:strike w:val="0"/>
              </w:rPr>
              <w:t xml:space="preserve"> for a comparable bill</w:t>
            </w:r>
          </w:p>
        </w:tc>
        <w:tc>
          <w:tcPr>
            <w:tcW w:type="dxa" w:w="2880"/>
          </w:tcPr>
          <w:p>
            <w:r>
              <w:rPr>
                <w:b w:val="0"/>
                <w:i w:val="0"/>
                <w:strike w:val="0"/>
              </w:rPr>
              <w:t>Policy-development team</w:t>
            </w:r>
          </w:p>
        </w:tc>
        <w:tc>
          <w:tcPr>
            <w:tcW w:type="dxa" w:w="2880"/>
          </w:tcPr>
          <w:p>
            <w:r>
              <w:rPr>
                <w:b w:val="0"/>
                <w:i w:val="0"/>
                <w:strike w:val="0"/>
              </w:rPr>
              <w:t>Open, and cheap to close</w:t>
            </w:r>
          </w:p>
        </w:tc>
      </w:tr>
      <w:tr>
        <w:tc>
          <w:tcPr>
            <w:tcW w:type="dxa" w:w="2880"/>
          </w:tcPr>
          <w:p>
            <w:r>
              <w:rPr>
                <w:b/>
                <w:i w:val="0"/>
                <w:strike w:val="0"/>
              </w:rPr>
              <w:t>Independent read of the package</w:t>
            </w:r>
          </w:p>
        </w:tc>
        <w:tc>
          <w:tcPr>
            <w:tcW w:type="dxa" w:w="2880"/>
          </w:tcPr>
          <w:p>
            <w:r>
              <w:rPr>
                <w:b w:val="0"/>
                <w:i w:val="0"/>
                <w:strike w:val="0"/>
              </w:rPr>
              <w:t>Independent reviewer / veterans' legal counsel</w:t>
            </w:r>
          </w:p>
        </w:tc>
        <w:tc>
          <w:tcPr>
            <w:tcW w:type="dxa" w:w="2880"/>
          </w:tcPr>
          <w:p>
            <w:r>
              <w:rPr>
                <w:b w:val="0"/>
                <w:i w:val="0"/>
                <w:strike w:val="0"/>
              </w:rPr>
              <w:t>Open. MOO-260 was internal, not independent</w:t>
            </w:r>
          </w:p>
        </w:tc>
      </w:tr>
      <w:tr>
        <w:tc>
          <w:tcPr>
            <w:tcW w:type="dxa" w:w="2880"/>
          </w:tcPr>
          <w:p>
            <w:r>
              <w:rPr>
                <w:b/>
                <w:i w:val="0"/>
                <w:strike w:val="0"/>
              </w:rPr>
              <w:t>Conversion to DLS drafting convention</w:t>
            </w:r>
            <w:r>
              <w:rPr>
                <w:b w:val="0"/>
                <w:i w:val="0"/>
                <w:strike w:val="0"/>
              </w:rPr>
              <w:t xml:space="preserve"> (underscore/strikethrough)</w:t>
            </w:r>
          </w:p>
        </w:tc>
        <w:tc>
          <w:tcPr>
            <w:tcW w:type="dxa" w:w="2880"/>
          </w:tcPr>
          <w:p>
            <w:r>
              <w:rPr>
                <w:b w:val="0"/>
                <w:i w:val="0"/>
                <w:strike w:val="0"/>
              </w:rPr>
              <w:t>Division of Legislative Services</w:t>
            </w:r>
          </w:p>
        </w:tc>
        <w:tc>
          <w:tcPr>
            <w:tcW w:type="dxa" w:w="2880"/>
          </w:tcPr>
          <w:p>
            <w:r>
              <w:rPr>
                <w:b w:val="0"/>
                <w:i w:val="0"/>
                <w:strike w:val="0"/>
              </w:rPr>
              <w:t>Expected at introduction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