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Independent Review — Guided Walk-Through (Scenario Explorer)</w:t>
      </w:r>
    </w:p>
    <w:p>
      <w:r>
        <w:rPr>
          <w:b/>
          <w:i w:val="0"/>
          <w:strike w:val="0"/>
        </w:rPr>
        <w:t>Issue:</w:t>
      </w:r>
      <w:r>
        <w:rPr>
          <w:b w:val="0"/>
          <w:i w:val="0"/>
          <w:strike w:val="0"/>
        </w:rPr>
        <w:t xml:space="preserve"> MOO-271 (independent adversarial review of the guided walk-through) · reviewed against bill version 1.4, package version 1.5 </w:t>
      </w:r>
      <w:r>
        <w:rPr>
          <w:b/>
          <w:i w:val="0"/>
          <w:strike w:val="0"/>
        </w:rPr>
        <w:t>Prepared by Policy Development Team using legal, policy, and financial analysis tools, pending review by veterans' legal counsel.</w:t>
      </w:r>
      <w:r>
        <w:rPr>
          <w:b w:val="0"/>
          <w:i w:val="0"/>
          <w:strike w:val="0"/>
        </w:rPr>
        <w:t xml:space="preserve"> </w:t>
      </w:r>
      <w:r>
        <w:rPr>
          <w:b/>
          <w:i w:val="0"/>
          <w:strike w:val="0"/>
        </w:rPr>
        <w:t>Date:</w:t>
      </w:r>
      <w:r>
        <w:rPr>
          <w:b w:val="0"/>
          <w:i w:val="0"/>
          <w:strike w:val="0"/>
        </w:rPr>
        <w:t xml:space="preserve"> October 20, 2026 </w:t>
      </w:r>
      <w:r>
        <w:rPr>
          <w:b/>
          <w:i w:val="0"/>
          <w:strike w:val="0"/>
        </w:rPr>
        <w:t>Materials reviewed:</w:t>
      </w:r>
      <w:r>
        <w:rPr>
          <w:b w:val="0"/>
          <w:i w:val="0"/>
          <w:strike w:val="0"/>
        </w:rPr>
        <w:t xml:space="preserve"> </w:t>
      </w:r>
      <w:r>
        <w:rPr>
          <w:rFonts w:ascii="Consolas" w:hAnsi="Consolas"/>
          <w:b w:val="0"/>
          <w:i w:val="0"/>
          <w:strike w:val="0"/>
          <w:color w:val="303030"/>
          <w:sz w:val="19"/>
        </w:rPr>
        <w:t>explorer/js/walkthrough.js</w:t>
      </w:r>
      <w:r>
        <w:rPr>
          <w:b w:val="0"/>
          <w:i w:val="0"/>
          <w:strike w:val="0"/>
        </w:rPr>
        <w:t xml:space="preserve">, </w:t>
      </w:r>
      <w:r>
        <w:rPr>
          <w:rFonts w:ascii="Consolas" w:hAnsi="Consolas"/>
          <w:b w:val="0"/>
          <w:i w:val="0"/>
          <w:strike w:val="0"/>
          <w:color w:val="303030"/>
          <w:sz w:val="19"/>
        </w:rPr>
        <w:t>explorer/walkthrough.html</w:t>
      </w:r>
      <w:r>
        <w:rPr>
          <w:b w:val="0"/>
          <w:i w:val="0"/>
          <w:strike w:val="0"/>
        </w:rPr>
        <w:t xml:space="preserve">, </w:t>
      </w:r>
      <w:r>
        <w:rPr>
          <w:rFonts w:ascii="Consolas" w:hAnsi="Consolas"/>
          <w:b w:val="0"/>
          <w:i w:val="0"/>
          <w:strike w:val="0"/>
          <w:color w:val="303030"/>
          <w:sz w:val="19"/>
        </w:rPr>
        <w:t>explorer/dist/walkthrough-standalone.html</w:t>
      </w:r>
      <w:r>
        <w:rPr>
          <w:b w:val="0"/>
          <w:i w:val="0"/>
          <w:strike w:val="0"/>
        </w:rPr>
        <w:t xml:space="preserve">, the in-dashboard drawer in </w:t>
      </w:r>
      <w:r>
        <w:rPr>
          <w:rFonts w:ascii="Consolas" w:hAnsi="Consolas"/>
          <w:b w:val="0"/>
          <w:i w:val="0"/>
          <w:strike w:val="0"/>
          <w:color w:val="303030"/>
          <w:sz w:val="19"/>
        </w:rPr>
        <w:t>explorer/index.html</w:t>
      </w:r>
      <w:r>
        <w:rPr>
          <w:b w:val="0"/>
          <w:i w:val="0"/>
          <w:strike w:val="0"/>
        </w:rPr>
        <w:t xml:space="preserve"> and </w:t>
      </w:r>
      <w:r>
        <w:rPr>
          <w:rFonts w:ascii="Consolas" w:hAnsi="Consolas"/>
          <w:b w:val="0"/>
          <w:i w:val="0"/>
          <w:strike w:val="0"/>
          <w:color w:val="303030"/>
          <w:sz w:val="19"/>
        </w:rPr>
        <w:t>explorer/js/ui.js</w:t>
      </w:r>
      <w:r>
        <w:rPr>
          <w:b w:val="0"/>
          <w:i w:val="0"/>
          <w:strike w:val="0"/>
        </w:rPr>
        <w:t xml:space="preserve"> (lines 1291–1428), </w:t>
      </w:r>
      <w:r>
        <w:rPr>
          <w:rFonts w:ascii="Consolas" w:hAnsi="Consolas"/>
          <w:b w:val="0"/>
          <w:i w:val="0"/>
          <w:strike w:val="0"/>
          <w:color w:val="303030"/>
          <w:sz w:val="19"/>
        </w:rPr>
        <w:t>explorer/css/explorer.css</w:t>
      </w:r>
      <w:r>
        <w:rPr>
          <w:b w:val="0"/>
          <w:i w:val="0"/>
          <w:strike w:val="0"/>
        </w:rPr>
        <w:t xml:space="preserve"> print block, </w:t>
      </w:r>
      <w:r>
        <w:rPr>
          <w:rFonts w:ascii="Consolas" w:hAnsi="Consolas"/>
          <w:b w:val="0"/>
          <w:i w:val="0"/>
          <w:strike w:val="0"/>
          <w:color w:val="303030"/>
          <w:sz w:val="19"/>
        </w:rPr>
        <w:t>explorer/build_standalone.py</w:t>
      </w:r>
      <w:r>
        <w:rPr>
          <w:b w:val="0"/>
          <w:i w:val="0"/>
          <w:strike w:val="0"/>
        </w:rPr>
        <w:t xml:space="preserve">, </w:t>
      </w:r>
      <w:r>
        <w:rPr>
          <w:rFonts w:ascii="Consolas" w:hAnsi="Consolas"/>
          <w:b w:val="0"/>
          <w:i w:val="0"/>
          <w:strike w:val="0"/>
          <w:color w:val="303030"/>
          <w:sz w:val="19"/>
        </w:rPr>
        <w:t>explorer/js/engine.js</w:t>
      </w:r>
      <w:r>
        <w:rPr>
          <w:b w:val="0"/>
          <w:i w:val="0"/>
          <w:strike w:val="0"/>
        </w:rPr>
        <w:t xml:space="preserve">, </w:t>
      </w:r>
      <w:r>
        <w:rPr>
          <w:rFonts w:ascii="Consolas" w:hAnsi="Consolas"/>
          <w:b w:val="0"/>
          <w:i w:val="0"/>
          <w:strike w:val="0"/>
          <w:color w:val="303030"/>
          <w:sz w:val="19"/>
        </w:rPr>
        <w:t>explorer/js/registry.js</w:t>
      </w:r>
      <w:r>
        <w:rPr>
          <w:b w:val="0"/>
          <w:i w:val="0"/>
          <w:strike w:val="0"/>
        </w:rPr>
        <w:t xml:space="preserve">, </w:t>
      </w:r>
      <w:r>
        <w:rPr>
          <w:rFonts w:ascii="Consolas" w:hAnsi="Consolas"/>
          <w:b w:val="0"/>
          <w:i w:val="0"/>
          <w:strike w:val="0"/>
          <w:color w:val="303030"/>
          <w:sz w:val="19"/>
        </w:rPr>
        <w:t>explorer/methodology.html</w:t>
      </w:r>
      <w:r>
        <w:rPr>
          <w:b w:val="0"/>
          <w:i w:val="0"/>
          <w:strike w:val="0"/>
        </w:rPr>
        <w:t xml:space="preserve"> and </w:t>
      </w:r>
      <w:r>
        <w:rPr>
          <w:rFonts w:ascii="Consolas" w:hAnsi="Consolas"/>
          <w:b w:val="0"/>
          <w:i w:val="0"/>
          <w:strike w:val="0"/>
          <w:color w:val="303030"/>
          <w:sz w:val="19"/>
        </w:rPr>
        <w:t>explorer/index.html</w:t>
      </w:r>
      <w:r>
        <w:rPr>
          <w:b w:val="0"/>
          <w:i w:val="0"/>
          <w:strike w:val="0"/>
        </w:rPr>
        <w:t xml:space="preserve"> where the walk-through makes a claim about them, </w:t>
      </w:r>
      <w:r>
        <w:rPr>
          <w:rFonts w:ascii="Consolas" w:hAnsi="Consolas"/>
          <w:b w:val="0"/>
          <w:i w:val="0"/>
          <w:strike w:val="0"/>
          <w:color w:val="303030"/>
          <w:sz w:val="19"/>
        </w:rPr>
        <w:t>fiscal-model/out/T1-price-vs-value.csv</w:t>
      </w:r>
      <w:r>
        <w:rPr>
          <w:b w:val="0"/>
          <w:i w:val="0"/>
          <w:strike w:val="0"/>
        </w:rPr>
        <w:t xml:space="preserve">, </w:t>
      </w:r>
      <w:r>
        <w:rPr>
          <w:rFonts w:ascii="Consolas" w:hAnsi="Consolas"/>
          <w:b w:val="0"/>
          <w:i w:val="0"/>
          <w:strike w:val="0"/>
          <w:color w:val="303030"/>
          <w:sz w:val="19"/>
        </w:rPr>
        <w:t>T2b-decision4.csv</w:t>
      </w:r>
      <w:r>
        <w:rPr>
          <w:b w:val="0"/>
          <w:i w:val="0"/>
          <w:strike w:val="0"/>
        </w:rPr>
        <w:t xml:space="preserve">, </w:t>
      </w:r>
      <w:r>
        <w:rPr>
          <w:rFonts w:ascii="Consolas" w:hAnsi="Consolas"/>
          <w:b w:val="0"/>
          <w:i w:val="0"/>
          <w:strike w:val="0"/>
          <w:color w:val="303030"/>
          <w:sz w:val="19"/>
        </w:rPr>
        <w:t>out/explorer-baseline.json</w:t>
      </w:r>
      <w:r>
        <w:rPr>
          <w:b w:val="0"/>
          <w:i w:val="0"/>
          <w:strike w:val="0"/>
        </w:rPr>
        <w:t xml:space="preserve">, and </w:t>
      </w:r>
      <w:r>
        <w:rPr>
          <w:rFonts w:ascii="Consolas" w:hAnsi="Consolas"/>
          <w:b w:val="0"/>
          <w:i w:val="0"/>
          <w:strike w:val="0"/>
          <w:color w:val="303030"/>
          <w:sz w:val="19"/>
        </w:rPr>
        <w:t>source-markdown/README.md</w:t>
      </w:r>
      <w:r>
        <w:rPr>
          <w:b w:val="0"/>
          <w:i w:val="0"/>
          <w:strike w:val="0"/>
        </w:rPr>
        <w:t xml:space="preserve">, </w:t>
      </w:r>
      <w:r>
        <w:rPr>
          <w:rFonts w:ascii="Consolas" w:hAnsi="Consolas"/>
          <w:b w:val="0"/>
          <w:i w:val="0"/>
          <w:strike w:val="0"/>
          <w:color w:val="303030"/>
          <w:sz w:val="19"/>
        </w:rPr>
        <w:t>01-bill-draft.md</w:t>
      </w:r>
      <w:r>
        <w:rPr>
          <w:b w:val="0"/>
          <w:i w:val="0"/>
          <w:strike w:val="0"/>
        </w:rPr>
        <w:t xml:space="preserve">, </w:t>
      </w:r>
      <w:r>
        <w:rPr>
          <w:rFonts w:ascii="Consolas" w:hAnsi="Consolas"/>
          <w:b w:val="0"/>
          <w:i w:val="0"/>
          <w:strike w:val="0"/>
          <w:color w:val="303030"/>
          <w:sz w:val="19"/>
        </w:rPr>
        <w:t>02-legal-analysis-memo.md</w:t>
      </w:r>
      <w:r>
        <w:rPr>
          <w:b w:val="0"/>
          <w:i w:val="0"/>
          <w:strike w:val="0"/>
        </w:rPr>
        <w:t xml:space="preserve">, </w:t>
      </w:r>
      <w:r>
        <w:rPr>
          <w:rFonts w:ascii="Consolas" w:hAnsi="Consolas"/>
          <w:b w:val="0"/>
          <w:i w:val="0"/>
          <w:strike w:val="0"/>
          <w:color w:val="303030"/>
          <w:sz w:val="19"/>
        </w:rPr>
        <w:t>08-fiscal-model-memo.md</w:t>
      </w:r>
      <w:r>
        <w:rPr>
          <w:b w:val="0"/>
          <w:i w:val="0"/>
          <w:strike w:val="0"/>
        </w:rPr>
        <w:t xml:space="preserve">, </w:t>
      </w:r>
      <w:r>
        <w:rPr>
          <w:rFonts w:ascii="Consolas" w:hAnsi="Consolas"/>
          <w:b w:val="0"/>
          <w:i w:val="0"/>
          <w:strike w:val="0"/>
          <w:color w:val="303030"/>
          <w:sz w:val="19"/>
        </w:rPr>
        <w:t>10-counsel-review-explorer.md</w:t>
      </w:r>
      <w:r>
        <w:rPr>
          <w:b w:val="0"/>
          <w:i w:val="0"/>
          <w:strike w:val="0"/>
        </w:rPr>
        <w:t>.</w:t>
      </w:r>
    </w:p>
    <w:p>
      <w:r>
        <w:rPr>
          <w:b/>
          <w:i w:val="0"/>
          <w:strike w:val="0"/>
        </w:rPr>
        <w:t>Method.</w:t>
      </w:r>
      <w:r>
        <w:rPr>
          <w:b w:val="0"/>
          <w:i w:val="0"/>
          <w:strike w:val="0"/>
        </w:rPr>
        <w:t xml:space="preserve"> The engine was loaded under Node against the committed </w:t>
      </w:r>
      <w:r>
        <w:rPr>
          <w:rFonts w:ascii="Consolas" w:hAnsi="Consolas"/>
          <w:b w:val="0"/>
          <w:i w:val="0"/>
          <w:strike w:val="0"/>
          <w:color w:val="303030"/>
          <w:sz w:val="19"/>
        </w:rPr>
        <w:t>data/baseline.js</w:t>
      </w:r>
      <w:r>
        <w:rPr>
          <w:b w:val="0"/>
          <w:i w:val="0"/>
          <w:strike w:val="0"/>
        </w:rPr>
        <w:t xml:space="preserve"> and </w:t>
      </w:r>
      <w:r>
        <w:rPr>
          <w:rFonts w:ascii="Consolas" w:hAnsi="Consolas"/>
          <w:b w:val="0"/>
          <w:i w:val="0"/>
          <w:strike w:val="0"/>
          <w:color w:val="303030"/>
          <w:sz w:val="19"/>
        </w:rPr>
        <w:t>data/cells.js</w:t>
      </w:r>
      <w:r>
        <w:rPr>
          <w:b w:val="0"/>
          <w:i w:val="0"/>
          <w:strike w:val="0"/>
        </w:rPr>
        <w:t xml:space="preserve"> and driven directly with my own probe harness, so that every figure quoted in the walk-through was re-derived from the model rather than read off a panel. The </w:t>
      </w:r>
      <w:r>
        <w:rPr>
          <w:b/>
          <w:i w:val="0"/>
          <w:strike w:val="0"/>
        </w:rPr>
        <w:t>shipped</w:t>
      </w:r>
      <w:r>
        <w:rPr>
          <w:b w:val="0"/>
          <w:i w:val="0"/>
          <w:strike w:val="0"/>
        </w:rPr>
        <w:t xml:space="preserve"> </w:t>
      </w:r>
      <w:r>
        <w:rPr>
          <w:rFonts w:ascii="Consolas" w:hAnsi="Consolas"/>
          <w:b w:val="0"/>
          <w:i w:val="0"/>
          <w:strike w:val="0"/>
          <w:color w:val="303030"/>
          <w:sz w:val="19"/>
        </w:rPr>
        <w:t>dist/walkthrough-standalone.html</w:t>
      </w:r>
      <w:r>
        <w:rPr>
          <w:b w:val="0"/>
          <w:i w:val="0"/>
          <w:strike w:val="0"/>
        </w:rPr>
        <w:t xml:space="preserve"> was then copied </w:t>
      </w:r>
      <w:r>
        <w:rPr>
          <w:b/>
          <w:i w:val="0"/>
          <w:strike w:val="0"/>
        </w:rPr>
        <w:t>alone into an empty directory</w:t>
      </w:r>
      <w:r>
        <w:rPr>
          <w:b w:val="0"/>
          <w:i w:val="0"/>
          <w:strike w:val="0"/>
        </w:rPr>
        <w:t xml:space="preserve"> and rendered in headless Chrome: cross-links were clicked, the print stylesheet was exercised under emulated print media at both A4 and US Letter page boxes, and the in-dashboard drawer was driven to step 5 at four viewport sizes to measure what a reader sees without scrolling. Statutory pinpoints were checked against the operative bill text in </w:t>
      </w:r>
      <w:r>
        <w:rPr>
          <w:rFonts w:ascii="Consolas" w:hAnsi="Consolas"/>
          <w:b w:val="0"/>
          <w:i w:val="0"/>
          <w:strike w:val="0"/>
          <w:color w:val="303030"/>
          <w:sz w:val="19"/>
        </w:rPr>
        <w:t>01-bill-draft.md</w:t>
      </w:r>
      <w:r>
        <w:rPr>
          <w:b w:val="0"/>
          <w:i w:val="0"/>
          <w:strike w:val="0"/>
        </w:rPr>
        <w:t xml:space="preserve"> and the terminology table in </w:t>
      </w:r>
      <w:r>
        <w:rPr>
          <w:rFonts w:ascii="Consolas" w:hAnsi="Consolas"/>
          <w:b w:val="0"/>
          <w:i w:val="0"/>
          <w:strike w:val="0"/>
          <w:color w:val="303030"/>
          <w:sz w:val="19"/>
        </w:rPr>
        <w:t>02-legal-analysis-memo.md</w:t>
      </w:r>
      <w:r>
        <w:rPr>
          <w:b w:val="0"/>
          <w:i w:val="0"/>
          <w:strike w:val="0"/>
        </w:rPr>
        <w:t xml:space="preserve">. </w:t>
      </w:r>
      <w:r>
        <w:rPr>
          <w:b/>
          <w:i w:val="0"/>
          <w:strike w:val="0"/>
        </w:rPr>
        <w:t>Nothing was modified.</w:t>
      </w:r>
      <w:r>
        <w:rPr>
          <w:b w:val="0"/>
          <w:i w:val="0"/>
          <w:strike w:val="0"/>
        </w:rPr>
        <w:t xml:space="preserve"> The committed harnesses were not re-run and are not reported as a finding.</w:t>
      </w:r>
    </w:p>
    <w:p>
      <w:pPr>
        <w:spacing w:after="80"/>
        <w:ind w:left="480"/>
      </w:pPr>
      <w:r>
        <w:rPr>
          <w:b/>
          <w:i w:val="0"/>
          <w:strike w:val="0"/>
          <w:sz w:val="20"/>
        </w:rPr>
        <w:t>This is internal risk analysis, not legal advice, and no counsel has cleared this document.</w:t>
      </w:r>
      <w:r>
        <w:rPr>
          <w:b w:val="0"/>
          <w:i w:val="0"/>
          <w:strike w:val="0"/>
          <w:sz w:val="20"/>
        </w:rPr>
        <w:t xml:space="preserve"> I am not counsel of record and this review is not a legal opinion the organisation can rely on. Every finding is about text, numbers and evidence.</w:t>
      </w:r>
    </w:p>
    <w:p>
      <w:pPr>
        <w:jc w:val="center"/>
      </w:pPr>
      <w:r>
        <w:rPr>
          <w:color w:val="909090"/>
          <w:sz w:val="18"/>
        </w:rPr>
        <w:t>* * *</w:t>
      </w:r>
    </w:p>
    <w:p>
      <w:pPr>
        <w:pStyle w:val="Heading2"/>
      </w:pPr>
      <w:r>
        <w:rPr>
          <w:b w:val="0"/>
          <w:i w:val="0"/>
          <w:strike w:val="0"/>
        </w:rPr>
        <w:t>Verdict</w:t>
      </w:r>
    </w:p>
    <w:p>
      <w:r>
        <w:rPr>
          <w:b/>
          <w:i w:val="0"/>
          <w:strike w:val="0"/>
        </w:rPr>
        <w:t>Twenty-seven findings: three blockers, eight material, eight moderate, eight minor.</w:t>
      </w:r>
      <w:r>
        <w:rPr>
          <w:b w:val="0"/>
          <w:i w:val="0"/>
          <w:strike w:val="0"/>
        </w:rPr>
        <w:t xml:space="preserve"> Twenty-three of the twenty-seven are framing defects. That ratio is not a comment on care taken; it is what this artifact is. It does not compute anything, so it cannot be arithmetically wrong — it can only be narratively wrong, and it is, in three places that matter.</w:t>
      </w:r>
    </w:p>
    <w:p>
      <w:r>
        <w:rPr>
          <w:b/>
          <w:i w:val="0"/>
          <w:strike w:val="0"/>
        </w:rPr>
        <w:t>Every figure the model produces checks.</w:t>
      </w:r>
      <w:r>
        <w:rPr>
          <w:b w:val="0"/>
          <w:i w:val="0"/>
          <w:strike w:val="0"/>
        </w:rPr>
        <w:t xml:space="preserve"> This is worth stating first and plainly, because it is the part that was done well and because it bounds the rest of the review. I re-derived the quoted figures from the engine independently of the harness, and all of them close: the central case at </w:t>
      </w:r>
      <w:r>
        <w:rPr>
          <w:b/>
          <w:i w:val="0"/>
          <w:strike w:val="0"/>
        </w:rPr>
        <w:t>$7,151,771 / 0.1888 bp</w:t>
      </w:r>
      <w:r>
        <w:rPr>
          <w:b w:val="0"/>
          <w:i w:val="0"/>
          <w:strike w:val="0"/>
        </w:rPr>
        <w:t>; the full φ ladder (</w:t>
      </w:r>
      <w:r>
        <w:rPr>
          <w:b/>
          <w:i w:val="0"/>
          <w:strike w:val="0"/>
        </w:rPr>
        <w:t>$17.7377M / 0.4682 bp</w:t>
      </w:r>
      <w:r>
        <w:rPr>
          <w:b w:val="0"/>
          <w:i w:val="0"/>
          <w:strike w:val="0"/>
        </w:rPr>
        <w:t xml:space="preserve"> at φ = 0, </w:t>
      </w:r>
      <w:r>
        <w:rPr>
          <w:b/>
          <w:i w:val="0"/>
          <w:strike w:val="0"/>
        </w:rPr>
        <w:t>$12.4447M / 0.3285</w:t>
      </w:r>
      <w:r>
        <w:rPr>
          <w:b w:val="0"/>
          <w:i w:val="0"/>
          <w:strike w:val="0"/>
        </w:rPr>
        <w:t xml:space="preserve">, </w:t>
      </w:r>
      <w:r>
        <w:rPr>
          <w:b/>
          <w:i w:val="0"/>
          <w:strike w:val="0"/>
        </w:rPr>
        <w:t>$7.1518M / 0.1888</w:t>
      </w:r>
      <w:r>
        <w:rPr>
          <w:b w:val="0"/>
          <w:i w:val="0"/>
          <w:strike w:val="0"/>
        </w:rPr>
        <w:t xml:space="preserve">, </w:t>
      </w:r>
      <w:r>
        <w:rPr>
          <w:b/>
          <w:i w:val="0"/>
          <w:strike w:val="0"/>
        </w:rPr>
        <w:t>$1.8588M / 0.0491</w:t>
      </w:r>
      <w:r>
        <w:rPr>
          <w:b w:val="0"/>
          <w:i w:val="0"/>
          <w:strike w:val="0"/>
        </w:rPr>
        <w:t xml:space="preserve">, </w:t>
      </w:r>
      <w:r>
        <w:rPr>
          <w:b/>
          <w:i w:val="0"/>
          <w:strike w:val="0"/>
        </w:rPr>
        <w:t>−$3.4341M / −0.0906</w:t>
      </w:r>
      <w:r>
        <w:rPr>
          <w:b w:val="0"/>
          <w:i w:val="0"/>
          <w:strike w:val="0"/>
        </w:rPr>
        <w:t xml:space="preserve">) and its zero crossing at </w:t>
      </w:r>
      <w:r>
        <w:rPr>
          <w:b/>
          <w:i w:val="0"/>
          <w:strike w:val="0"/>
        </w:rPr>
        <w:t>φ = 0.8378</w:t>
      </w:r>
      <w:r>
        <w:rPr>
          <w:b w:val="0"/>
          <w:i w:val="0"/>
          <w:strike w:val="0"/>
        </w:rPr>
        <w:t>; the take-up ladder (</w:t>
      </w:r>
      <w:r>
        <w:rPr>
          <w:b/>
          <w:i w:val="0"/>
          <w:strike w:val="0"/>
        </w:rPr>
        <w:t>55.5 / 111.0 / 221.9 / 332.9 / 554.9</w:t>
      </w:r>
      <w:r>
        <w:rPr>
          <w:b w:val="0"/>
          <w:i w:val="0"/>
          <w:strike w:val="0"/>
        </w:rPr>
        <w:t xml:space="preserve"> participants at 0.0472 / 0.0944 / 0.1888 / 0.2832 / 0.4719 bp); the board's worked question at </w:t>
      </w:r>
      <w:r>
        <w:rPr>
          <w:b/>
          <w:i w:val="0"/>
          <w:strike w:val="0"/>
        </w:rPr>
        <w:t>$12.8755M / 0.3399 bp / $15.7981M payroll / +$2.9226M combined</w:t>
      </w:r>
      <w:r>
        <w:rPr>
          <w:b w:val="0"/>
          <w:i w:val="0"/>
          <w:strike w:val="0"/>
        </w:rPr>
        <w:t xml:space="preserve">, identical in the pension column at ρ = 100%; the compound-adverse case at </w:t>
      </w:r>
      <w:r>
        <w:rPr>
          <w:b/>
          <w:i w:val="0"/>
          <w:strike w:val="0"/>
        </w:rPr>
        <w:t>$43.7863M / 1.1558 bp</w:t>
      </w:r>
      <w:r>
        <w:rPr>
          <w:b w:val="0"/>
          <w:i w:val="0"/>
          <w:strike w:val="0"/>
        </w:rPr>
        <w:t xml:space="preserve">; the funnel head at </w:t>
      </w:r>
      <w:r>
        <w:rPr>
          <w:b/>
          <w:i w:val="0"/>
          <w:strike w:val="0"/>
        </w:rPr>
        <w:t>366,289</w:t>
      </w:r>
      <w:r>
        <w:rPr>
          <w:b w:val="0"/>
          <w:i w:val="0"/>
          <w:strike w:val="0"/>
        </w:rPr>
        <w:t xml:space="preserve"> and its six narrowing screens with provenance exactly as described; </w:t>
      </w:r>
      <w:r>
        <w:rPr>
          <w:b/>
          <w:i w:val="0"/>
          <w:strike w:val="0"/>
        </w:rPr>
        <w:t>$403,803</w:t>
      </w:r>
      <w:r>
        <w:rPr>
          <w:b w:val="0"/>
          <w:i w:val="0"/>
          <w:strike w:val="0"/>
        </w:rPr>
        <w:t xml:space="preserve"> for the health insurance credit; </w:t>
      </w:r>
      <w:r>
        <w:rPr>
          <w:b/>
          <w:i w:val="0"/>
          <w:strike w:val="0"/>
        </w:rPr>
        <w:t>−$574,123</w:t>
      </w:r>
      <w:r>
        <w:rPr>
          <w:b w:val="0"/>
          <w:i w:val="0"/>
          <w:strike w:val="0"/>
        </w:rPr>
        <w:t xml:space="preserve"> for the Plan 2 aggregate; </w:t>
      </w:r>
      <w:r>
        <w:rPr>
          <w:b/>
          <w:i w:val="0"/>
          <w:strike w:val="0"/>
        </w:rPr>
        <w:t>$929,400 / 0.0245 bp</w:t>
      </w:r>
      <w:r>
        <w:rPr>
          <w:b w:val="0"/>
          <w:i w:val="0"/>
          <w:strike w:val="0"/>
        </w:rPr>
        <w:t xml:space="preserve"> low and </w:t>
      </w:r>
      <w:r>
        <w:rPr>
          <w:b/>
          <w:i w:val="0"/>
          <w:strike w:val="0"/>
        </w:rPr>
        <w:t>780.9 participants / $25.1633M / 0.6642 bp</w:t>
      </w:r>
      <w:r>
        <w:rPr>
          <w:b w:val="0"/>
          <w:i w:val="0"/>
          <w:strike w:val="0"/>
        </w:rPr>
        <w:t xml:space="preserve"> high. Profile A returns </w:t>
      </w:r>
      <w:r>
        <w:rPr>
          <w:b/>
          <w:i w:val="0"/>
          <w:strike w:val="0"/>
        </w:rPr>
        <w:t>+$341,065</w:t>
      </w:r>
      <w:r>
        <w:rPr>
          <w:b w:val="0"/>
          <w:i w:val="0"/>
          <w:strike w:val="0"/>
        </w:rPr>
        <w:t xml:space="preserve"> and </w:t>
      </w:r>
      <w:r>
        <w:rPr>
          <w:b/>
          <w:i w:val="0"/>
          <w:strike w:val="0"/>
        </w:rPr>
        <w:t>−$21,500</w:t>
      </w:r>
      <w:r>
        <w:rPr>
          <w:b w:val="0"/>
          <w:i w:val="0"/>
          <w:strike w:val="0"/>
        </w:rPr>
        <w:t xml:space="preserve"> to the dollar. I could not find a quoted number that the model does not produce at the stated settings. The one arithmetic defect anywhere in the document is a hand-computed illustration that no panel asserts and no test can reach — finding </w:t>
      </w:r>
      <w:r>
        <w:rPr>
          <w:b/>
          <w:i w:val="0"/>
          <w:strike w:val="0"/>
        </w:rPr>
        <w:t>m-08</w:t>
      </w:r>
      <w:r>
        <w:rPr>
          <w:b w:val="0"/>
          <w:i w:val="0"/>
          <w:strike w:val="0"/>
        </w:rPr>
        <w:t>.</w:t>
      </w:r>
    </w:p>
    <w:p>
      <w:r>
        <w:rPr>
          <w:b/>
          <w:i w:val="0"/>
          <w:strike w:val="0"/>
        </w:rPr>
        <w:t>What fails is the distance between a correct number and what the reader is told it means — and the specific failure mode is that the walk-through is systematically thinner than the panels it narrates.</w:t>
      </w:r>
      <w:r>
        <w:rPr>
          <w:b w:val="0"/>
          <w:i w:val="0"/>
          <w:strike w:val="0"/>
        </w:rPr>
        <w:t xml:space="preserve"> Three times, the dashboard carries a qualifier and the walk-through drops it:</w:t>
      </w:r>
    </w:p>
    <w:p>
      <w:pPr>
        <w:pStyle w:val="ListBullet"/>
      </w:pPr>
      <w:r>
        <w:rPr>
          <w:b w:val="0"/>
          <w:i w:val="0"/>
          <w:strike w:val="0"/>
        </w:rPr>
        <w:t xml:space="preserve">Panel E prints </w:t>
      </w:r>
      <w:r>
        <w:rPr>
          <w:rFonts w:ascii="Consolas" w:hAnsi="Consolas"/>
          <w:b w:val="0"/>
          <w:i w:val="0"/>
          <w:strike w:val="0"/>
          <w:color w:val="303030"/>
          <w:sz w:val="19"/>
        </w:rPr>
        <w:t>$341,065</w:t>
      </w:r>
      <w:r>
        <w:rPr>
          <w:b w:val="0"/>
          <w:i w:val="0"/>
          <w:strike w:val="0"/>
        </w:rPr>
        <w:t xml:space="preserve"> as </w:t>
      </w:r>
      <w:r>
        <w:rPr>
          <w:b w:val="0"/>
          <w:i/>
          <w:strike w:val="0"/>
        </w:rPr>
        <w:t>"the most favorable of the seven published profiles—not a cost per veteran and not a model-wide maximum"</w:t>
      </w:r>
      <w:r>
        <w:rPr>
          <w:b w:val="0"/>
          <w:i w:val="0"/>
          <w:strike w:val="0"/>
        </w:rPr>
        <w:t xml:space="preserve"> and gives the grid's ~$419,000 ceiling. </w:t>
      </w:r>
      <w:r>
        <w:rPr>
          <w:b/>
          <w:i w:val="0"/>
          <w:strike w:val="0"/>
        </w:rPr>
        <w:t>Step 3 carries none of that</w:t>
      </w:r>
      <w:r>
        <w:rPr>
          <w:b w:val="0"/>
          <w:i w:val="0"/>
          <w:strike w:val="0"/>
        </w:rPr>
        <w:t xml:space="preserve">, and labels the figure with the one word — </w:t>
      </w:r>
      <w:r>
        <w:rPr>
          <w:b w:val="0"/>
          <w:i/>
          <w:strike w:val="0"/>
        </w:rPr>
        <w:t>"frozen-service"</w:t>
      </w:r>
      <w:r>
        <w:rPr>
          <w:b w:val="0"/>
          <w:i w:val="0"/>
          <w:strike w:val="0"/>
        </w:rPr>
        <w:t xml:space="preserve"> — that package version 1.4 formally withdrew for this figure.</w:t>
      </w:r>
    </w:p>
    <w:p>
      <w:pPr>
        <w:pStyle w:val="ListBullet"/>
      </w:pPr>
      <w:r>
        <w:rPr>
          <w:b w:val="0"/>
          <w:i w:val="0"/>
          <w:strike w:val="0"/>
        </w:rPr>
        <w:t xml:space="preserve">Panel F prints </w:t>
      </w:r>
      <w:r>
        <w:rPr>
          <w:b w:val="0"/>
          <w:i/>
          <w:strike w:val="0"/>
        </w:rPr>
        <w:t>"φ guard band: ASM-22's documented range is 0.25–0.75, while the control and this tornado span 0–1."</w:t>
      </w:r>
      <w:r>
        <w:rPr>
          <w:b w:val="0"/>
          <w:i w:val="0"/>
          <w:strike w:val="0"/>
        </w:rPr>
        <w:t xml:space="preserve"> </w:t>
      </w:r>
      <w:r>
        <w:rPr>
          <w:b/>
          <w:i w:val="0"/>
          <w:strike w:val="0"/>
        </w:rPr>
        <w:t>Step 8 carries none of that</w:t>
      </w:r>
      <w:r>
        <w:rPr>
          <w:b w:val="0"/>
          <w:i w:val="0"/>
          <w:strike w:val="0"/>
        </w:rPr>
        <w:t>, and draws a ranking conclusion from bars whose swing bases it never discloses.</w:t>
      </w:r>
    </w:p>
    <w:p>
      <w:pPr>
        <w:pStyle w:val="ListBullet"/>
      </w:pPr>
      <w:r>
        <w:rPr>
          <w:b w:val="0"/>
          <w:i w:val="0"/>
          <w:strike w:val="0"/>
        </w:rPr>
        <w:t xml:space="preserve">Panel D captions tile 2 </w:t>
      </w:r>
      <w:r>
        <w:rPr>
          <w:b w:val="0"/>
          <w:i/>
          <w:strike w:val="0"/>
        </w:rPr>
        <w:t xml:space="preserve">"an employer compensation effect — </w:t>
      </w:r>
      <w:r>
        <w:rPr>
          <w:b w:val="0"/>
          <w:i/>
          <w:strike w:val="0"/>
        </w:rPr>
        <w:t>not</w:t>
      </w:r>
      <w:r>
        <w:rPr>
          <w:b w:val="0"/>
          <w:i/>
          <w:strike w:val="0"/>
        </w:rPr>
        <w:t xml:space="preserve"> a pension saving"</w:t>
      </w:r>
      <w:r>
        <w:rPr>
          <w:b w:val="0"/>
          <w:i w:val="0"/>
          <w:strike w:val="0"/>
        </w:rPr>
        <w:t xml:space="preserve"> and tile 3 </w:t>
      </w:r>
      <w:r>
        <w:rPr>
          <w:b w:val="0"/>
          <w:i/>
          <w:strike w:val="0"/>
        </w:rPr>
        <w:t>"the least reliable of the three."</w:t>
      </w:r>
      <w:r>
        <w:rPr>
          <w:b w:val="0"/>
          <w:i w:val="0"/>
          <w:strike w:val="0"/>
        </w:rPr>
        <w:t xml:space="preserve"> </w:t>
      </w:r>
      <w:r>
        <w:rPr>
          <w:b/>
          <w:i w:val="0"/>
          <w:strike w:val="0"/>
        </w:rPr>
        <w:t>Step 5's reproduction of Panel D drops both captions</w:t>
      </w:r>
      <w:r>
        <w:rPr>
          <w:b w:val="0"/>
          <w:i w:val="0"/>
          <w:strike w:val="0"/>
        </w:rPr>
        <w:t xml:space="preserve">, keeping only the three numbers and the bolded </w:t>
      </w:r>
      <w:r>
        <w:rPr>
          <w:rFonts w:ascii="Consolas" w:hAnsi="Consolas"/>
          <w:b w:val="0"/>
          <w:i w:val="0"/>
          <w:strike w:val="0"/>
          <w:color w:val="303030"/>
          <w:sz w:val="19"/>
        </w:rPr>
        <w:t>+$2.92M</w:t>
      </w:r>
      <w:r>
        <w:rPr>
          <w:b w:val="0"/>
          <w:i w:val="0"/>
          <w:strike w:val="0"/>
        </w:rPr>
        <w:t>.</w:t>
      </w:r>
    </w:p>
    <w:p>
      <w:r>
        <w:rPr>
          <w:b w:val="0"/>
          <w:i w:val="0"/>
          <w:strike w:val="0"/>
        </w:rPr>
        <w:t>That pattern matters more than any individual instance. The walk-through is the artifact that prints, that travels as a PDF, and that gets screenshotted. Where the panel is more careful than the narration, the careful version is the one that stays behind.</w:t>
      </w:r>
    </w:p>
    <w:p>
      <w:r>
        <w:rPr>
          <w:b/>
          <w:i w:val="0"/>
          <w:strike w:val="0"/>
        </w:rPr>
        <w:t>Three blockers.</w:t>
      </w:r>
      <w:r>
        <w:rPr>
          <w:b w:val="0"/>
          <w:i w:val="0"/>
          <w:strike w:val="0"/>
        </w:rPr>
        <w:t xml:space="preserve"> The first is the only one I would call serious on its own terms as a matter of substance rather than presentation: the document's statement of the gap the bill fills — in the third paragraph, in the only sentence every reader reads — misstates current law in the direction that helps the bill. The second and third are the two figures the mandate named, both failing in exactly the way the mandate anticipated.</w:t>
      </w:r>
    </w:p>
    <w:p>
      <w:r>
        <w:rPr>
          <w:b/>
          <w:i w:val="0"/>
          <w:strike w:val="0"/>
        </w:rPr>
        <w:t>On the mandate's own first question — does step 5 land?</w:t>
      </w:r>
      <w:r>
        <w:rPr>
          <w:b w:val="0"/>
          <w:i w:val="0"/>
          <w:strike w:val="0"/>
        </w:rPr>
        <w:t xml:space="preserve"> Mechanically, yes, and I tried hard to break it. </w:t>
      </w:r>
      <w:r>
        <w:rPr>
          <w:b w:val="0"/>
          <w:i/>
          <w:strike w:val="0"/>
        </w:rPr>
        <w:t>"Stop at that third row"</w:t>
      </w:r>
      <w:r>
        <w:rPr>
          <w:b w:val="0"/>
          <w:i w:val="0"/>
          <w:strike w:val="0"/>
        </w:rPr>
        <w:t xml:space="preserve"> renders 81 pixels below the </w:t>
      </w:r>
      <w:r>
        <w:rPr>
          <w:rFonts w:ascii="Consolas" w:hAnsi="Consolas"/>
          <w:b w:val="0"/>
          <w:i w:val="0"/>
          <w:strike w:val="0"/>
          <w:color w:val="303030"/>
          <w:sz w:val="19"/>
        </w:rPr>
        <w:t>+$2.92M</w:t>
      </w:r>
      <w:r>
        <w:rPr>
          <w:b w:val="0"/>
          <w:i w:val="0"/>
          <w:strike w:val="0"/>
        </w:rPr>
        <w:t xml:space="preserve"> row and is visible without scrolling in the drawer at every viewport down to 1280×800, and it falls on the same printed page as the row on both A4 and US Letter with 304 px and 936 px of page left below. The prose is good: it names the error, names the two assumptions, and gives the counterfactual ($15.80M → zero, combined → a $12.88M cost). </w:t>
      </w:r>
      <w:r>
        <w:rPr>
          <w:b/>
          <w:i w:val="0"/>
          <w:strike w:val="0"/>
        </w:rPr>
        <w:t>The explanation lands.</w:t>
      </w:r>
      <w:r>
        <w:rPr>
          <w:b w:val="0"/>
          <w:i w:val="0"/>
          <w:strike w:val="0"/>
        </w:rPr>
        <w:t xml:space="preserve"> What does not land is the table, because the table is the extractable object and it has been stripped of Panel D's own warnings. That is finding </w:t>
      </w:r>
      <w:r>
        <w:rPr>
          <w:b/>
          <w:i w:val="0"/>
          <w:strike w:val="0"/>
        </w:rPr>
        <w:t>M-02</w:t>
      </w:r>
      <w:r>
        <w:rPr>
          <w:b w:val="0"/>
          <w:i w:val="0"/>
          <w:strike w:val="0"/>
        </w:rPr>
        <w:t>, not a blocker.</w:t>
      </w:r>
    </w:p>
    <w:p>
      <w:r>
        <w:rPr>
          <w:b/>
          <w:i w:val="0"/>
          <w:strike w:val="0"/>
        </w:rPr>
        <w:t>On the mandate's second question — can a reader reach a free-looking screen by following the instructions?</w:t>
      </w:r>
      <w:r>
        <w:rPr>
          <w:b w:val="0"/>
          <w:i w:val="0"/>
          <w:strike w:val="0"/>
        </w:rPr>
        <w:t xml:space="preserve"> On the dashboard, no, and this is a genuine strength. Panel D is structurally incapable of printing a favourable headline: three separately-provenanced tiles, tile 2 captioned </w:t>
      </w:r>
      <w:r>
        <w:rPr>
          <w:b w:val="0"/>
          <w:i/>
          <w:strike w:val="0"/>
        </w:rPr>
        <w:t>not a pension saving</w:t>
      </w:r>
      <w:r>
        <w:rPr>
          <w:b w:val="0"/>
          <w:i w:val="0"/>
          <w:strike w:val="0"/>
        </w:rPr>
        <w:t xml:space="preserve">, tile 3 captioned </w:t>
      </w:r>
      <w:r>
        <w:rPr>
          <w:b w:val="0"/>
          <w:i/>
          <w:strike w:val="0"/>
        </w:rPr>
        <w:t>least reliable of the three</w:t>
      </w:r>
      <w:r>
        <w:rPr>
          <w:b w:val="0"/>
          <w:i w:val="0"/>
          <w:strike w:val="0"/>
        </w:rPr>
        <w:t xml:space="preserve">, and a standing note stating that the payroll figure </w:t>
      </w:r>
      <w:r>
        <w:rPr>
          <w:b w:val="0"/>
          <w:i/>
          <w:strike w:val="0"/>
        </w:rPr>
        <w:t>"depends entirely on a hiring assumption the Commonwealth controls and which this model cannot observe."</w:t>
      </w:r>
      <w:r>
        <w:rPr>
          <w:b w:val="0"/>
          <w:i w:val="0"/>
          <w:strike w:val="0"/>
        </w:rPr>
        <w:t xml:space="preserve"> Step 3's instruction to drag φ to 100% does produce a positive combined effect of </w:t>
      </w:r>
      <w:r>
        <w:rPr>
          <w:b/>
          <w:i w:val="0"/>
          <w:strike w:val="0"/>
        </w:rPr>
        <w:t>+$3.43M</w:t>
      </w:r>
      <w:r>
        <w:rPr>
          <w:b w:val="0"/>
          <w:i w:val="0"/>
          <w:strike w:val="0"/>
        </w:rPr>
        <w:t xml:space="preserve"> — and step 3 says so, explains it, and the panel flags the setting as outside the documented band. I could not construct a path through the walk-through's own instructions to a favourable screen without the caveat on it. The exposure is in the </w:t>
      </w:r>
      <w:r>
        <w:rPr>
          <w:b w:val="0"/>
          <w:i/>
          <w:strike w:val="0"/>
        </w:rPr>
        <w:t>printed</w:t>
      </w:r>
      <w:r>
        <w:rPr>
          <w:b w:val="0"/>
          <w:i w:val="0"/>
          <w:strike w:val="0"/>
        </w:rPr>
        <w:t xml:space="preserve"> artifact, not the tool.</w:t>
      </w:r>
    </w:p>
    <w:p>
      <w:r>
        <w:rPr>
          <w:b/>
          <w:i w:val="0"/>
          <w:strike w:val="0"/>
        </w:rPr>
        <w:t>On the mandate's third question — does the step order argue a case?</w:t>
      </w:r>
      <w:r>
        <w:rPr>
          <w:b w:val="0"/>
          <w:i w:val="0"/>
          <w:strike w:val="0"/>
        </w:rPr>
        <w:t xml:space="preserve"> The ordering is defensible, and the choice to open at </w:t>
      </w:r>
      <w:r>
        <w:rPr>
          <w:b w:val="0"/>
          <w:i/>
          <w:strike w:val="0"/>
        </w:rPr>
        <w:t>No Workforce Savings</w:t>
      </w:r>
      <w:r>
        <w:rPr>
          <w:b w:val="0"/>
          <w:i w:val="0"/>
          <w:strike w:val="0"/>
        </w:rPr>
        <w:t xml:space="preserve"> is the right one. But the adversarial characterisation is available and I would make it: the two most favourable framings sit in steps 1 and 2, inside any reader's attention budget, and the three steps carrying the bill's largest disclosed unknowns — the unquantified COLA exposure (7), the sensitivity compounding (8), and the five pre-patron conditions (10) — sit behind a stated twenty-minute read. Step 1 delivers </w:t>
      </w:r>
      <w:r>
        <w:rPr>
          <w:b w:val="0"/>
          <w:i/>
          <w:strike w:val="0"/>
        </w:rPr>
        <w:t>"to the nearest basis point, no employer's contribution rate changes"</w:t>
      </w:r>
      <w:r>
        <w:rPr>
          <w:b w:val="0"/>
          <w:i w:val="0"/>
          <w:strike w:val="0"/>
        </w:rPr>
        <w:t xml:space="preserve"> on page 2, before the reader has been told that the sign of the result is undetermined. That is finding </w:t>
      </w:r>
      <w:r>
        <w:rPr>
          <w:b/>
          <w:i w:val="0"/>
          <w:strike w:val="0"/>
        </w:rPr>
        <w:t>S-06</w:t>
      </w:r>
      <w:r>
        <w:rPr>
          <w:b w:val="0"/>
          <w:i w:val="0"/>
          <w:strike w:val="0"/>
        </w:rPr>
        <w:t>, and the fix is one clause.</w:t>
      </w:r>
    </w:p>
    <w:p>
      <w:pPr>
        <w:jc w:val="center"/>
      </w:pPr>
      <w:r>
        <w:rPr>
          <w:color w:val="909090"/>
          <w:sz w:val="18"/>
        </w:rPr>
        <w:t>* * *</w:t>
      </w:r>
    </w:p>
    <w:p>
      <w:pPr>
        <w:pStyle w:val="Heading2"/>
      </w:pPr>
      <w:r>
        <w:rPr>
          <w:b w:val="0"/>
          <w:i w:val="0"/>
          <w:strike w:val="0"/>
        </w:rPr>
        <w:t>1 · The strongest case against, in the opposition's voice</w:t>
      </w:r>
    </w:p>
    <w:p>
      <w:r>
        <w:rPr>
          <w:b w:val="0"/>
          <w:i/>
          <w:strike w:val="0"/>
        </w:rPr>
        <w:t>The brief I would write if I were staff to a money-committee member who had decided to kill this bill, having been handed the walk-through and nothing else. Stated as its best advocate would state it.</w:t>
      </w:r>
    </w:p>
    <w:p>
      <w:pPr>
        <w:spacing w:after="80"/>
        <w:ind w:left="480"/>
      </w:pPr>
      <w:r>
        <w:rPr>
          <w:b w:val="0"/>
          <w:i w:val="0"/>
          <w:strike w:val="0"/>
          <w:sz w:val="20"/>
        </w:rPr>
        <w:t>I want to be fair to this document, because it is the most honest thing the proponents have produced and I am going to use it against them anyway. That is not a paradox. It is what happens when you write down your own weaknesses and then walk a legislator past them at the speed of a guided tour.</w:t>
      </w:r>
    </w:p>
    <w:p>
      <w:pPr>
        <w:spacing w:after="80"/>
        <w:ind w:left="480"/>
      </w:pPr>
      <w:r>
        <w:rPr>
          <w:b w:val="0"/>
          <w:i w:val="0"/>
          <w:strike w:val="0"/>
          <w:sz w:val="20"/>
        </w:rPr>
        <w:t xml:space="preserve">Start with the premise. Paragraph three, the paragraph that exists to tell you why we need a bill at all: </w:t>
      </w:r>
      <w:r>
        <w:rPr>
          <w:b w:val="0"/>
          <w:i/>
          <w:strike w:val="0"/>
          <w:sz w:val="20"/>
        </w:rPr>
        <w:t>"under current law that same veteran can buy military service only in her first 24 months of VRS-covered employment."</w:t>
      </w:r>
      <w:r>
        <w:rPr>
          <w:b w:val="0"/>
          <w:i w:val="0"/>
          <w:strike w:val="0"/>
          <w:sz w:val="20"/>
        </w:rPr>
        <w:t xml:space="preserve"> That is not what the Code says and the proponents' own legal memorandum says so in a table — </w:t>
      </w:r>
      <w:r>
        <w:rPr>
          <w:b w:val="0"/>
          <w:i/>
          <w:strike w:val="0"/>
          <w:sz w:val="20"/>
        </w:rPr>
        <w:t xml:space="preserve">"When may it be purchased? </w:t>
      </w:r>
      <w:r>
        <w:rPr>
          <w:b w:val="0"/>
          <w:i/>
          <w:strike w:val="0"/>
          <w:sz w:val="20"/>
        </w:rPr>
        <w:t>Any time while a member in service. There is no deadline on the right to purchase.</w:t>
      </w:r>
      <w:r>
        <w:rPr>
          <w:b w:val="0"/>
          <w:i/>
          <w:strike w:val="0"/>
          <w:sz w:val="20"/>
        </w:rPr>
        <w:t>"</w:t>
      </w:r>
      <w:r>
        <w:rPr>
          <w:b w:val="0"/>
          <w:i w:val="0"/>
          <w:strike w:val="0"/>
          <w:sz w:val="20"/>
        </w:rPr>
        <w:t xml:space="preserve"> What closes at twenty-four months is a </w:t>
      </w:r>
      <w:r>
        <w:rPr>
          <w:b/>
          <w:i w:val="0"/>
          <w:strike w:val="0"/>
          <w:sz w:val="20"/>
        </w:rPr>
        <w:t>discount</w:t>
      </w:r>
      <w:r>
        <w:rPr>
          <w:b w:val="0"/>
          <w:i w:val="0"/>
          <w:strike w:val="0"/>
          <w:sz w:val="20"/>
        </w:rPr>
        <w:t>. So the gap this bill fills is not that a veteran cannot buy her service; it is that after two years she has to pay what it is worth. Strip the error out and the bill's entire justification restates as: we would like veterans to buy an early retirement date at roughly a ninth of its actuarial value, and current law already lets them buy it at full price. That is a defensible policy. It is a completely different policy from the one in paragraph three, and I would read paragraph three aloud, then read the memorandum's table aloud, and then ask the patron which of his own documents he would like me to believe.</w:t>
      </w:r>
    </w:p>
    <w:p>
      <w:pPr>
        <w:spacing w:after="80"/>
        <w:ind w:left="480"/>
      </w:pPr>
      <w:r>
        <w:rPr>
          <w:b w:val="0"/>
          <w:i w:val="0"/>
          <w:strike w:val="0"/>
          <w:sz w:val="20"/>
        </w:rPr>
        <w:t xml:space="preserve">Now the number they want you to carry. Three hundred forty-one thousand and sixty-five dollars of net value to one veteran. The document tells you it is "illustrative profile A." It does not tell you — though their own dashboard does, and their own README does in bold — that it is </w:t>
      </w:r>
      <w:r>
        <w:rPr>
          <w:b/>
          <w:i w:val="0"/>
          <w:strike w:val="0"/>
          <w:sz w:val="20"/>
        </w:rPr>
        <w:t>the highest of seven published profiles</w:t>
      </w:r>
      <w:r>
        <w:rPr>
          <w:b w:val="0"/>
          <w:i w:val="0"/>
          <w:strike w:val="0"/>
          <w:sz w:val="20"/>
        </w:rPr>
        <w:t xml:space="preserve">, that the next highest is one hundred one thousand, that the average across their published profiles is ninety-three thousand, and that their underlying grid reaches four hundred nineteen thousand. So here is the arithmetic a staffer does in the margin at 11pm: three hundred forty-one thousand times two hundred twenty-two purchasers is </w:t>
      </w:r>
      <w:r>
        <w:rPr>
          <w:b/>
          <w:i w:val="0"/>
          <w:strike w:val="0"/>
          <w:sz w:val="20"/>
        </w:rPr>
        <w:t>seventy-five million dollars</w:t>
      </w:r>
      <w:r>
        <w:rPr>
          <w:b w:val="0"/>
          <w:i w:val="0"/>
          <w:strike w:val="0"/>
          <w:sz w:val="20"/>
        </w:rPr>
        <w:t>. Their own aggregate is seven. They are out by a factor of ten in the direction that destroys them, and the document gave the staffer every component of that error and withheld the one sentence that would have prevented it.</w:t>
      </w:r>
    </w:p>
    <w:p>
      <w:pPr>
        <w:spacing w:after="80"/>
        <w:ind w:left="480"/>
      </w:pPr>
      <w:r>
        <w:rPr>
          <w:b w:val="0"/>
          <w:i w:val="0"/>
          <w:strike w:val="0"/>
          <w:sz w:val="20"/>
        </w:rPr>
        <w:t xml:space="preserve">Then the sentence they have built the whole fiscal case on, and which I would spend my entire four minutes on. Step 9, last paragraph: </w:t>
      </w:r>
      <w:r>
        <w:rPr>
          <w:b w:val="0"/>
          <w:i/>
          <w:strike w:val="0"/>
          <w:sz w:val="20"/>
        </w:rPr>
        <w:t>"Even the top of that range does not move any employer's published contribution rate when rounded to the nearest basis point."</w:t>
      </w:r>
      <w:r>
        <w:rPr>
          <w:b w:val="0"/>
          <w:i w:val="0"/>
          <w:strike w:val="0"/>
          <w:sz w:val="20"/>
        </w:rPr>
        <w:t xml:space="preserve"> Turn to their own cost model memorandum, section 7: </w:t>
      </w:r>
      <w:r>
        <w:rPr>
          <w:b w:val="0"/>
          <w:i/>
          <w:strike w:val="0"/>
          <w:sz w:val="20"/>
        </w:rPr>
        <w:t>"</w:t>
      </w:r>
      <w:r>
        <w:rPr>
          <w:b w:val="0"/>
          <w:i/>
          <w:strike w:val="0"/>
          <w:sz w:val="20"/>
        </w:rPr>
        <w:t>At 1.16 bp a plan's rate does change to the nearest basis point</w:t>
      </w:r>
      <w:r>
        <w:rPr>
          <w:b w:val="0"/>
          <w:i/>
          <w:strike w:val="0"/>
          <w:sz w:val="20"/>
        </w:rPr>
        <w:t>, so this case falsifies the sentence the package quotes most often."</w:t>
      </w:r>
      <w:r>
        <w:rPr>
          <w:b w:val="0"/>
          <w:i w:val="0"/>
          <w:strike w:val="0"/>
          <w:sz w:val="20"/>
        </w:rPr>
        <w:t xml:space="preserve"> They wrote that. Their own modeller wrote that, about this exact sentence, and then the walk-through asserts the sentence anyway, two paragraphs after quoting the 1.16 figure that falsifies it — and then repeats it in the summary, in the five things they want you to remember. I do not have to prove anything. I have to put two of their own documents side by side on the overhead.</w:t>
      </w:r>
    </w:p>
    <w:p>
      <w:pPr>
        <w:spacing w:after="80"/>
        <w:ind w:left="480"/>
      </w:pPr>
      <w:r>
        <w:rPr>
          <w:b w:val="0"/>
          <w:i w:val="0"/>
          <w:strike w:val="0"/>
          <w:sz w:val="20"/>
        </w:rPr>
        <w:t xml:space="preserve">And then the thing nobody will notice until a VRS actuary notices it in front of you. This act takes effect </w:t>
      </w:r>
      <w:r>
        <w:rPr>
          <w:b/>
          <w:i w:val="0"/>
          <w:strike w:val="0"/>
          <w:sz w:val="20"/>
        </w:rPr>
        <w:t>July 1, 2029</w:t>
      </w:r>
      <w:r>
        <w:rPr>
          <w:b w:val="0"/>
          <w:i w:val="0"/>
          <w:strike w:val="0"/>
          <w:sz w:val="20"/>
        </w:rPr>
        <w:t xml:space="preserve">. The model runs the </w:t>
      </w:r>
      <w:r>
        <w:rPr>
          <w:b/>
          <w:i w:val="0"/>
          <w:strike w:val="0"/>
          <w:sz w:val="20"/>
        </w:rPr>
        <w:t>FY2029</w:t>
      </w:r>
      <w:r>
        <w:rPr>
          <w:b w:val="0"/>
          <w:i w:val="0"/>
          <w:strike w:val="0"/>
          <w:sz w:val="20"/>
        </w:rPr>
        <w:t xml:space="preserve"> cohort. Fiscal 2029 ended three weeks before the bill does. Their own fiscal memorandum lists "the FY2030–FY2039 window shift" as work still outstanding. So the headline number is computed over a ten-year window whose first year the bill cannot reach, and the walk-through states that window as a bare fact nineteen times without once saying it is stale.</w:t>
      </w:r>
    </w:p>
    <w:p>
      <w:pPr>
        <w:spacing w:after="80"/>
        <w:ind w:left="480"/>
      </w:pPr>
      <w:r>
        <w:rPr>
          <w:b w:val="0"/>
          <w:i w:val="0"/>
          <w:strike w:val="0"/>
          <w:sz w:val="20"/>
        </w:rPr>
        <w:t xml:space="preserve">Last, the part they are proudest of, and they should be: they tell you the answer's sign turns on a parameter nobody can measure, that self-selection runs the wrong way, and that their central case should be read as the optimistic end rather than the middle. Good. Now look at where they put it. Not in the opening. Not in the three things they say you must know </w:t>
      </w:r>
      <w:r>
        <w:rPr>
          <w:b w:val="0"/>
          <w:i/>
          <w:strike w:val="0"/>
          <w:sz w:val="20"/>
        </w:rPr>
        <w:t>before you read a single number</w:t>
      </w:r>
      <w:r>
        <w:rPr>
          <w:b w:val="0"/>
          <w:i w:val="0"/>
          <w:strike w:val="0"/>
          <w:sz w:val="20"/>
        </w:rPr>
        <w:t>. Those three things are that counts are ten-year totals, that figures carry provenance badges, and that nothing is labelled "savings" — all true, all helpful, none of them the thing that decides whether this bill costs money or makes money. The sign-deciding assumption is on screen four of twelve, behind a figure they have already given you on screen two with a confident qualifier attached. A document that genuinely wanted me to discount its headline would have put φ above the headline. This one put the headline first and the honesty on page four, and then wrote that it was being honest. I believe them. I am still going to say this in the room.</w:t>
      </w:r>
    </w:p>
    <w:p>
      <w:pPr>
        <w:jc w:val="center"/>
      </w:pPr>
      <w:r>
        <w:rPr>
          <w:color w:val="909090"/>
          <w:sz w:val="18"/>
        </w:rPr>
        <w:t>* * *</w:t>
      </w:r>
    </w:p>
    <w:p>
      <w:pPr>
        <w:pStyle w:val="Heading2"/>
      </w:pPr>
      <w:r>
        <w:rPr>
          <w:b w:val="0"/>
          <w:i w:val="0"/>
          <w:strike w:val="0"/>
        </w:rPr>
        <w:t>2 · Findings</w:t>
      </w:r>
    </w:p>
    <w:p>
      <w:r>
        <w:rPr>
          <w:b w:val="0"/>
          <w:i w:val="0"/>
          <w:strike w:val="0"/>
        </w:rPr>
        <w:t xml:space="preserve">Severity: </w:t>
      </w:r>
      <w:r>
        <w:rPr>
          <w:b/>
          <w:i w:val="0"/>
          <w:strike w:val="0"/>
        </w:rPr>
        <w:t>Blocker</w:t>
      </w:r>
      <w:r>
        <w:rPr>
          <w:b w:val="0"/>
          <w:i w:val="0"/>
          <w:strike w:val="0"/>
        </w:rPr>
        <w:t xml:space="preserve"> — must be fixed before the document goes outside. </w:t>
      </w:r>
      <w:r>
        <w:rPr>
          <w:b/>
          <w:i w:val="0"/>
          <w:strike w:val="0"/>
        </w:rPr>
        <w:t>Material</w:t>
      </w:r>
      <w:r>
        <w:rPr>
          <w:b w:val="0"/>
          <w:i w:val="0"/>
          <w:strike w:val="0"/>
        </w:rPr>
        <w:t xml:space="preserve"> — fix before patron use. </w:t>
      </w:r>
      <w:r>
        <w:rPr>
          <w:b/>
          <w:i w:val="0"/>
          <w:strike w:val="0"/>
        </w:rPr>
        <w:t>Moderate</w:t>
      </w:r>
      <w:r>
        <w:rPr>
          <w:b w:val="0"/>
          <w:i w:val="0"/>
          <w:strike w:val="0"/>
        </w:rPr>
        <w:t xml:space="preserve"> — fix before the next circulation. </w:t>
      </w:r>
      <w:r>
        <w:rPr>
          <w:b/>
          <w:i w:val="0"/>
          <w:strike w:val="0"/>
        </w:rPr>
        <w:t>Minor</w:t>
      </w:r>
      <w:r>
        <w:rPr>
          <w:b w:val="0"/>
          <w:i w:val="0"/>
          <w:strike w:val="0"/>
        </w:rPr>
        <w:t xml:space="preserve"> — fix when convenient.</w:t>
      </w:r>
    </w:p>
    <w:p>
      <w:r>
        <w:rPr>
          <w:b w:val="0"/>
          <w:i w:val="0"/>
          <w:strike w:val="0"/>
        </w:rPr>
        <w:t xml:space="preserve">Every reproduction path is through the artifact as circulated: </w:t>
      </w:r>
      <w:r>
        <w:rPr>
          <w:rFonts w:ascii="Consolas" w:hAnsi="Consolas"/>
          <w:b w:val="0"/>
          <w:i w:val="0"/>
          <w:strike w:val="0"/>
          <w:color w:val="303030"/>
          <w:sz w:val="19"/>
        </w:rPr>
        <w:t>dist/walkthrough-standalone.html</w:t>
      </w:r>
      <w:r>
        <w:rPr>
          <w:b w:val="0"/>
          <w:i w:val="0"/>
          <w:strike w:val="0"/>
        </w:rPr>
        <w:t xml:space="preserve"> opened in a browser, or the dashboard drawer reached by pressing </w:t>
      </w:r>
      <w:r>
        <w:rPr>
          <w:b/>
          <w:i w:val="0"/>
          <w:strike w:val="0"/>
        </w:rPr>
        <w:t>Guided walk-through</w:t>
      </w:r>
      <w:r>
        <w:rPr>
          <w:b w:val="0"/>
          <w:i w:val="0"/>
          <w:strike w:val="0"/>
        </w:rPr>
        <w:t xml:space="preserve"> in the masthead of </w:t>
      </w:r>
      <w:r>
        <w:rPr>
          <w:rFonts w:ascii="Consolas" w:hAnsi="Consolas"/>
          <w:b w:val="0"/>
          <w:i w:val="0"/>
          <w:strike w:val="0"/>
          <w:color w:val="303030"/>
          <w:sz w:val="19"/>
        </w:rPr>
        <w:t>index.html</w:t>
      </w:r>
      <w:r>
        <w:rPr>
          <w:b w:val="0"/>
          <w:i w:val="0"/>
          <w:strike w:val="0"/>
        </w:rPr>
        <w:t>.</w:t>
      </w:r>
    </w:p>
    <w:p>
      <w:pPr>
        <w:pStyle w:val="Heading3"/>
      </w:pPr>
      <w:r>
        <w:rPr>
          <w:b w:val="0"/>
          <w:i w:val="0"/>
          <w:strike w:val="0"/>
        </w:rPr>
        <w:t>Blockers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strike w:val="0"/>
              </w:rPr>
              <w:t>#</w:t>
            </w:r>
          </w:p>
        </w:tc>
        <w:tc>
          <w:tcPr>
            <w:tcW w:type="dxa" w:w="1234"/>
          </w:tcPr>
          <w:p>
            <w:r>
              <w:rPr>
                <w:b/>
                <w:i w:val="0"/>
                <w:strike w:val="0"/>
              </w:rPr>
              <w:t>Severity</w:t>
            </w:r>
          </w:p>
        </w:tc>
        <w:tc>
          <w:tcPr>
            <w:tcW w:type="dxa" w:w="1234"/>
          </w:tcPr>
          <w:p>
            <w:r>
              <w:rPr>
                <w:b/>
                <w:i w:val="0"/>
                <w:strike w:val="0"/>
              </w:rPr>
              <w:t>Location</w:t>
            </w:r>
          </w:p>
        </w:tc>
        <w:tc>
          <w:tcPr>
            <w:tcW w:type="dxa" w:w="1234"/>
          </w:tcPr>
          <w:p>
            <w:r>
              <w:rPr>
                <w:b/>
                <w:i w:val="0"/>
                <w:strike w:val="0"/>
              </w:rPr>
              <w:t>What is wrong</w:t>
            </w:r>
          </w:p>
        </w:tc>
        <w:tc>
          <w:tcPr>
            <w:tcW w:type="dxa" w:w="1234"/>
          </w:tcPr>
          <w:p>
            <w:r>
              <w:rPr>
                <w:b/>
                <w:i w:val="0"/>
                <w:strike w:val="0"/>
              </w:rPr>
              <w:t>Reproduction and failure scenario</w:t>
            </w:r>
          </w:p>
        </w:tc>
        <w:tc>
          <w:tcPr>
            <w:tcW w:type="dxa" w:w="1234"/>
          </w:tcPr>
          <w:p>
            <w:r>
              <w:rPr>
                <w:b/>
                <w:i w:val="0"/>
                <w:strike w:val="0"/>
              </w:rPr>
              <w:t>Authority</w:t>
            </w:r>
          </w:p>
        </w:tc>
        <w:tc>
          <w:tcPr>
            <w:tcW w:type="dxa" w:w="1234"/>
          </w:tcPr>
          <w:p>
            <w:r>
              <w:rPr>
                <w:b/>
                <w:i w:val="0"/>
                <w:strike w:val="0"/>
              </w:rPr>
              <w:t>Suggested direction</w:t>
            </w:r>
          </w:p>
        </w:tc>
      </w:tr>
      <w:tr>
        <w:tc>
          <w:tcPr>
            <w:tcW w:type="dxa" w:w="1234"/>
          </w:tcPr>
          <w:p>
            <w:r>
              <w:rPr>
                <w:b/>
                <w:i w:val="0"/>
                <w:strike w:val="0"/>
              </w:rPr>
              <w:t>B-01</w:t>
            </w:r>
          </w:p>
        </w:tc>
        <w:tc>
          <w:tcPr>
            <w:tcW w:type="dxa" w:w="1234"/>
          </w:tcPr>
          <w:p>
            <w:r>
              <w:rPr>
                <w:b/>
                <w:i w:val="0"/>
                <w:strike w:val="0"/>
              </w:rPr>
              <w:t>Blocker</w:t>
            </w:r>
          </w:p>
        </w:tc>
        <w:tc>
          <w:tcPr>
            <w:tcW w:type="dxa" w:w="1234"/>
          </w:tcPr>
          <w:p>
            <w:r>
              <w:rPr>
                <w:rFonts w:ascii="Consolas" w:hAnsi="Consolas"/>
                <w:b w:val="0"/>
                <w:i w:val="0"/>
                <w:strike w:val="0"/>
                <w:color w:val="303030"/>
                <w:sz w:val="19"/>
              </w:rPr>
              <w:t>js/walkthrough.js</w:t>
            </w:r>
            <w:r>
              <w:rPr>
                <w:b w:val="0"/>
                <w:i w:val="0"/>
                <w:strike w:val="0"/>
              </w:rPr>
              <w:t xml:space="preserve"> L73–82, </w:t>
            </w:r>
            <w:r>
              <w:rPr>
                <w:rFonts w:ascii="Consolas" w:hAnsi="Consolas"/>
                <w:b w:val="0"/>
                <w:i w:val="0"/>
                <w:strike w:val="0"/>
                <w:color w:val="303030"/>
                <w:sz w:val="19"/>
              </w:rPr>
              <w:t>intro[2]</w:t>
            </w:r>
            <w:r>
              <w:rPr>
                <w:b w:val="0"/>
                <w:i w:val="0"/>
                <w:strike w:val="0"/>
              </w:rPr>
              <w:t>; rendered as paragraph 3 of the opening card, page 1 printed</w:t>
            </w:r>
          </w:p>
        </w:tc>
        <w:tc>
          <w:tcPr>
            <w:tcW w:type="dxa" w:w="1234"/>
          </w:tcPr>
          <w:p>
            <w:r>
              <w:rPr>
                <w:b w:val="0"/>
                <w:i w:val="0"/>
                <w:strike w:val="0"/>
              </w:rPr>
              <w:t xml:space="preserve">The document's statement of current law is wrong, in the direction that helps the bill. </w:t>
            </w:r>
            <w:r>
              <w:rPr>
                <w:b w:val="0"/>
                <w:i/>
                <w:strike w:val="0"/>
              </w:rPr>
              <w:t>"under current law that same veteran can buy military service only in her first 24 months of VRS-covered employment (Va. Code § 51.1-142.2 B 3)."</w:t>
            </w:r>
            <w:r>
              <w:rPr>
                <w:b w:val="0"/>
                <w:i w:val="0"/>
                <w:strike w:val="0"/>
              </w:rPr>
              <w:t xml:space="preserve"> The 24-month window is a </w:t>
            </w:r>
            <w:r>
              <w:rPr>
                <w:b/>
                <w:i w:val="0"/>
                <w:strike w:val="0"/>
              </w:rPr>
              <w:t>pricing</w:t>
            </w:r>
            <w:r>
              <w:rPr>
                <w:b w:val="0"/>
                <w:i w:val="0"/>
                <w:strike w:val="0"/>
              </w:rPr>
              <w:t xml:space="preserve"> window, not a purchase window; the right to purchase does not expire. The pinpoint is also the one the bill corrected one version ago.</w:t>
            </w:r>
          </w:p>
        </w:tc>
        <w:tc>
          <w:tcPr>
            <w:tcW w:type="dxa" w:w="1234"/>
          </w:tcPr>
          <w:p>
            <w:r>
              <w:rPr>
                <w:b w:val="0"/>
                <w:i w:val="0"/>
                <w:strike w:val="0"/>
              </w:rPr>
              <w:t>Open the circulated file; read the third paragraph. A VRS reviewer or DLS drafter checks § 51.1-142.2 B 3, finds a pricing and conversion provision rather than a deadline, and has found the proponents overstating the gap in the sentence that justifies the bill — on page 1, before any number.</w:t>
            </w:r>
          </w:p>
        </w:tc>
        <w:tc>
          <w:tcPr>
            <w:tcW w:type="dxa" w:w="1234"/>
          </w:tcPr>
          <w:p>
            <w:r>
              <w:rPr>
                <w:rFonts w:ascii="Consolas" w:hAnsi="Consolas"/>
                <w:b w:val="0"/>
                <w:i w:val="0"/>
                <w:strike w:val="0"/>
                <w:color w:val="303030"/>
                <w:sz w:val="19"/>
              </w:rPr>
              <w:t>02-legal-analysis-memo.md</w:t>
            </w:r>
            <w:r>
              <w:rPr>
                <w:b w:val="0"/>
                <w:i w:val="0"/>
                <w:strike w:val="0"/>
              </w:rPr>
              <w:t xml:space="preserve"> L32: </w:t>
            </w:r>
            <w:r>
              <w:rPr>
                <w:b w:val="0"/>
                <w:i/>
                <w:strike w:val="0"/>
              </w:rPr>
              <w:t xml:space="preserve">"When may it be purchased? </w:t>
            </w:r>
            <w:r>
              <w:rPr>
                <w:b w:val="0"/>
                <w:i/>
                <w:strike w:val="0"/>
              </w:rPr>
              <w:t>Any time while a member in service. There is no deadline on the right to purchase.</w:t>
            </w:r>
            <w:r>
              <w:rPr>
                <w:b w:val="0"/>
                <w:i/>
                <w:strike w:val="0"/>
              </w:rPr>
              <w:t>"</w:t>
            </w:r>
            <w:r>
              <w:rPr>
                <w:b w:val="0"/>
                <w:i w:val="0"/>
                <w:strike w:val="0"/>
              </w:rPr>
              <w:t xml:space="preserve">; L33: </w:t>
            </w:r>
            <w:r>
              <w:rPr>
                <w:b w:val="0"/>
                <w:i/>
                <w:strike w:val="0"/>
              </w:rPr>
              <w:t xml:space="preserve">"What changes at 24 months? </w:t>
            </w:r>
            <w:r>
              <w:rPr>
                <w:b w:val="0"/>
                <w:i/>
                <w:strike w:val="0"/>
              </w:rPr>
              <w:t>Only the price.</w:t>
            </w:r>
            <w:r>
              <w:rPr>
                <w:b w:val="0"/>
                <w:i/>
                <w:strike w:val="0"/>
              </w:rPr>
              <w:t>"</w:t>
            </w:r>
            <w:r>
              <w:rPr>
                <w:b w:val="0"/>
                <w:i w:val="0"/>
                <w:strike w:val="0"/>
              </w:rPr>
              <w:t xml:space="preserve"> On the pinpoint: </w:t>
            </w:r>
            <w:r>
              <w:rPr>
                <w:rFonts w:ascii="Consolas" w:hAnsi="Consolas"/>
                <w:b w:val="0"/>
                <w:i w:val="0"/>
                <w:strike w:val="0"/>
                <w:color w:val="303030"/>
                <w:sz w:val="19"/>
              </w:rPr>
              <w:t>01-bill-draft.md</w:t>
            </w:r>
            <w:r>
              <w:rPr>
                <w:b w:val="0"/>
                <w:i w:val="0"/>
                <w:strike w:val="0"/>
              </w:rPr>
              <w:t xml:space="preserve"> L387, finding </w:t>
            </w:r>
            <w:r>
              <w:rPr>
                <w:b/>
                <w:i w:val="0"/>
                <w:strike w:val="0"/>
              </w:rPr>
              <w:t>L-03</w:t>
            </w:r>
            <w:r>
              <w:rPr>
                <w:b w:val="0"/>
                <w:i w:val="0"/>
                <w:strike w:val="0"/>
              </w:rPr>
              <w:t xml:space="preserve"> — the 24-month period is stated in </w:t>
            </w:r>
            <w:r>
              <w:rPr>
                <w:b w:val="0"/>
                <w:i/>
                <w:strike w:val="0"/>
              </w:rPr>
              <w:t xml:space="preserve">"an unnumbered concluding paragraph of </w:t>
            </w:r>
            <w:r>
              <w:rPr>
                <w:b w:val="0"/>
                <w:i/>
                <w:strike w:val="0"/>
              </w:rPr>
              <w:t>subsection B</w:t>
            </w:r>
            <w:r>
              <w:rPr>
                <w:b w:val="0"/>
                <w:i/>
                <w:strike w:val="0"/>
              </w:rPr>
              <w:t>, not in subdivision B 3"</w:t>
            </w:r>
            <w:r>
              <w:rPr>
                <w:b w:val="0"/>
                <w:i w:val="0"/>
                <w:strike w:val="0"/>
              </w:rPr>
              <w:t xml:space="preserve">; operative clause 3(viii) now cites </w:t>
            </w:r>
            <w:r>
              <w:rPr>
                <w:b w:val="0"/>
                <w:i/>
                <w:strike w:val="0"/>
              </w:rPr>
              <w:t>"subsection B of § 51.1-142.2"</w:t>
            </w:r>
            <w:r>
              <w:rPr>
                <w:b w:val="0"/>
                <w:i w:val="0"/>
                <w:strike w:val="0"/>
              </w:rPr>
              <w:t>.</w:t>
            </w:r>
          </w:p>
        </w:tc>
        <w:tc>
          <w:tcPr>
            <w:tcW w:type="dxa" w:w="1234"/>
          </w:tcPr>
          <w:p>
            <w:r>
              <w:rPr>
                <w:b w:val="0"/>
                <w:i w:val="0"/>
                <w:strike w:val="0"/>
              </w:rPr>
              <w:t xml:space="preserve">Five words and a pinpoint: </w:t>
            </w:r>
            <w:r>
              <w:rPr>
                <w:b w:val="0"/>
                <w:i/>
                <w:strike w:val="0"/>
              </w:rPr>
              <w:t xml:space="preserve">"can buy military service </w:t>
            </w:r>
            <w:r>
              <w:rPr>
                <w:b w:val="0"/>
                <w:i/>
                <w:strike w:val="0"/>
              </w:rPr>
              <w:t>at approximate normal cost</w:t>
            </w:r>
            <w:r>
              <w:rPr>
                <w:b w:val="0"/>
                <w:i/>
                <w:strike w:val="0"/>
              </w:rPr>
              <w:t xml:space="preserve"> only in her first 24 months of VRS-covered employment (Va. Code § 51.1-142.2 B, concluding paragraph)."</w:t>
            </w:r>
            <w:r>
              <w:rPr>
                <w:b w:val="0"/>
                <w:i w:val="0"/>
                <w:strike w:val="0"/>
              </w:rPr>
              <w:t xml:space="preserve"> The rest of the paragraph already says this correctly twice; only the headline clause is wrong.</w:t>
            </w:r>
          </w:p>
        </w:tc>
      </w:tr>
      <w:tr>
        <w:tc>
          <w:tcPr>
            <w:tcW w:type="dxa" w:w="1234"/>
          </w:tcPr>
          <w:p>
            <w:r>
              <w:rPr>
                <w:b/>
                <w:i w:val="0"/>
                <w:strike w:val="0"/>
              </w:rPr>
              <w:t>B-02</w:t>
            </w:r>
          </w:p>
        </w:tc>
        <w:tc>
          <w:tcPr>
            <w:tcW w:type="dxa" w:w="1234"/>
          </w:tcPr>
          <w:p>
            <w:r>
              <w:rPr>
                <w:b/>
                <w:i w:val="0"/>
                <w:strike w:val="0"/>
              </w:rPr>
              <w:t>Blocker</w:t>
            </w:r>
          </w:p>
        </w:tc>
        <w:tc>
          <w:tcPr>
            <w:tcW w:type="dxa" w:w="1234"/>
          </w:tcPr>
          <w:p>
            <w:r>
              <w:rPr>
                <w:rFonts w:ascii="Consolas" w:hAnsi="Consolas"/>
                <w:b w:val="0"/>
                <w:i w:val="0"/>
                <w:strike w:val="0"/>
                <w:color w:val="303030"/>
                <w:sz w:val="19"/>
              </w:rPr>
              <w:t>js/walkthrough.js</w:t>
            </w:r>
            <w:r>
              <w:rPr>
                <w:b w:val="0"/>
                <w:i w:val="0"/>
                <w:strike w:val="0"/>
              </w:rPr>
              <w:t xml:space="preserve"> L610–614, step 9 </w:t>
            </w:r>
            <w:r>
              <w:rPr>
                <w:rFonts w:ascii="Consolas" w:hAnsi="Consolas"/>
                <w:b w:val="0"/>
                <w:i w:val="0"/>
                <w:strike w:val="0"/>
                <w:color w:val="303030"/>
                <w:sz w:val="19"/>
              </w:rPr>
              <w:t>significance</w:t>
            </w:r>
            <w:r>
              <w:rPr>
                <w:b w:val="0"/>
                <w:i w:val="0"/>
                <w:strike w:val="0"/>
              </w:rPr>
              <w:t xml:space="preserve"> ¶2; and L772–775, </w:t>
            </w:r>
            <w:r>
              <w:rPr>
                <w:rFonts w:ascii="Consolas" w:hAnsi="Consolas"/>
                <w:b w:val="0"/>
                <w:i w:val="0"/>
                <w:strike w:val="0"/>
                <w:color w:val="303030"/>
                <w:sz w:val="19"/>
              </w:rPr>
              <w:t>closing.items[1]</w:t>
            </w:r>
          </w:p>
        </w:tc>
        <w:tc>
          <w:tcPr>
            <w:tcW w:type="dxa" w:w="1234"/>
          </w:tcPr>
          <w:p>
            <w:r>
              <w:rPr>
                <w:b w:val="0"/>
                <w:i w:val="0"/>
                <w:strike w:val="0"/>
              </w:rPr>
              <w:t xml:space="preserve">The no-rate-change claim is extended across the whole range, including its top, which the committed fiscal model expressly says it does not survive. Step 9: </w:t>
            </w:r>
            <w:r>
              <w:rPr>
                <w:b w:val="0"/>
                <w:i/>
                <w:strike w:val="0"/>
              </w:rPr>
              <w:t>"Even the top of that range does not move any employer's published contribution rate when rounded to the nearest basis point. That is the strongest honest claim available from this analysis."</w:t>
            </w:r>
            <w:r>
              <w:rPr>
                <w:b w:val="0"/>
                <w:i w:val="0"/>
                <w:strike w:val="0"/>
              </w:rPr>
              <w:t xml:space="preserve"> The closing repeats it: </w:t>
            </w:r>
            <w:r>
              <w:rPr>
                <w:b w:val="0"/>
                <w:i/>
                <w:strike w:val="0"/>
              </w:rPr>
              <w:t>"At no point in that range does any employer's published contribution rate move when rounded to the nearest basis point."</w:t>
            </w:r>
            <w:r>
              <w:rPr>
                <w:b w:val="0"/>
                <w:i w:val="0"/>
                <w:strike w:val="0"/>
              </w:rPr>
              <w:t xml:space="preserve"> Both appear immediately after the document itself quotes 1.16 bp / $43.79M as the top of the range.</w:t>
            </w:r>
          </w:p>
        </w:tc>
        <w:tc>
          <w:tcPr>
            <w:tcW w:type="dxa" w:w="1234"/>
          </w:tcPr>
          <w:p>
            <w:r>
              <w:rPr>
                <w:b w:val="0"/>
                <w:i w:val="0"/>
                <w:strike w:val="0"/>
              </w:rPr>
              <w:t xml:space="preserve">Open the circulated file; read step 9's last paragraph, then the second of the five closing points. A committee analyst who has also read </w:t>
            </w:r>
            <w:r>
              <w:rPr>
                <w:rFonts w:ascii="Consolas" w:hAnsi="Consolas"/>
                <w:b w:val="0"/>
                <w:i w:val="0"/>
                <w:strike w:val="0"/>
                <w:color w:val="303030"/>
                <w:sz w:val="19"/>
              </w:rPr>
              <w:t>08-fiscal-model-memo.docx</w:t>
            </w:r>
            <w:r>
              <w:rPr>
                <w:b w:val="0"/>
                <w:i w:val="0"/>
                <w:strike w:val="0"/>
              </w:rPr>
              <w:t xml:space="preserve"> section 7 reads the two side by side and the package contradicts itself on its single most-quoted sentence. The claim is also what gets repeated verbally, because the document labels it the strongest honest claim available.</w:t>
            </w:r>
          </w:p>
        </w:tc>
        <w:tc>
          <w:tcPr>
            <w:tcW w:type="dxa" w:w="1234"/>
          </w:tcPr>
          <w:p>
            <w:r>
              <w:rPr>
                <w:rFonts w:ascii="Consolas" w:hAnsi="Consolas"/>
                <w:b w:val="0"/>
                <w:i w:val="0"/>
                <w:strike w:val="0"/>
                <w:color w:val="303030"/>
                <w:sz w:val="19"/>
              </w:rPr>
              <w:t>08-fiscal-model-memo.md</w:t>
            </w:r>
            <w:r>
              <w:rPr>
                <w:b w:val="0"/>
                <w:i w:val="0"/>
                <w:strike w:val="0"/>
              </w:rPr>
              <w:t xml:space="preserve"> L235: </w:t>
            </w:r>
            <w:r>
              <w:rPr>
                <w:b w:val="0"/>
                <w:i/>
                <w:strike w:val="0"/>
              </w:rPr>
              <w:t>"</w:t>
            </w:r>
            <w:r>
              <w:rPr>
                <w:b w:val="0"/>
                <w:i/>
                <w:strike w:val="0"/>
              </w:rPr>
              <w:t>At 1.16 bp a plan's rate does change to the nearest basis point</w:t>
            </w:r>
            <w:r>
              <w:rPr>
                <w:b w:val="0"/>
                <w:i/>
                <w:strike w:val="0"/>
              </w:rPr>
              <w:t>, so this case falsifies the sentence the package quotes most often."</w:t>
            </w:r>
            <w:r>
              <w:rPr>
                <w:b w:val="0"/>
                <w:i w:val="0"/>
                <w:strike w:val="0"/>
              </w:rPr>
              <w:t xml:space="preserve"> Confirmed by re-derivation: compound-adverse case returns 1.1558 bp.</w:t>
            </w:r>
          </w:p>
        </w:tc>
        <w:tc>
          <w:tcPr>
            <w:tcW w:type="dxa" w:w="1234"/>
          </w:tcPr>
          <w:p>
            <w:r>
              <w:rPr>
                <w:b w:val="0"/>
                <w:i w:val="0"/>
                <w:strike w:val="0"/>
              </w:rPr>
              <w:t xml:space="preserve">Restrict the claim to the basis on which it is true and say what breaks it. For example: </w:t>
            </w:r>
            <w:r>
              <w:rPr>
                <w:b w:val="0"/>
                <w:i/>
                <w:strike w:val="0"/>
              </w:rPr>
              <w:t xml:space="preserve">"On every single-driver excursion, and on the central case, no employer's published contribution rate changes when rounded to the nearest basis point. </w:t>
            </w:r>
            <w:r>
              <w:rPr>
                <w:b w:val="0"/>
                <w:i/>
                <w:strike w:val="0"/>
              </w:rPr>
              <w:t>The compound-adverse case is the exception and the package discloses it: at 1.16 bp a plan's rate does change by one basis point.</w:t>
            </w:r>
            <w:r>
              <w:rPr>
                <w:b w:val="0"/>
                <w:i/>
                <w:strike w:val="0"/>
              </w:rPr>
              <w:t xml:space="preserve"> That is the number to give a committee as the adverse tail."</w:t>
            </w:r>
            <w:r>
              <w:rPr>
                <w:b w:val="0"/>
                <w:i w:val="0"/>
                <w:strike w:val="0"/>
              </w:rPr>
              <w:t xml:space="preserve"> Mirror the same correction in the closing point.</w:t>
            </w:r>
          </w:p>
        </w:tc>
      </w:tr>
      <w:tr>
        <w:tc>
          <w:tcPr>
            <w:tcW w:type="dxa" w:w="1234"/>
          </w:tcPr>
          <w:p>
            <w:r>
              <w:rPr>
                <w:b/>
                <w:i w:val="0"/>
                <w:strike w:val="0"/>
              </w:rPr>
              <w:t>B-03</w:t>
            </w:r>
          </w:p>
        </w:tc>
        <w:tc>
          <w:tcPr>
            <w:tcW w:type="dxa" w:w="1234"/>
          </w:tcPr>
          <w:p>
            <w:r>
              <w:rPr>
                <w:b/>
                <w:i w:val="0"/>
                <w:strike w:val="0"/>
              </w:rPr>
              <w:t>Blocker</w:t>
            </w:r>
          </w:p>
        </w:tc>
        <w:tc>
          <w:tcPr>
            <w:tcW w:type="dxa" w:w="1234"/>
          </w:tcPr>
          <w:p>
            <w:r>
              <w:rPr>
                <w:rFonts w:ascii="Consolas" w:hAnsi="Consolas"/>
                <w:b w:val="0"/>
                <w:i w:val="0"/>
                <w:strike w:val="0"/>
                <w:color w:val="303030"/>
                <w:sz w:val="19"/>
              </w:rPr>
              <w:t>js/walkthrough.js</w:t>
            </w:r>
            <w:r>
              <w:rPr>
                <w:b w:val="0"/>
                <w:i w:val="0"/>
                <w:strike w:val="0"/>
              </w:rPr>
              <w:t xml:space="preserve"> L251–254, step 3 </w:t>
            </w:r>
            <w:r>
              <w:rPr>
                <w:rFonts w:ascii="Consolas" w:hAnsi="Consolas"/>
                <w:b w:val="0"/>
                <w:i w:val="0"/>
                <w:strike w:val="0"/>
                <w:color w:val="303030"/>
                <w:sz w:val="19"/>
              </w:rPr>
              <w:t>why</w:t>
            </w:r>
            <w:r>
              <w:rPr>
                <w:b w:val="0"/>
                <w:i w:val="0"/>
                <w:strike w:val="0"/>
              </w:rPr>
              <w:t xml:space="preserve"> ¶final (the only occurrence of the figure in the document)</w:t>
            </w:r>
          </w:p>
        </w:tc>
        <w:tc>
          <w:tcPr>
            <w:tcW w:type="dxa" w:w="1234"/>
          </w:tcPr>
          <w:p>
            <w:r>
              <w:rPr>
                <w:rFonts w:ascii="Consolas" w:hAnsi="Consolas"/>
                <w:b w:val="0"/>
                <w:i w:val="0"/>
                <w:strike w:val="0"/>
                <w:color w:val="303030"/>
                <w:sz w:val="19"/>
              </w:rPr>
              <w:t>$341,065</w:t>
            </w:r>
            <w:r>
              <w:rPr>
                <w:b w:val="0"/>
                <w:i w:val="0"/>
                <w:strike w:val="0"/>
              </w:rPr>
              <w:t xml:space="preserve"> travels without any part of its mandatory qualifier, and under a label the package formally withdrew for it. The document says only: </w:t>
            </w:r>
            <w:r>
              <w:rPr>
                <w:b w:val="0"/>
                <w:i/>
                <w:strike w:val="0"/>
              </w:rPr>
              <w:t>"illustrative profile A nets +$341,065 on the frozen-service baseline and −$21,500 on the work-to-eligibility baseline."</w:t>
            </w:r>
            <w:r>
              <w:rPr>
                <w:b w:val="0"/>
                <w:i w:val="0"/>
                <w:strike w:val="0"/>
              </w:rPr>
              <w:t xml:space="preserve"> Missing: that it is </w:t>
            </w:r>
            <w:r>
              <w:rPr>
                <w:b/>
                <w:i w:val="0"/>
                <w:strike w:val="0"/>
              </w:rPr>
              <w:t>the highest of seven published profiles</w:t>
            </w:r>
            <w:r>
              <w:rPr>
                <w:b w:val="0"/>
                <w:i w:val="0"/>
                <w:strike w:val="0"/>
              </w:rPr>
              <w:t xml:space="preserve">; that it is </w:t>
            </w:r>
            <w:r>
              <w:rPr>
                <w:b/>
                <w:i w:val="0"/>
                <w:strike w:val="0"/>
              </w:rPr>
              <w:t>not a cost per veteran and must not be multiplied by a participant count</w:t>
            </w:r>
            <w:r>
              <w:rPr>
                <w:b w:val="0"/>
                <w:i w:val="0"/>
                <w:strike w:val="0"/>
              </w:rPr>
              <w:t xml:space="preserve">; that the model-wide grid reaches ~$419,000. The phrase </w:t>
            </w:r>
            <w:r>
              <w:rPr>
                <w:b w:val="0"/>
                <w:i/>
                <w:strike w:val="0"/>
              </w:rPr>
              <w:t>"frozen-service"</w:t>
            </w:r>
            <w:r>
              <w:rPr>
                <w:b w:val="0"/>
                <w:i w:val="0"/>
                <w:strike w:val="0"/>
              </w:rPr>
              <w:t xml:space="preserve"> is used twice in step 3 and </w:t>
            </w:r>
            <w:r>
              <w:rPr>
                <w:b/>
                <w:i w:val="0"/>
                <w:strike w:val="0"/>
              </w:rPr>
              <w:t>nowhere defined in the document</w:t>
            </w:r>
            <w:r>
              <w:rPr>
                <w:b w:val="0"/>
                <w:i w:val="0"/>
                <w:strike w:val="0"/>
              </w:rPr>
              <w:t xml:space="preserve"> — the standalone page has no glossary, so the reader is never told the baseline is a same-retirement-date, same-service, reduced-allowance counterfactual.</w:t>
            </w:r>
          </w:p>
        </w:tc>
        <w:tc>
          <w:tcPr>
            <w:tcW w:type="dxa" w:w="1234"/>
          </w:tcPr>
          <w:p>
            <w:r>
              <w:rPr>
                <w:b w:val="0"/>
                <w:i w:val="0"/>
                <w:strike w:val="0"/>
              </w:rPr>
              <w:t xml:space="preserve">Open the circulated file and search </w:t>
            </w:r>
            <w:r>
              <w:rPr>
                <w:rFonts w:ascii="Consolas" w:hAnsi="Consolas"/>
                <w:b w:val="0"/>
                <w:i w:val="0"/>
                <w:strike w:val="0"/>
                <w:color w:val="303030"/>
                <w:sz w:val="19"/>
              </w:rPr>
              <w:t>341,065</w:t>
            </w:r>
            <w:r>
              <w:rPr>
                <w:b w:val="0"/>
                <w:i w:val="0"/>
                <w:strike w:val="0"/>
              </w:rPr>
              <w:t xml:space="preserve"> — exactly one occurrence, page 4 printed (verified under print media on A4 and Letter). A staffer multiplies $341,065 × 222 participants and reports a $75.7M cost against the package's own $7.15M — a ten-fold error whose every component the document supplied. Separately, a reviewer who knows the package's position reads </w:t>
            </w:r>
            <w:r>
              <w:rPr>
                <w:b w:val="0"/>
                <w:i/>
                <w:strike w:val="0"/>
              </w:rPr>
              <w:t>"frozen-service baseline"</w:t>
            </w:r>
            <w:r>
              <w:rPr>
                <w:b w:val="0"/>
                <w:i w:val="0"/>
                <w:strike w:val="0"/>
              </w:rPr>
              <w:t xml:space="preserve"> and concludes the walk-through is pricing the deferred-member concept the model expressly does not price.</w:t>
            </w:r>
          </w:p>
        </w:tc>
        <w:tc>
          <w:tcPr>
            <w:tcW w:type="dxa" w:w="1234"/>
          </w:tcPr>
          <w:p>
            <w:r>
              <w:rPr>
                <w:rFonts w:ascii="Consolas" w:hAnsi="Consolas"/>
                <w:b w:val="0"/>
                <w:i w:val="0"/>
                <w:strike w:val="0"/>
                <w:color w:val="303030"/>
                <w:sz w:val="19"/>
              </w:rPr>
              <w:t>README.md</w:t>
            </w:r>
            <w:r>
              <w:rPr>
                <w:b w:val="0"/>
                <w:i w:val="0"/>
                <w:strike w:val="0"/>
              </w:rPr>
              <w:t xml:space="preserve"> L13 and L178, and </w:t>
            </w:r>
            <w:r>
              <w:rPr>
                <w:rFonts w:ascii="Consolas" w:hAnsi="Consolas"/>
                <w:b w:val="0"/>
                <w:i w:val="0"/>
                <w:strike w:val="0"/>
                <w:color w:val="303030"/>
                <w:sz w:val="19"/>
              </w:rPr>
              <w:t>08-fiscal-model-memo.md</w:t>
            </w:r>
            <w:r>
              <w:rPr>
                <w:b w:val="0"/>
                <w:i w:val="0"/>
                <w:strike w:val="0"/>
              </w:rPr>
              <w:t xml:space="preserve"> L26: the figure is </w:t>
            </w:r>
            <w:r>
              <w:rPr>
                <w:b w:val="0"/>
                <w:i/>
                <w:strike w:val="0"/>
              </w:rPr>
              <w:t xml:space="preserve">"the modeled net value above the member purchase price in the single most favorable published profile … </w:t>
            </w:r>
            <w:r>
              <w:rPr>
                <w:b w:val="0"/>
                <w:i/>
                <w:strike w:val="0"/>
              </w:rPr>
              <w:t>not</w:t>
            </w:r>
            <w:r>
              <w:rPr>
                <w:b w:val="0"/>
                <w:i/>
                <w:strike w:val="0"/>
              </w:rPr>
              <w:t xml:space="preserve"> a cost per veteran and must not be multiplied by a participant count"</w:t>
            </w:r>
            <w:r>
              <w:rPr>
                <w:b w:val="0"/>
                <w:i w:val="0"/>
                <w:strike w:val="0"/>
              </w:rPr>
              <w:t xml:space="preserve">; L13 records both corrections, including that </w:t>
            </w:r>
            <w:r>
              <w:rPr>
                <w:b w:val="0"/>
                <w:i/>
                <w:strike w:val="0"/>
              </w:rPr>
              <w:t>"this figure was previously labeled a 'frozen-service' scenario, which it is not"</w:t>
            </w:r>
            <w:r>
              <w:rPr>
                <w:b w:val="0"/>
                <w:i w:val="0"/>
                <w:strike w:val="0"/>
              </w:rPr>
              <w:t xml:space="preserve">. The dashboard already complies: </w:t>
            </w:r>
            <w:r>
              <w:rPr>
                <w:rFonts w:ascii="Consolas" w:hAnsi="Consolas"/>
                <w:b w:val="0"/>
                <w:i w:val="0"/>
                <w:strike w:val="0"/>
                <w:color w:val="303030"/>
                <w:sz w:val="19"/>
              </w:rPr>
              <w:t>js/ui.js</w:t>
            </w:r>
            <w:r>
              <w:rPr>
                <w:b w:val="0"/>
                <w:i w:val="0"/>
                <w:strike w:val="0"/>
              </w:rPr>
              <w:t xml:space="preserve"> L597–601 prints </w:t>
            </w:r>
            <w:r>
              <w:rPr>
                <w:b w:val="0"/>
                <w:i/>
                <w:strike w:val="0"/>
              </w:rPr>
              <w:t>"the most favorable of the seven published profiles—not a cost per veteran and not a model-wide maximum … reaches approximately $419,000 in its most favorable single cell."</w:t>
            </w:r>
            <w:r>
              <w:rPr>
                <w:b w:val="0"/>
                <w:i w:val="0"/>
                <w:strike w:val="0"/>
              </w:rPr>
              <w:t xml:space="preserve"> Independently verified: </w:t>
            </w:r>
            <w:r>
              <w:rPr>
                <w:rFonts w:ascii="Consolas" w:hAnsi="Consolas"/>
                <w:b w:val="0"/>
                <w:i w:val="0"/>
                <w:strike w:val="0"/>
                <w:color w:val="303030"/>
                <w:sz w:val="19"/>
              </w:rPr>
              <w:t>fiscal-model/out/T1-price-vs-value.csv</w:t>
            </w:r>
            <w:r>
              <w:rPr>
                <w:b w:val="0"/>
                <w:i w:val="0"/>
                <w:strike w:val="0"/>
              </w:rPr>
              <w:t xml:space="preserve"> has seven profiles; profile A's $341,065 is the highest, the next is $101,480, the mean of the six non-hybrid SUB profiles is $93,033.</w:t>
            </w:r>
          </w:p>
        </w:tc>
        <w:tc>
          <w:tcPr>
            <w:tcW w:type="dxa" w:w="1234"/>
          </w:tcPr>
          <w:p>
            <w:r>
              <w:rPr>
                <w:b w:val="0"/>
                <w:i w:val="0"/>
                <w:strike w:val="0"/>
              </w:rPr>
              <w:t xml:space="preserve">Carry the dashboard's own sentence into step 3 verbatim, and replace the undefined label. For example: </w:t>
            </w:r>
            <w:r>
              <w:rPr>
                <w:b w:val="0"/>
                <w:i/>
                <w:strike w:val="0"/>
              </w:rPr>
              <w:t xml:space="preserve">"Panel E shows the same split for one member. Illustrative profile A — </w:t>
            </w:r>
            <w:r>
              <w:rPr>
                <w:b w:val="0"/>
                <w:i/>
                <w:strike w:val="0"/>
              </w:rPr>
              <w:t>the most favourable of the seven published profiles, not a cost per veteran and never to be multiplied by a participant count</w:t>
            </w:r>
            <w:r>
              <w:rPr>
                <w:b w:val="0"/>
                <w:i/>
                <w:strike w:val="0"/>
              </w:rPr>
              <w:t xml:space="preserve"> — nets </w:t>
            </w:r>
            <w:r>
              <w:rPr>
                <w:b w:val="0"/>
                <w:i/>
                <w:strike w:val="0"/>
              </w:rPr>
              <w:t>+$341,065</w:t>
            </w:r>
            <w:r>
              <w:rPr>
                <w:b w:val="0"/>
                <w:i/>
                <w:strike w:val="0"/>
              </w:rPr>
              <w:t xml:space="preserve"> measured against retiring on the </w:t>
            </w:r>
            <w:r>
              <w:rPr>
                <w:b w:val="0"/>
                <w:i/>
                <w:strike w:val="0"/>
              </w:rPr>
              <w:t>same date with the same service</w:t>
            </w:r>
            <w:r>
              <w:rPr>
                <w:b w:val="0"/>
                <w:i/>
                <w:strike w:val="0"/>
              </w:rPr>
              <w:t xml:space="preserve"> under the current-law reduced allowance, and </w:t>
            </w:r>
            <w:r>
              <w:rPr>
                <w:b w:val="0"/>
                <w:i/>
                <w:strike w:val="0"/>
              </w:rPr>
              <w:t>−$21,500</w:t>
            </w:r>
            <w:r>
              <w:rPr>
                <w:b w:val="0"/>
                <w:i/>
                <w:strike w:val="0"/>
              </w:rPr>
              <w:t xml:space="preserve"> measured against working on to unreduced eligibility. The next most favourable published profile nets $101,480; the model's own cell grid reaches about $419,000."</w:t>
            </w:r>
          </w:p>
        </w:tc>
      </w:tr>
    </w:tbl>
    <w:p/>
    <w:p>
      <w:pPr>
        <w:pStyle w:val="Heading3"/>
      </w:pPr>
      <w:r>
        <w:rPr>
          <w:b w:val="0"/>
          <w:i w:val="0"/>
          <w:strike w:val="0"/>
        </w:rPr>
        <w:t>Material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strike w:val="0"/>
              </w:rPr>
              <w:t>#</w:t>
            </w:r>
          </w:p>
        </w:tc>
        <w:tc>
          <w:tcPr>
            <w:tcW w:type="dxa" w:w="1234"/>
          </w:tcPr>
          <w:p>
            <w:r>
              <w:rPr>
                <w:b/>
                <w:i w:val="0"/>
                <w:strike w:val="0"/>
              </w:rPr>
              <w:t>Severity</w:t>
            </w:r>
          </w:p>
        </w:tc>
        <w:tc>
          <w:tcPr>
            <w:tcW w:type="dxa" w:w="1234"/>
          </w:tcPr>
          <w:p>
            <w:r>
              <w:rPr>
                <w:b/>
                <w:i w:val="0"/>
                <w:strike w:val="0"/>
              </w:rPr>
              <w:t>Location</w:t>
            </w:r>
          </w:p>
        </w:tc>
        <w:tc>
          <w:tcPr>
            <w:tcW w:type="dxa" w:w="1234"/>
          </w:tcPr>
          <w:p>
            <w:r>
              <w:rPr>
                <w:b/>
                <w:i w:val="0"/>
                <w:strike w:val="0"/>
              </w:rPr>
              <w:t>What is wrong</w:t>
            </w:r>
          </w:p>
        </w:tc>
        <w:tc>
          <w:tcPr>
            <w:tcW w:type="dxa" w:w="1234"/>
          </w:tcPr>
          <w:p>
            <w:r>
              <w:rPr>
                <w:b/>
                <w:i w:val="0"/>
                <w:strike w:val="0"/>
              </w:rPr>
              <w:t>Reproduction and failure scenario</w:t>
            </w:r>
          </w:p>
        </w:tc>
        <w:tc>
          <w:tcPr>
            <w:tcW w:type="dxa" w:w="1234"/>
          </w:tcPr>
          <w:p>
            <w:r>
              <w:rPr>
                <w:b/>
                <w:i w:val="0"/>
                <w:strike w:val="0"/>
              </w:rPr>
              <w:t>Authority</w:t>
            </w:r>
          </w:p>
        </w:tc>
        <w:tc>
          <w:tcPr>
            <w:tcW w:type="dxa" w:w="1234"/>
          </w:tcPr>
          <w:p>
            <w:r>
              <w:rPr>
                <w:b/>
                <w:i w:val="0"/>
                <w:strike w:val="0"/>
              </w:rPr>
              <w:t>Suggested direction</w:t>
            </w:r>
          </w:p>
        </w:tc>
      </w:tr>
      <w:tr>
        <w:tc>
          <w:tcPr>
            <w:tcW w:type="dxa" w:w="1234"/>
          </w:tcPr>
          <w:p>
            <w:r>
              <w:rPr>
                <w:b/>
                <w:i w:val="0"/>
                <w:strike w:val="0"/>
              </w:rPr>
              <w:t>S-01</w:t>
            </w:r>
          </w:p>
        </w:tc>
        <w:tc>
          <w:tcPr>
            <w:tcW w:type="dxa" w:w="1234"/>
          </w:tcPr>
          <w:p>
            <w:r>
              <w:rPr>
                <w:b w:val="0"/>
                <w:i w:val="0"/>
                <w:strike w:val="0"/>
              </w:rPr>
              <w:t>Material</w:t>
            </w:r>
          </w:p>
        </w:tc>
        <w:tc>
          <w:tcPr>
            <w:tcW w:type="dxa" w:w="1234"/>
          </w:tcPr>
          <w:p>
            <w:r>
              <w:rPr>
                <w:rFonts w:ascii="Consolas" w:hAnsi="Consolas"/>
                <w:b w:val="0"/>
                <w:i w:val="0"/>
                <w:strike w:val="0"/>
                <w:color w:val="303030"/>
                <w:sz w:val="19"/>
              </w:rPr>
              <w:t>walkthrough.html</w:t>
            </w:r>
            <w:r>
              <w:rPr>
                <w:b w:val="0"/>
                <w:i w:val="0"/>
                <w:strike w:val="0"/>
              </w:rPr>
              <w:t xml:space="preserve"> L32 (</w:t>
            </w:r>
            <w:r>
              <w:rPr>
                <w:rFonts w:ascii="Consolas" w:hAnsi="Consolas"/>
                <w:b w:val="0"/>
                <w:i w:val="0"/>
                <w:strike w:val="0"/>
                <w:color w:val="303030"/>
                <w:sz w:val="19"/>
              </w:rPr>
              <w:t>.disclaimer</w:t>
            </w:r>
            <w:r>
              <w:rPr>
                <w:b w:val="0"/>
                <w:i w:val="0"/>
                <w:strike w:val="0"/>
              </w:rPr>
              <w:t xml:space="preserve"> inside </w:t>
            </w:r>
            <w:r>
              <w:rPr>
                <w:rFonts w:ascii="Consolas" w:hAnsi="Consolas"/>
                <w:b w:val="0"/>
                <w:i w:val="0"/>
                <w:strike w:val="0"/>
                <w:color w:val="303030"/>
                <w:sz w:val="19"/>
              </w:rPr>
              <w:t>&lt;header class="masthead"&gt;</w:t>
            </w:r>
            <w:r>
              <w:rPr>
                <w:b w:val="0"/>
                <w:i w:val="0"/>
                <w:strike w:val="0"/>
              </w:rPr>
              <w:t xml:space="preserve">, closing L43); </w:t>
            </w:r>
            <w:r>
              <w:rPr>
                <w:rFonts w:ascii="Consolas" w:hAnsi="Consolas"/>
                <w:b w:val="0"/>
                <w:i w:val="0"/>
                <w:strike w:val="0"/>
                <w:color w:val="303030"/>
                <w:sz w:val="19"/>
              </w:rPr>
              <w:t>css/explorer.css</w:t>
            </w:r>
            <w:r>
              <w:rPr>
                <w:b w:val="0"/>
                <w:i w:val="0"/>
                <w:strike w:val="0"/>
              </w:rPr>
              <w:t xml:space="preserve"> L500–506</w:t>
            </w:r>
          </w:p>
        </w:tc>
        <w:tc>
          <w:tcPr>
            <w:tcW w:type="dxa" w:w="1234"/>
          </w:tcPr>
          <w:p>
            <w:r>
              <w:rPr>
                <w:b w:val="0"/>
                <w:i w:val="0"/>
                <w:strike w:val="0"/>
              </w:rPr>
              <w:t xml:space="preserve">The printed and PDF-exported walk-through loses the masthead disclaimer block entirely — and with it the </w:t>
            </w:r>
            <w:r>
              <w:rPr>
                <w:b/>
                <w:i w:val="0"/>
                <w:strike w:val="0"/>
              </w:rPr>
              <w:t>whole bill and package version stamp</w:t>
            </w:r>
            <w:r>
              <w:rPr>
                <w:b w:val="0"/>
                <w:i w:val="0"/>
                <w:strike w:val="0"/>
              </w:rPr>
              <w:t xml:space="preserve">. This is the MOO-265 dashboard defect, </w:t>
            </w:r>
            <w:r>
              <w:rPr>
                <w:b/>
                <w:i w:val="0"/>
                <w:strike w:val="0"/>
              </w:rPr>
              <w:t>fixed in `index.html` and not fixed here</w:t>
            </w:r>
            <w:r>
              <w:rPr>
                <w:b w:val="0"/>
                <w:i w:val="0"/>
                <w:strike w:val="0"/>
              </w:rPr>
              <w:t xml:space="preserve">: </w:t>
            </w:r>
            <w:r>
              <w:rPr>
                <w:rFonts w:ascii="Consolas" w:hAnsi="Consolas"/>
                <w:b w:val="0"/>
                <w:i w:val="0"/>
                <w:strike w:val="0"/>
                <w:color w:val="303030"/>
                <w:sz w:val="19"/>
              </w:rPr>
              <w:t>index.html</w:t>
            </w:r>
            <w:r>
              <w:rPr>
                <w:b w:val="0"/>
                <w:i w:val="0"/>
                <w:strike w:val="0"/>
              </w:rPr>
              <w:t xml:space="preserve"> closes </w:t>
            </w:r>
            <w:r>
              <w:rPr>
                <w:rFonts w:ascii="Consolas" w:hAnsi="Consolas"/>
                <w:b w:val="0"/>
                <w:i w:val="0"/>
                <w:strike w:val="0"/>
                <w:color w:val="303030"/>
                <w:sz w:val="19"/>
              </w:rPr>
              <w:t>&lt;/header&gt;</w:t>
            </w:r>
            <w:r>
              <w:rPr>
                <w:b w:val="0"/>
                <w:i w:val="0"/>
                <w:strike w:val="0"/>
              </w:rPr>
              <w:t xml:space="preserve"> at L46 and puts </w:t>
            </w:r>
            <w:r>
              <w:rPr>
                <w:rFonts w:ascii="Consolas" w:hAnsi="Consolas"/>
                <w:b w:val="0"/>
                <w:i w:val="0"/>
                <w:strike w:val="0"/>
                <w:color w:val="303030"/>
                <w:sz w:val="19"/>
              </w:rPr>
              <w:t>.disclaimer</w:t>
            </w:r>
            <w:r>
              <w:rPr>
                <w:b w:val="0"/>
                <w:i w:val="0"/>
                <w:strike w:val="0"/>
              </w:rPr>
              <w:t xml:space="preserve"> outside it at L48; </w:t>
            </w:r>
            <w:r>
              <w:rPr>
                <w:rFonts w:ascii="Consolas" w:hAnsi="Consolas"/>
                <w:b w:val="0"/>
                <w:i w:val="0"/>
                <w:strike w:val="0"/>
                <w:color w:val="303030"/>
                <w:sz w:val="19"/>
              </w:rPr>
              <w:t>walkthrough.html</w:t>
            </w:r>
            <w:r>
              <w:rPr>
                <w:b w:val="0"/>
                <w:i w:val="0"/>
                <w:strike w:val="0"/>
              </w:rPr>
              <w:t xml:space="preserve"> still nests it inside. </w:t>
            </w:r>
            <w:r>
              <w:rPr>
                <w:rFonts w:ascii="Consolas" w:hAnsi="Consolas"/>
                <w:b w:val="0"/>
                <w:i w:val="0"/>
                <w:strike w:val="0"/>
                <w:color w:val="303030"/>
                <w:sz w:val="19"/>
              </w:rPr>
              <w:t>@media print</w:t>
            </w:r>
            <w:r>
              <w:rPr>
                <w:b w:val="0"/>
                <w:i w:val="0"/>
                <w:strike w:val="0"/>
              </w:rPr>
              <w:t xml:space="preserve"> sets </w:t>
            </w:r>
            <w:r>
              <w:rPr>
                <w:rFonts w:ascii="Consolas" w:hAnsi="Consolas"/>
                <w:b w:val="0"/>
                <w:i w:val="0"/>
                <w:strike w:val="0"/>
                <w:color w:val="303030"/>
                <w:sz w:val="19"/>
              </w:rPr>
              <w:t>.masthead { display: none !important }</w:t>
            </w:r>
            <w:r>
              <w:rPr>
                <w:b w:val="0"/>
                <w:i w:val="0"/>
                <w:strike w:val="0"/>
              </w:rPr>
              <w:t xml:space="preserve">, and </w:t>
            </w:r>
            <w:r>
              <w:rPr>
                <w:rFonts w:ascii="Consolas" w:hAnsi="Consolas"/>
                <w:b w:val="0"/>
                <w:i w:val="0"/>
                <w:strike w:val="0"/>
                <w:color w:val="303030"/>
                <w:sz w:val="19"/>
              </w:rPr>
              <w:t>display: block !important</w:t>
            </w:r>
            <w:r>
              <w:rPr>
                <w:b w:val="0"/>
                <w:i w:val="0"/>
                <w:strike w:val="0"/>
              </w:rPr>
              <w:t xml:space="preserve"> on a descendant of a </w:t>
            </w:r>
            <w:r>
              <w:rPr>
                <w:rFonts w:ascii="Consolas" w:hAnsi="Consolas"/>
                <w:b w:val="0"/>
                <w:i w:val="0"/>
                <w:strike w:val="0"/>
                <w:color w:val="303030"/>
                <w:sz w:val="19"/>
              </w:rPr>
              <w:t>display: none</w:t>
            </w:r>
            <w:r>
              <w:rPr>
                <w:b w:val="0"/>
                <w:i w:val="0"/>
                <w:strike w:val="0"/>
              </w:rPr>
              <w:t xml:space="preserve"> ancestor does not restore layout. The </w:t>
            </w:r>
            <w:r>
              <w:rPr>
                <w:rFonts w:ascii="Consolas" w:hAnsi="Consolas"/>
                <w:b w:val="0"/>
                <w:i w:val="0"/>
                <w:strike w:val="0"/>
                <w:color w:val="303030"/>
                <w:sz w:val="19"/>
              </w:rPr>
              <w:t>print-required</w:t>
            </w:r>
            <w:r>
              <w:rPr>
                <w:b w:val="0"/>
                <w:i w:val="0"/>
                <w:strike w:val="0"/>
              </w:rPr>
              <w:t xml:space="preserve"> class is dead code: the stylesheet gives it margins only, so the class name asserts a guarantee the stylesheet does not deliver.</w:t>
            </w:r>
          </w:p>
        </w:tc>
        <w:tc>
          <w:tcPr>
            <w:tcW w:type="dxa" w:w="1234"/>
          </w:tcPr>
          <w:p>
            <w:r>
              <w:rPr>
                <w:b w:val="0"/>
                <w:i w:val="0"/>
                <w:strike w:val="0"/>
              </w:rPr>
              <w:t xml:space="preserve">Press </w:t>
            </w:r>
            <w:r>
              <w:rPr>
                <w:b/>
                <w:i w:val="0"/>
                <w:strike w:val="0"/>
              </w:rPr>
              <w:t>Print / save as PDF</w:t>
            </w:r>
            <w:r>
              <w:rPr>
                <w:b w:val="0"/>
                <w:i w:val="0"/>
                <w:strike w:val="0"/>
              </w:rPr>
              <w:t xml:space="preserve"> on the circulated file. Verified empirically under emulated print media on both A4 and US Letter: </w:t>
            </w:r>
            <w:r>
              <w:rPr>
                <w:rFonts w:ascii="Consolas" w:hAnsi="Consolas"/>
                <w:b w:val="0"/>
                <w:i w:val="0"/>
                <w:strike w:val="0"/>
                <w:color w:val="303030"/>
                <w:sz w:val="19"/>
              </w:rPr>
              <w:t>.masthead</w:t>
            </w:r>
            <w:r>
              <w:rPr>
                <w:b w:val="0"/>
                <w:i w:val="0"/>
                <w:strike w:val="0"/>
              </w:rPr>
              <w:t xml:space="preserve"> computes </w:t>
            </w:r>
            <w:r>
              <w:rPr>
                <w:rFonts w:ascii="Consolas" w:hAnsi="Consolas"/>
                <w:b w:val="0"/>
                <w:i w:val="0"/>
                <w:strike w:val="0"/>
                <w:color w:val="303030"/>
                <w:sz w:val="19"/>
              </w:rPr>
              <w:t>display: none</w:t>
            </w:r>
            <w:r>
              <w:rPr>
                <w:b w:val="0"/>
                <w:i w:val="0"/>
                <w:strike w:val="0"/>
              </w:rPr>
              <w:t xml:space="preserve">, </w:t>
            </w:r>
            <w:r>
              <w:rPr>
                <w:rFonts w:ascii="Consolas" w:hAnsi="Consolas"/>
                <w:b w:val="0"/>
                <w:i w:val="0"/>
                <w:strike w:val="0"/>
                <w:color w:val="303030"/>
                <w:sz w:val="19"/>
              </w:rPr>
              <w:t>.disclaimer</w:t>
            </w:r>
            <w:r>
              <w:rPr>
                <w:b w:val="0"/>
                <w:i w:val="0"/>
                <w:strike w:val="0"/>
              </w:rPr>
              <w:t xml:space="preserve"> computes </w:t>
            </w:r>
            <w:r>
              <w:rPr>
                <w:rFonts w:ascii="Consolas" w:hAnsi="Consolas"/>
                <w:b w:val="0"/>
                <w:i w:val="0"/>
                <w:strike w:val="0"/>
                <w:color w:val="303030"/>
                <w:sz w:val="19"/>
              </w:rPr>
              <w:t>display: block</w:t>
            </w:r>
            <w:r>
              <w:rPr>
                <w:b w:val="0"/>
                <w:i w:val="0"/>
                <w:strike w:val="0"/>
              </w:rPr>
              <w:t xml:space="preserve"> but returns a 0×0 bounding rect and a null </w:t>
            </w:r>
            <w:r>
              <w:rPr>
                <w:rFonts w:ascii="Consolas" w:hAnsi="Consolas"/>
                <w:b w:val="0"/>
                <w:i w:val="0"/>
                <w:strike w:val="0"/>
                <w:color w:val="303030"/>
                <w:sz w:val="19"/>
              </w:rPr>
              <w:t>offsetParent</w:t>
            </w:r>
            <w:r>
              <w:rPr>
                <w:b w:val="0"/>
                <w:i w:val="0"/>
                <w:strike w:val="0"/>
              </w:rPr>
              <w:t xml:space="preserve">, and the string </w:t>
            </w:r>
            <w:r>
              <w:rPr>
                <w:b w:val="0"/>
                <w:i/>
                <w:strike w:val="0"/>
              </w:rPr>
              <w:t>"bill version 1.4, package version 1.5"</w:t>
            </w:r>
            <w:r>
              <w:rPr>
                <w:b w:val="0"/>
                <w:i w:val="0"/>
                <w:strike w:val="0"/>
              </w:rPr>
              <w:t xml:space="preserve"> has </w:t>
            </w:r>
            <w:r>
              <w:rPr>
                <w:b/>
                <w:i w:val="0"/>
                <w:strike w:val="0"/>
              </w:rPr>
              <w:t>zero visible occurrences</w:t>
            </w:r>
            <w:r>
              <w:rPr>
                <w:b w:val="0"/>
                <w:i w:val="0"/>
                <w:strike w:val="0"/>
              </w:rPr>
              <w:t xml:space="preserve"> in the printed document. A printed walk-through in a committee folder cannot be matched to a bill version — for a document that narrates a moving bill, and which already carries one stale version reference (S-02), that is the defect that makes the other one unfixable after the fact.</w:t>
            </w:r>
          </w:p>
        </w:tc>
        <w:tc>
          <w:tcPr>
            <w:tcW w:type="dxa" w:w="1234"/>
          </w:tcPr>
          <w:p>
            <w:r>
              <w:rPr>
                <w:b w:val="0"/>
                <w:i w:val="0"/>
                <w:strike w:val="0"/>
              </w:rPr>
              <w:t xml:space="preserve">MOO-265, </w:t>
            </w:r>
            <w:r>
              <w:rPr>
                <w:rFonts w:ascii="Consolas" w:hAnsi="Consolas"/>
                <w:b w:val="0"/>
                <w:i w:val="0"/>
                <w:strike w:val="0"/>
                <w:color w:val="303030"/>
                <w:sz w:val="19"/>
              </w:rPr>
              <w:t>10-counsel-review-explorer.md</w:t>
            </w:r>
            <w:r>
              <w:rPr>
                <w:b w:val="0"/>
                <w:i w:val="0"/>
                <w:strike w:val="0"/>
              </w:rPr>
              <w:t>, second blocker. Verified by direct measurement in headless Chrome.</w:t>
            </w:r>
          </w:p>
        </w:tc>
        <w:tc>
          <w:tcPr>
            <w:tcW w:type="dxa" w:w="1234"/>
          </w:tcPr>
          <w:p>
            <w:r>
              <w:rPr>
                <w:b w:val="0"/>
                <w:i w:val="0"/>
                <w:strike w:val="0"/>
              </w:rPr>
              <w:t xml:space="preserve">Apply the fix </w:t>
            </w:r>
            <w:r>
              <w:rPr>
                <w:rFonts w:ascii="Consolas" w:hAnsi="Consolas"/>
                <w:b w:val="0"/>
                <w:i w:val="0"/>
                <w:strike w:val="0"/>
                <w:color w:val="303030"/>
                <w:sz w:val="19"/>
              </w:rPr>
              <w:t>index.html</w:t>
            </w:r>
            <w:r>
              <w:rPr>
                <w:b w:val="0"/>
                <w:i w:val="0"/>
                <w:strike w:val="0"/>
              </w:rPr>
              <w:t xml:space="preserve"> already received: move the </w:t>
            </w:r>
            <w:r>
              <w:rPr>
                <w:rFonts w:ascii="Consolas" w:hAnsi="Consolas"/>
                <w:b w:val="0"/>
                <w:i w:val="0"/>
                <w:strike w:val="0"/>
                <w:color w:val="303030"/>
                <w:sz w:val="19"/>
              </w:rPr>
              <w:t>.disclaimer</w:t>
            </w:r>
            <w:r>
              <w:rPr>
                <w:b w:val="0"/>
                <w:i w:val="0"/>
                <w:strike w:val="0"/>
              </w:rPr>
              <w:t xml:space="preserve"> div outside </w:t>
            </w:r>
            <w:r>
              <w:rPr>
                <w:rFonts w:ascii="Consolas" w:hAnsi="Consolas"/>
                <w:b w:val="0"/>
                <w:i w:val="0"/>
                <w:strike w:val="0"/>
                <w:color w:val="303030"/>
                <w:sz w:val="19"/>
              </w:rPr>
              <w:t>&lt;/header&gt;</w:t>
            </w:r>
            <w:r>
              <w:rPr>
                <w:b w:val="0"/>
                <w:i w:val="0"/>
                <w:strike w:val="0"/>
              </w:rPr>
              <w:t xml:space="preserve">. Then either delete the </w:t>
            </w:r>
            <w:r>
              <w:rPr>
                <w:rFonts w:ascii="Consolas" w:hAnsi="Consolas"/>
                <w:b w:val="0"/>
                <w:i w:val="0"/>
                <w:strike w:val="0"/>
                <w:color w:val="303030"/>
                <w:sz w:val="19"/>
              </w:rPr>
              <w:t>print-required</w:t>
            </w:r>
            <w:r>
              <w:rPr>
                <w:b w:val="0"/>
                <w:i w:val="0"/>
                <w:strike w:val="0"/>
              </w:rPr>
              <w:t xml:space="preserve"> class or give it a print rule that does something. Separately, add the bill/package version to the closing footer so the version stamp cannot be lost by any stylesheet. </w:t>
            </w:r>
            <w:r>
              <w:rPr>
                <w:b/>
                <w:i w:val="0"/>
                <w:strike w:val="0"/>
              </w:rPr>
              <w:t>Note:</w:t>
            </w:r>
            <w:r>
              <w:rPr>
                <w:b w:val="0"/>
                <w:i w:val="0"/>
                <w:strike w:val="0"/>
              </w:rPr>
              <w:t xml:space="preserve"> the substantive § 30-19.1:7 disclaimer does survive in print — in the intro's fourth paragraph, in step 7, twice in step 10 and twice in the closing footer, which also carries the attribution line. So this is not a repeat of MOO-265's </w:t>
            </w:r>
            <w:r>
              <w:rPr>
                <w:b w:val="0"/>
                <w:i/>
                <w:strike w:val="0"/>
              </w:rPr>
              <w:t>"carries no disclaimer at all"</w:t>
            </w:r>
            <w:r>
              <w:rPr>
                <w:b w:val="0"/>
                <w:i w:val="0"/>
                <w:strike w:val="0"/>
              </w:rPr>
              <w:t>; it is the version stamp, the provenance-badge legend and the attribution line at the top that are lost. Rated Material, not Blocker, for that reason.</w:t>
            </w:r>
          </w:p>
        </w:tc>
      </w:tr>
      <w:tr>
        <w:tc>
          <w:tcPr>
            <w:tcW w:type="dxa" w:w="1234"/>
          </w:tcPr>
          <w:p>
            <w:r>
              <w:rPr>
                <w:b/>
                <w:i w:val="0"/>
                <w:strike w:val="0"/>
              </w:rPr>
              <w:t>S-02</w:t>
            </w:r>
          </w:p>
        </w:tc>
        <w:tc>
          <w:tcPr>
            <w:tcW w:type="dxa" w:w="1234"/>
          </w:tcPr>
          <w:p>
            <w:r>
              <w:rPr>
                <w:b w:val="0"/>
                <w:i w:val="0"/>
                <w:strike w:val="0"/>
              </w:rPr>
              <w:t>Material</w:t>
            </w:r>
          </w:p>
        </w:tc>
        <w:tc>
          <w:tcPr>
            <w:tcW w:type="dxa" w:w="1234"/>
          </w:tcPr>
          <w:p>
            <w:r>
              <w:rPr>
                <w:rFonts w:ascii="Consolas" w:hAnsi="Consolas"/>
                <w:b w:val="0"/>
                <w:i w:val="0"/>
                <w:strike w:val="0"/>
                <w:color w:val="303030"/>
                <w:sz w:val="19"/>
              </w:rPr>
              <w:t>js/walkthrough.js</w:t>
            </w:r>
            <w:r>
              <w:rPr>
                <w:b w:val="0"/>
                <w:i w:val="0"/>
                <w:strike w:val="0"/>
              </w:rPr>
              <w:t xml:space="preserve"> L650–653, step 10 </w:t>
            </w:r>
            <w:r>
              <w:rPr>
                <w:rFonts w:ascii="Consolas" w:hAnsi="Consolas"/>
                <w:b w:val="0"/>
                <w:i w:val="0"/>
                <w:strike w:val="0"/>
                <w:color w:val="303030"/>
                <w:sz w:val="19"/>
              </w:rPr>
              <w:t>significance</w:t>
            </w:r>
            <w:r>
              <w:rPr>
                <w:b w:val="0"/>
                <w:i w:val="0"/>
                <w:strike w:val="0"/>
              </w:rPr>
              <w:t>, numbered item 1</w:t>
            </w:r>
          </w:p>
        </w:tc>
        <w:tc>
          <w:tcPr>
            <w:tcW w:type="dxa" w:w="1234"/>
          </w:tcPr>
          <w:p>
            <w:r>
              <w:rPr>
                <w:b w:val="0"/>
                <w:i w:val="0"/>
                <w:strike w:val="0"/>
              </w:rPr>
              <w:t xml:space="preserve">Stale bill version, contradicted by the same document's own masthead. Step 10 says: </w:t>
            </w:r>
            <w:r>
              <w:rPr>
                <w:b w:val="0"/>
                <w:i/>
                <w:strike w:val="0"/>
              </w:rPr>
              <w:t xml:space="preserve">"It is complete for bill version 1.1; the operative text is now </w:t>
            </w:r>
            <w:r>
              <w:rPr>
                <w:b w:val="0"/>
                <w:i/>
                <w:strike w:val="0"/>
              </w:rPr>
              <w:t>version 1.3</w:t>
            </w:r>
            <w:r>
              <w:rPr>
                <w:b w:val="0"/>
                <w:i/>
                <w:strike w:val="0"/>
              </w:rPr>
              <w:t>, and version 1.3 removes populations the model counted."</w:t>
            </w:r>
            <w:r>
              <w:rPr>
                <w:b w:val="0"/>
                <w:i w:val="0"/>
                <w:strike w:val="0"/>
              </w:rPr>
              <w:t xml:space="preserve"> The operative text is </w:t>
            </w:r>
            <w:r>
              <w:rPr>
                <w:b/>
                <w:i w:val="0"/>
                <w:strike w:val="0"/>
              </w:rPr>
              <w:t>version 1.4</w:t>
            </w:r>
            <w:r>
              <w:rPr>
                <w:b w:val="0"/>
                <w:i w:val="0"/>
                <w:strike w:val="0"/>
              </w:rPr>
              <w:t xml:space="preserve">. </w:t>
            </w:r>
            <w:r>
              <w:rPr>
                <w:rFonts w:ascii="Consolas" w:hAnsi="Consolas"/>
                <w:b w:val="0"/>
                <w:i w:val="0"/>
                <w:strike w:val="0"/>
                <w:color w:val="303030"/>
                <w:sz w:val="19"/>
              </w:rPr>
              <w:t>walkthrough.html</w:t>
            </w:r>
            <w:r>
              <w:rPr>
                <w:b w:val="0"/>
                <w:i w:val="0"/>
                <w:strike w:val="0"/>
              </w:rPr>
              <w:t xml:space="preserve"> L21 says </w:t>
            </w:r>
            <w:r>
              <w:rPr>
                <w:b w:val="0"/>
                <w:i/>
                <w:strike w:val="0"/>
              </w:rPr>
              <w:t>"bill version 1.4, package version 1.5"</w:t>
            </w:r>
            <w:r>
              <w:rPr>
                <w:b w:val="0"/>
                <w:i w:val="0"/>
                <w:strike w:val="0"/>
              </w:rPr>
              <w:t xml:space="preserve">; the dashboard's own exported qualifier string says </w:t>
            </w:r>
            <w:r>
              <w:rPr>
                <w:b w:val="0"/>
                <w:i/>
                <w:strike w:val="0"/>
              </w:rPr>
              <w:t>"operative text now at version 1.4"</w:t>
            </w:r>
            <w:r>
              <w:rPr>
                <w:b w:val="0"/>
                <w:i w:val="0"/>
                <w:strike w:val="0"/>
              </w:rPr>
              <w:t>.</w:t>
            </w:r>
          </w:p>
        </w:tc>
        <w:tc>
          <w:tcPr>
            <w:tcW w:type="dxa" w:w="1234"/>
          </w:tcPr>
          <w:p>
            <w:r>
              <w:rPr>
                <w:b w:val="0"/>
                <w:i w:val="0"/>
                <w:strike w:val="0"/>
              </w:rPr>
              <w:t>Open the circulated file, read the masthead, then read step 10 item 1. The document disagrees with itself about which bill it narrates, in the step whose entire purpose is to list what must happen before external use.</w:t>
            </w:r>
          </w:p>
        </w:tc>
        <w:tc>
          <w:tcPr>
            <w:tcW w:type="dxa" w:w="1234"/>
          </w:tcPr>
          <w:p>
            <w:r>
              <w:rPr>
                <w:rFonts w:ascii="Consolas" w:hAnsi="Consolas"/>
                <w:b w:val="0"/>
                <w:i w:val="0"/>
                <w:strike w:val="0"/>
                <w:color w:val="303030"/>
                <w:sz w:val="19"/>
              </w:rPr>
              <w:t>README.md</w:t>
            </w:r>
            <w:r>
              <w:rPr>
                <w:b w:val="0"/>
                <w:i w:val="0"/>
                <w:strike w:val="0"/>
              </w:rPr>
              <w:t xml:space="preserve"> L3: </w:t>
            </w:r>
            <w:r>
              <w:rPr>
                <w:b w:val="0"/>
                <w:i/>
                <w:strike w:val="0"/>
              </w:rPr>
              <w:t xml:space="preserve">"Package version 1.5 … operative bill text at </w:t>
            </w:r>
            <w:r>
              <w:rPr>
                <w:b w:val="0"/>
                <w:i/>
                <w:strike w:val="0"/>
              </w:rPr>
              <w:t>version 1.4</w:t>
            </w:r>
            <w:r>
              <w:rPr>
                <w:b w:val="0"/>
                <w:i/>
                <w:strike w:val="0"/>
              </w:rPr>
              <w:t>"</w:t>
            </w:r>
            <w:r>
              <w:rPr>
                <w:b w:val="0"/>
                <w:i w:val="0"/>
                <w:strike w:val="0"/>
              </w:rPr>
              <w:t xml:space="preserve">. </w:t>
            </w:r>
            <w:r>
              <w:rPr>
                <w:rFonts w:ascii="Consolas" w:hAnsi="Consolas"/>
                <w:b w:val="0"/>
                <w:i w:val="0"/>
                <w:strike w:val="0"/>
                <w:color w:val="303030"/>
                <w:sz w:val="19"/>
              </w:rPr>
              <w:t>js/ui.js</w:t>
            </w:r>
            <w:r>
              <w:rPr>
                <w:b w:val="0"/>
                <w:i w:val="0"/>
                <w:strike w:val="0"/>
              </w:rPr>
              <w:t xml:space="preserve"> L1097–1102, </w:t>
            </w:r>
            <w:r>
              <w:rPr>
                <w:rFonts w:ascii="Consolas" w:hAnsi="Consolas"/>
                <w:b w:val="0"/>
                <w:i w:val="0"/>
                <w:strike w:val="0"/>
                <w:color w:val="303030"/>
                <w:sz w:val="19"/>
              </w:rPr>
              <w:t>QUALIFIER</w:t>
            </w:r>
            <w:r>
              <w:rPr>
                <w:b w:val="0"/>
                <w:i w:val="0"/>
                <w:strike w:val="0"/>
              </w:rPr>
              <w:t>.</w:t>
            </w:r>
          </w:p>
        </w:tc>
        <w:tc>
          <w:tcPr>
            <w:tcW w:type="dxa" w:w="1234"/>
          </w:tcPr>
          <w:p>
            <w:r>
              <w:rPr>
                <w:b w:val="0"/>
                <w:i w:val="0"/>
                <w:strike w:val="0"/>
              </w:rPr>
              <w:t xml:space="preserve">Update to version 1.4 and say what 1.4 changed that the model does not carry: </w:t>
            </w:r>
            <w:r>
              <w:rPr>
                <w:b w:val="0"/>
                <w:i/>
                <w:strike w:val="0"/>
              </w:rPr>
              <w:t>"the operative text is now version 1.4, which removes populations the model counted (clauses B 1(iv) and B 1(v)) and adds the subdivision E 3 continuity requirement."</w:t>
            </w:r>
          </w:p>
        </w:tc>
      </w:tr>
      <w:tr>
        <w:tc>
          <w:tcPr>
            <w:tcW w:type="dxa" w:w="1234"/>
          </w:tcPr>
          <w:p>
            <w:r>
              <w:rPr>
                <w:b/>
                <w:i w:val="0"/>
                <w:strike w:val="0"/>
              </w:rPr>
              <w:t>S-03</w:t>
            </w:r>
          </w:p>
        </w:tc>
        <w:tc>
          <w:tcPr>
            <w:tcW w:type="dxa" w:w="1234"/>
          </w:tcPr>
          <w:p>
            <w:r>
              <w:rPr>
                <w:b w:val="0"/>
                <w:i w:val="0"/>
                <w:strike w:val="0"/>
              </w:rPr>
              <w:t>Material</w:t>
            </w:r>
          </w:p>
        </w:tc>
        <w:tc>
          <w:tcPr>
            <w:tcW w:type="dxa" w:w="1234"/>
          </w:tcPr>
          <w:p>
            <w:r>
              <w:rPr>
                <w:rFonts w:ascii="Consolas" w:hAnsi="Consolas"/>
                <w:b w:val="0"/>
                <w:i w:val="0"/>
                <w:strike w:val="0"/>
                <w:color w:val="303030"/>
                <w:sz w:val="19"/>
              </w:rPr>
              <w:t>js/walkthrough.js</w:t>
            </w:r>
            <w:r>
              <w:rPr>
                <w:b w:val="0"/>
                <w:i w:val="0"/>
                <w:strike w:val="0"/>
              </w:rPr>
              <w:t xml:space="preserve"> L772–775, </w:t>
            </w:r>
            <w:r>
              <w:rPr>
                <w:rFonts w:ascii="Consolas" w:hAnsi="Consolas"/>
                <w:b w:val="0"/>
                <w:i w:val="0"/>
                <w:strike w:val="0"/>
                <w:color w:val="303030"/>
                <w:sz w:val="19"/>
              </w:rPr>
              <w:t>closing.items[1]</w:t>
            </w:r>
            <w:r>
              <w:rPr>
                <w:b w:val="0"/>
                <w:i w:val="0"/>
                <w:strike w:val="0"/>
              </w:rPr>
              <w:t>, against L553–556 (step 8) and L604–609 (step 9)</w:t>
            </w:r>
          </w:p>
        </w:tc>
        <w:tc>
          <w:tcPr>
            <w:tcW w:type="dxa" w:w="1234"/>
          </w:tcPr>
          <w:p>
            <w:r>
              <w:rPr>
                <w:b w:val="0"/>
                <w:i w:val="0"/>
                <w:strike w:val="0"/>
              </w:rPr>
              <w:t xml:space="preserve">The closing caps the range at </w:t>
            </w:r>
            <w:r>
              <w:rPr>
                <w:b/>
                <w:i w:val="0"/>
                <w:strike w:val="0"/>
              </w:rPr>
              <w:t>1.11 bp</w:t>
            </w:r>
            <w:r>
              <w:rPr>
                <w:b w:val="0"/>
                <w:i w:val="0"/>
                <w:strike w:val="0"/>
              </w:rPr>
              <w:t xml:space="preserve"> while step 9 instructs the reader to treat </w:t>
            </w:r>
            <w:r>
              <w:rPr>
                <w:b/>
                <w:i w:val="0"/>
                <w:strike w:val="0"/>
              </w:rPr>
              <w:t>1.16 bp</w:t>
            </w:r>
            <w:r>
              <w:rPr>
                <w:b w:val="0"/>
                <w:i w:val="0"/>
                <w:strike w:val="0"/>
              </w:rPr>
              <w:t xml:space="preserve"> as the top. Closing: </w:t>
            </w:r>
            <w:r>
              <w:rPr>
                <w:b w:val="0"/>
                <w:i/>
                <w:strike w:val="0"/>
              </w:rPr>
              <w:t>"0.02 to 1.11 across the defensible range."</w:t>
            </w:r>
            <w:r>
              <w:rPr>
                <w:b w:val="0"/>
                <w:i w:val="0"/>
                <w:strike w:val="0"/>
              </w:rPr>
              <w:t xml:space="preserve"> Step 9: </w:t>
            </w:r>
            <w:r>
              <w:rPr>
                <w:b w:val="0"/>
                <w:i/>
                <w:strike w:val="0"/>
              </w:rPr>
              <w:t>"Treat that as the top of the range, not the 0.66 bp of the High Participation preset,"</w:t>
            </w:r>
            <w:r>
              <w:rPr>
                <w:b w:val="0"/>
                <w:i w:val="0"/>
                <w:strike w:val="0"/>
              </w:rPr>
              <w:t xml:space="preserve"> of 1.16 bp. 1.11 is step 8's two-driver (take-up × funnel) span; 1.16 is the fiscal model's own published three-driver compound case.</w:t>
            </w:r>
          </w:p>
        </w:tc>
        <w:tc>
          <w:tcPr>
            <w:tcW w:type="dxa" w:w="1234"/>
          </w:tcPr>
          <w:p>
            <w:r>
              <w:rPr>
                <w:b w:val="0"/>
                <w:i w:val="0"/>
                <w:strike w:val="0"/>
              </w:rPr>
              <w:t xml:space="preserve">Read step 9, then the second of the five closing points — the part of any such document that gets pasted into a one-pager. The extracted summary understates the disclosed top of the range, and does so in the same bullet that carries the no-rate-change claim at </w:t>
            </w:r>
            <w:r>
              <w:rPr>
                <w:b/>
                <w:i w:val="0"/>
                <w:strike w:val="0"/>
              </w:rPr>
              <w:t>B-02</w:t>
            </w:r>
            <w:r>
              <w:rPr>
                <w:b w:val="0"/>
                <w:i w:val="0"/>
                <w:strike w:val="0"/>
              </w:rPr>
              <w:t>.</w:t>
            </w:r>
          </w:p>
        </w:tc>
        <w:tc>
          <w:tcPr>
            <w:tcW w:type="dxa" w:w="1234"/>
          </w:tcPr>
          <w:p>
            <w:r>
              <w:rPr>
                <w:b w:val="0"/>
                <w:i w:val="0"/>
                <w:strike w:val="0"/>
              </w:rPr>
              <w:t>Re-derived: take-up × funnel compound reaches 1.107 bp (consistent with MOO-265's sweep); the fiscal model's published compound-adverse case is 1.1558 bp (</w:t>
            </w:r>
            <w:r>
              <w:rPr>
                <w:rFonts w:ascii="Consolas" w:hAnsi="Consolas"/>
                <w:b w:val="0"/>
                <w:i w:val="0"/>
                <w:strike w:val="0"/>
                <w:color w:val="303030"/>
                <w:sz w:val="19"/>
              </w:rPr>
              <w:t>08-fiscal-model-memo.md</w:t>
            </w:r>
            <w:r>
              <w:rPr>
                <w:b w:val="0"/>
                <w:i w:val="0"/>
                <w:strike w:val="0"/>
              </w:rPr>
              <w:t xml:space="preserve"> L229).</w:t>
            </w:r>
          </w:p>
        </w:tc>
        <w:tc>
          <w:tcPr>
            <w:tcW w:type="dxa" w:w="1234"/>
          </w:tcPr>
          <w:p>
            <w:r>
              <w:rPr>
                <w:b w:val="0"/>
                <w:i w:val="0"/>
                <w:strike w:val="0"/>
              </w:rPr>
              <w:t xml:space="preserve">Use one number for the top of the range throughout, and make it the published one: </w:t>
            </w:r>
            <w:r>
              <w:rPr>
                <w:b w:val="0"/>
                <w:i/>
                <w:strike w:val="0"/>
              </w:rPr>
              <w:t>"about 0.19 basis points centrally, and 0.02 to 1.16 across the disclosed range including the published compound-adverse case."</w:t>
            </w:r>
          </w:p>
        </w:tc>
      </w:tr>
      <w:tr>
        <w:tc>
          <w:tcPr>
            <w:tcW w:type="dxa" w:w="1234"/>
          </w:tcPr>
          <w:p>
            <w:r>
              <w:rPr>
                <w:b/>
                <w:i w:val="0"/>
                <w:strike w:val="0"/>
              </w:rPr>
              <w:t>S-04</w:t>
            </w:r>
          </w:p>
        </w:tc>
        <w:tc>
          <w:tcPr>
            <w:tcW w:type="dxa" w:w="1234"/>
          </w:tcPr>
          <w:p>
            <w:r>
              <w:rPr>
                <w:b w:val="0"/>
                <w:i w:val="0"/>
                <w:strike w:val="0"/>
              </w:rPr>
              <w:t>Material</w:t>
            </w:r>
          </w:p>
        </w:tc>
        <w:tc>
          <w:tcPr>
            <w:tcW w:type="dxa" w:w="1234"/>
          </w:tcPr>
          <w:p>
            <w:r>
              <w:rPr>
                <w:rFonts w:ascii="Consolas" w:hAnsi="Consolas"/>
                <w:b w:val="0"/>
                <w:i w:val="0"/>
                <w:strike w:val="0"/>
                <w:color w:val="303030"/>
                <w:sz w:val="19"/>
              </w:rPr>
              <w:t>js/walkthrough.js</w:t>
            </w:r>
            <w:r>
              <w:rPr>
                <w:b w:val="0"/>
                <w:i w:val="0"/>
                <w:strike w:val="0"/>
              </w:rPr>
              <w:t xml:space="preserve"> L189–193 (step 2 </w:t>
            </w:r>
            <w:r>
              <w:rPr>
                <w:rFonts w:ascii="Consolas" w:hAnsi="Consolas"/>
                <w:b w:val="0"/>
                <w:i w:val="0"/>
                <w:strike w:val="0"/>
                <w:color w:val="303030"/>
                <w:sz w:val="19"/>
              </w:rPr>
              <w:t>why</w:t>
            </w:r>
            <w:r>
              <w:rPr>
                <w:b w:val="0"/>
                <w:i w:val="0"/>
                <w:strike w:val="0"/>
              </w:rPr>
              <w:t>) and the whole of step 7 (L453–502)</w:t>
            </w:r>
          </w:p>
        </w:tc>
        <w:tc>
          <w:tcPr>
            <w:tcW w:type="dxa" w:w="1234"/>
          </w:tcPr>
          <w:p>
            <w:r>
              <w:rPr>
                <w:b w:val="0"/>
                <w:i w:val="0"/>
                <w:strike w:val="0"/>
              </w:rPr>
              <w:t xml:space="preserve">The walk-through's only "what is not counted" step omits the three member detriments the </w:t>
            </w:r>
            <w:r>
              <w:rPr>
                <w:b/>
                <w:i w:val="0"/>
                <w:strike w:val="0"/>
              </w:rPr>
              <w:t>bill itself discloses on its face</w:t>
            </w:r>
            <w:r>
              <w:rPr>
                <w:b w:val="0"/>
                <w:i w:val="0"/>
                <w:strike w:val="0"/>
              </w:rPr>
              <w:t xml:space="preserve">, and step 2 affirmatively lists one of them among the things the carve-out protects. Step 2: the carve-out means the credit </w:t>
            </w:r>
            <w:r>
              <w:rPr>
                <w:b w:val="0"/>
                <w:i/>
                <w:strike w:val="0"/>
              </w:rPr>
              <w:t xml:space="preserve">"cannot enter the benefit formula, average final compensation, the health insurance credit threshold, </w:t>
            </w:r>
            <w:r>
              <w:rPr>
                <w:b w:val="0"/>
                <w:i/>
                <w:strike w:val="0"/>
              </w:rPr>
              <w:t>group life service thresholds</w:t>
            </w:r>
            <w:r>
              <w:rPr>
                <w:b w:val="0"/>
                <w:i/>
                <w:strike w:val="0"/>
              </w:rPr>
              <w:t>, or the five-year vesting analogue."</w:t>
            </w:r>
            <w:r>
              <w:rPr>
                <w:b w:val="0"/>
                <w:i w:val="0"/>
                <w:strike w:val="0"/>
              </w:rPr>
              <w:t xml:space="preserve"> True of the </w:t>
            </w:r>
            <w:r>
              <w:rPr>
                <w:b w:val="0"/>
                <w:i/>
                <w:strike w:val="0"/>
              </w:rPr>
              <w:t>threshold</w:t>
            </w:r>
            <w:r>
              <w:rPr>
                <w:b w:val="0"/>
                <w:i w:val="0"/>
                <w:strike w:val="0"/>
              </w:rPr>
              <w:t xml:space="preserve"> — but bill clause I 2(viii) requires the member to be told that retiring earlier </w:t>
            </w:r>
            <w:r>
              <w:rPr>
                <w:b/>
                <w:i w:val="0"/>
                <w:strike w:val="0"/>
              </w:rPr>
              <w:t>(a)</w:t>
            </w:r>
            <w:r>
              <w:rPr>
                <w:b w:val="0"/>
                <w:i w:val="0"/>
                <w:strike w:val="0"/>
              </w:rPr>
              <w:t xml:space="preserve"> begins the § 51.1-505 B group life step-down up to four years earlier, </w:t>
            </w:r>
            <w:r>
              <w:rPr>
                <w:b/>
                <w:i w:val="0"/>
                <w:strike w:val="0"/>
              </w:rPr>
              <w:t>(b)</w:t>
            </w:r>
            <w:r>
              <w:rPr>
                <w:b w:val="0"/>
                <w:i w:val="0"/>
                <w:strike w:val="0"/>
              </w:rPr>
              <w:t xml:space="preserve"> ends eligibility for the § 51.1-162 B death-before-retirement allowance, and </w:t>
            </w:r>
            <w:r>
              <w:rPr>
                <w:b/>
                <w:i w:val="0"/>
                <w:strike w:val="0"/>
              </w:rPr>
              <w:t>(c)</w:t>
            </w:r>
            <w:r>
              <w:rPr>
                <w:b w:val="0"/>
                <w:i w:val="0"/>
                <w:strike w:val="0"/>
              </w:rPr>
              <w:t xml:space="preserve"> produces fewer years of creditable service and a lower average final compensation. Verified: </w:t>
            </w:r>
            <w:r>
              <w:rPr>
                <w:rFonts w:ascii="Consolas" w:hAnsi="Consolas"/>
                <w:b w:val="0"/>
                <w:i w:val="0"/>
                <w:strike w:val="0"/>
                <w:color w:val="303030"/>
                <w:sz w:val="19"/>
              </w:rPr>
              <w:t>group life</w:t>
            </w:r>
            <w:r>
              <w:rPr>
                <w:b w:val="0"/>
                <w:i w:val="0"/>
                <w:strike w:val="0"/>
              </w:rPr>
              <w:t xml:space="preserve"> appears once in the entire circulated document, in step 2's protected list; </w:t>
            </w:r>
            <w:r>
              <w:rPr>
                <w:rFonts w:ascii="Consolas" w:hAnsi="Consolas"/>
                <w:b w:val="0"/>
                <w:i w:val="0"/>
                <w:strike w:val="0"/>
                <w:color w:val="303030"/>
                <w:sz w:val="19"/>
              </w:rPr>
              <w:t>death-before-retirement</w:t>
            </w:r>
            <w:r>
              <w:rPr>
                <w:b w:val="0"/>
                <w:i w:val="0"/>
                <w:strike w:val="0"/>
              </w:rPr>
              <w:t xml:space="preserve"> and </w:t>
            </w:r>
            <w:r>
              <w:rPr>
                <w:rFonts w:ascii="Consolas" w:hAnsi="Consolas"/>
                <w:b w:val="0"/>
                <w:i w:val="0"/>
                <w:strike w:val="0"/>
                <w:color w:val="303030"/>
                <w:sz w:val="19"/>
              </w:rPr>
              <w:t>51.1-505</w:t>
            </w:r>
            <w:r>
              <w:rPr>
                <w:b w:val="0"/>
                <w:i w:val="0"/>
                <w:strike w:val="0"/>
              </w:rPr>
              <w:t xml:space="preserve"> appear </w:t>
            </w:r>
            <w:r>
              <w:rPr>
                <w:b/>
                <w:i w:val="0"/>
                <w:strike w:val="0"/>
              </w:rPr>
              <w:t>nowhere</w:t>
            </w:r>
            <w:r>
              <w:rPr>
                <w:b w:val="0"/>
                <w:i w:val="0"/>
                <w:strike w:val="0"/>
              </w:rPr>
              <w:t>.</w:t>
            </w:r>
          </w:p>
        </w:tc>
        <w:tc>
          <w:tcPr>
            <w:tcW w:type="dxa" w:w="1234"/>
          </w:tcPr>
          <w:p>
            <w:r>
              <w:rPr>
                <w:b w:val="0"/>
                <w:i w:val="0"/>
                <w:strike w:val="0"/>
              </w:rPr>
              <w:t xml:space="preserve">Open the circulated file and search for </w:t>
            </w:r>
            <w:r>
              <w:rPr>
                <w:rFonts w:ascii="Consolas" w:hAnsi="Consolas"/>
                <w:b w:val="0"/>
                <w:i w:val="0"/>
                <w:strike w:val="0"/>
                <w:color w:val="303030"/>
                <w:sz w:val="19"/>
              </w:rPr>
              <w:t>51.1-505</w:t>
            </w:r>
            <w:r>
              <w:rPr>
                <w:b w:val="0"/>
                <w:i w:val="0"/>
                <w:strike w:val="0"/>
              </w:rPr>
              <w:t xml:space="preserve"> — no result. A legislator asked by a constituent service organisation </w:t>
            </w:r>
            <w:r>
              <w:rPr>
                <w:b w:val="0"/>
                <w:i/>
                <w:strike w:val="0"/>
              </w:rPr>
              <w:t>"does this cost the veteran anything?"</w:t>
            </w:r>
            <w:r>
              <w:rPr>
                <w:b w:val="0"/>
                <w:i w:val="0"/>
                <w:strike w:val="0"/>
              </w:rPr>
              <w:t xml:space="preserve"> answers "no" from the walk-through, and "yes, three things, and we require them to be told in writing" from the bill. Step 7 is where those belong: the bill's own drafting note says they </w:t>
            </w:r>
            <w:r>
              <w:rPr>
                <w:b w:val="0"/>
                <w:i/>
                <w:strike w:val="0"/>
              </w:rPr>
              <w:t>"follow the separation date in the same way the health insurance credit and COLA follow the retirement date"</w:t>
            </w:r>
            <w:r>
              <w:rPr>
                <w:b w:val="0"/>
                <w:i w:val="0"/>
                <w:strike w:val="0"/>
              </w:rPr>
              <w:t xml:space="preserve"> — which is exactly step 7's thesis.</w:t>
            </w:r>
          </w:p>
        </w:tc>
        <w:tc>
          <w:tcPr>
            <w:tcW w:type="dxa" w:w="1234"/>
          </w:tcPr>
          <w:p>
            <w:r>
              <w:rPr>
                <w:rFonts w:ascii="Consolas" w:hAnsi="Consolas"/>
                <w:b w:val="0"/>
                <w:i w:val="0"/>
                <w:strike w:val="0"/>
                <w:color w:val="303030"/>
                <w:sz w:val="19"/>
              </w:rPr>
              <w:t>01-bill-draft.md</w:t>
            </w:r>
            <w:r>
              <w:rPr>
                <w:b w:val="0"/>
                <w:i w:val="0"/>
                <w:strike w:val="0"/>
              </w:rPr>
              <w:t xml:space="preserve"> L230, clause I 2(viii) operative text; L379, drafting note recording M-14 and the three detriments.</w:t>
            </w:r>
          </w:p>
        </w:tc>
        <w:tc>
          <w:tcPr>
            <w:tcW w:type="dxa" w:w="1234"/>
          </w:tcPr>
          <w:p>
            <w:r>
              <w:rPr>
                <w:b w:val="0"/>
                <w:i w:val="0"/>
                <w:strike w:val="0"/>
              </w:rPr>
              <w:t xml:space="preserve">Add a short paragraph to step 7 naming the three, cross-referenced to clause I 2(viii), and qualify step 2's list: </w:t>
            </w:r>
            <w:r>
              <w:rPr>
                <w:b w:val="0"/>
                <w:i/>
                <w:strike w:val="0"/>
              </w:rPr>
              <w:t xml:space="preserve">"the group life </w:t>
            </w:r>
            <w:r>
              <w:rPr>
                <w:b w:val="0"/>
                <w:i/>
                <w:strike w:val="0"/>
              </w:rPr>
              <w:t>service threshold</w:t>
            </w:r>
            <w:r>
              <w:rPr>
                <w:b w:val="0"/>
                <w:i/>
                <w:strike w:val="0"/>
              </w:rPr>
              <w:t xml:space="preserve"> — though not the § 51.1-505 B step-down, which follows the separation date; see step 7."</w:t>
            </w:r>
          </w:p>
        </w:tc>
      </w:tr>
      <w:tr>
        <w:tc>
          <w:tcPr>
            <w:tcW w:type="dxa" w:w="1234"/>
          </w:tcPr>
          <w:p>
            <w:r>
              <w:rPr>
                <w:b/>
                <w:i w:val="0"/>
                <w:strike w:val="0"/>
              </w:rPr>
              <w:t>S-05</w:t>
            </w:r>
          </w:p>
        </w:tc>
        <w:tc>
          <w:tcPr>
            <w:tcW w:type="dxa" w:w="1234"/>
          </w:tcPr>
          <w:p>
            <w:r>
              <w:rPr>
                <w:b w:val="0"/>
                <w:i w:val="0"/>
                <w:strike w:val="0"/>
              </w:rPr>
              <w:t>Material</w:t>
            </w:r>
          </w:p>
        </w:tc>
        <w:tc>
          <w:tcPr>
            <w:tcW w:type="dxa" w:w="1234"/>
          </w:tcPr>
          <w:p>
            <w:r>
              <w:rPr>
                <w:rFonts w:ascii="Consolas" w:hAnsi="Consolas"/>
                <w:b w:val="0"/>
                <w:i w:val="0"/>
                <w:strike w:val="0"/>
                <w:color w:val="303030"/>
                <w:sz w:val="19"/>
              </w:rPr>
              <w:t>js/walkthrough.js</w:t>
            </w:r>
            <w:r>
              <w:rPr>
                <w:b w:val="0"/>
                <w:i w:val="0"/>
                <w:strike w:val="0"/>
              </w:rPr>
              <w:t xml:space="preserve"> L516–537, step 8 </w:t>
            </w:r>
            <w:r>
              <w:rPr>
                <w:rFonts w:ascii="Consolas" w:hAnsi="Consolas"/>
                <w:b w:val="0"/>
                <w:i w:val="0"/>
                <w:strike w:val="0"/>
                <w:color w:val="303030"/>
                <w:sz w:val="19"/>
              </w:rPr>
              <w:t>seeing</w:t>
            </w:r>
            <w:r>
              <w:rPr>
                <w:b w:val="0"/>
                <w:i w:val="0"/>
                <w:strike w:val="0"/>
              </w:rPr>
              <w:t xml:space="preserve"> and </w:t>
            </w:r>
            <w:r>
              <w:rPr>
                <w:rFonts w:ascii="Consolas" w:hAnsi="Consolas"/>
                <w:b w:val="0"/>
                <w:i w:val="0"/>
                <w:strike w:val="0"/>
                <w:color w:val="303030"/>
                <w:sz w:val="19"/>
              </w:rPr>
              <w:t>why</w:t>
            </w:r>
          </w:p>
        </w:tc>
        <w:tc>
          <w:tcPr>
            <w:tcW w:type="dxa" w:w="1234"/>
          </w:tcPr>
          <w:p>
            <w:r>
              <w:rPr>
                <w:b w:val="0"/>
                <w:i w:val="0"/>
                <w:strike w:val="0"/>
              </w:rPr>
              <w:t xml:space="preserve">Step 8 draws a ranking conclusion from a tornado chart whose swing bases are not commensurable, and carries none of Panel F's own disclosure of that. Step 8: </w:t>
            </w:r>
            <w:r>
              <w:rPr>
                <w:b w:val="0"/>
                <w:i/>
                <w:strike w:val="0"/>
              </w:rPr>
              <w:t>"The top of the chart is the behavioural assumption and the population funnel,"</w:t>
            </w:r>
            <w:r>
              <w:rPr>
                <w:b w:val="0"/>
                <w:i w:val="0"/>
                <w:strike w:val="0"/>
              </w:rPr>
              <w:t xml:space="preserve"> and </w:t>
            </w:r>
            <w:r>
              <w:rPr>
                <w:b w:val="0"/>
                <w:i/>
                <w:strike w:val="0"/>
              </w:rPr>
              <w:t>"Only assumptions about people matter here. Every classical actuarial lever — the discount rate, mortality improvement, salary growth — moves the answer far less than φ or the veteran funnel does."</w:t>
            </w:r>
            <w:r>
              <w:rPr>
                <w:b w:val="0"/>
                <w:i w:val="0"/>
                <w:strike w:val="0"/>
              </w:rPr>
              <w:t xml:space="preserve"> Re-derived: φ's bar is swung over the </w:t>
            </w:r>
            <w:r>
              <w:rPr>
                <w:b/>
                <w:i w:val="0"/>
                <w:strike w:val="0"/>
              </w:rPr>
              <w:t>full control range 0.00–1.00</w:t>
            </w:r>
            <w:r>
              <w:rPr>
                <w:b w:val="0"/>
                <w:i w:val="0"/>
                <w:strike w:val="0"/>
              </w:rPr>
              <w:t xml:space="preserve"> (both endpoints labelled </w:t>
            </w:r>
            <w:r>
              <w:rPr>
                <w:b w:val="0"/>
                <w:i/>
                <w:strike w:val="0"/>
              </w:rPr>
              <w:t>"control endpoint"</w:t>
            </w:r>
            <w:r>
              <w:rPr>
                <w:b w:val="0"/>
                <w:i w:val="0"/>
                <w:strike w:val="0"/>
              </w:rPr>
              <w:t xml:space="preserve">), take-up over the full control range 5–50%, the funnel over its </w:t>
            </w:r>
            <w:r>
              <w:rPr>
                <w:b/>
                <w:i w:val="0"/>
                <w:strike w:val="0"/>
              </w:rPr>
              <w:t>documented</w:t>
            </w:r>
            <w:r>
              <w:rPr>
                <w:b w:val="0"/>
                <w:i w:val="0"/>
                <w:strike w:val="0"/>
              </w:rPr>
              <w:t xml:space="preserve"> low/high cases, and the discount rate over a ±2.00 pp control-endpoint band. Swung over ASM-22's documented </w:t>
            </w:r>
            <w:r>
              <w:rPr>
                <w:b/>
                <w:i w:val="0"/>
                <w:strike w:val="0"/>
              </w:rPr>
              <w:t>0.25–0.75</w:t>
            </w:r>
            <w:r>
              <w:rPr>
                <w:b w:val="0"/>
                <w:i w:val="0"/>
                <w:strike w:val="0"/>
              </w:rPr>
              <w:t xml:space="preserve">, φ's swing is </w:t>
            </w:r>
            <w:r>
              <w:rPr>
                <w:b/>
                <w:i w:val="0"/>
                <w:strike w:val="0"/>
              </w:rPr>
              <w:t>0.279 bp</w:t>
            </w:r>
            <w:r>
              <w:rPr>
                <w:b w:val="0"/>
                <w:i w:val="0"/>
                <w:strike w:val="0"/>
              </w:rPr>
              <w:t xml:space="preserve"> — which puts it </w:t>
            </w:r>
            <w:r>
              <w:rPr>
                <w:b/>
                <w:i w:val="0"/>
                <w:strike w:val="0"/>
              </w:rPr>
              <w:t>third</w:t>
            </w:r>
            <w:r>
              <w:rPr>
                <w:b w:val="0"/>
                <w:i w:val="0"/>
                <w:strike w:val="0"/>
              </w:rPr>
              <w:t>, behind take-up (0.425) and the funnel (0.372).</w:t>
            </w:r>
          </w:p>
        </w:tc>
        <w:tc>
          <w:tcPr>
            <w:tcW w:type="dxa" w:w="1234"/>
          </w:tcPr>
          <w:p>
            <w:r>
              <w:rPr>
                <w:b w:val="0"/>
                <w:i w:val="0"/>
                <w:strike w:val="0"/>
              </w:rPr>
              <w:t xml:space="preserve">Press </w:t>
            </w:r>
            <w:r>
              <w:rPr>
                <w:b/>
                <w:i w:val="0"/>
                <w:strike w:val="0"/>
              </w:rPr>
              <w:t>Apply these settings</w:t>
            </w:r>
            <w:r>
              <w:rPr>
                <w:b w:val="0"/>
                <w:i w:val="0"/>
                <w:strike w:val="0"/>
              </w:rPr>
              <w:t xml:space="preserve"> on step 8 and read Panel F. The panel itself says </w:t>
            </w:r>
            <w:r>
              <w:rPr>
                <w:b w:val="0"/>
                <w:i/>
                <w:strike w:val="0"/>
              </w:rPr>
              <w:t>"φ guard band: ASM-22's documented range is 0.25–0.75, while the control and this tornado span 0–1."</w:t>
            </w:r>
            <w:r>
              <w:rPr>
                <w:b w:val="0"/>
                <w:i w:val="0"/>
                <w:strike w:val="0"/>
              </w:rPr>
              <w:t xml:space="preserve"> The walk-through does not, so the printed version asserts the ranking with the caveat removed. A reviewer who checks the swing bases finds the top bar is twice as wide as the documented band and the ranking claim collapses one place.</w:t>
            </w:r>
          </w:p>
        </w:tc>
        <w:tc>
          <w:tcPr>
            <w:tcW w:type="dxa" w:w="1234"/>
          </w:tcPr>
          <w:p>
            <w:r>
              <w:rPr>
                <w:b w:val="0"/>
                <w:i w:val="0"/>
                <w:strike w:val="0"/>
              </w:rPr>
              <w:t xml:space="preserve">Re-derived from </w:t>
            </w:r>
            <w:r>
              <w:rPr>
                <w:rFonts w:ascii="Consolas" w:hAnsi="Consolas"/>
                <w:b w:val="0"/>
                <w:i w:val="0"/>
                <w:strike w:val="0"/>
                <w:color w:val="303030"/>
                <w:sz w:val="19"/>
              </w:rPr>
              <w:t>E.tornado(E.defaults())</w:t>
            </w:r>
            <w:r>
              <w:rPr>
                <w:b w:val="0"/>
                <w:i w:val="0"/>
                <w:strike w:val="0"/>
              </w:rPr>
              <w:t xml:space="preserve">. The disclosure exists at </w:t>
            </w:r>
            <w:r>
              <w:rPr>
                <w:rFonts w:ascii="Consolas" w:hAnsi="Consolas"/>
                <w:b w:val="0"/>
                <w:i w:val="0"/>
                <w:strike w:val="0"/>
                <w:color w:val="303030"/>
                <w:sz w:val="19"/>
              </w:rPr>
              <w:t>js/ui.js</w:t>
            </w:r>
            <w:r>
              <w:rPr>
                <w:b w:val="0"/>
                <w:i w:val="0"/>
                <w:strike w:val="0"/>
              </w:rPr>
              <w:t xml:space="preserve"> L696–699 and the out-of-band notice at L372–373 — step 3's </w:t>
            </w:r>
            <w:r>
              <w:rPr>
                <w:rFonts w:ascii="Consolas" w:hAnsi="Consolas"/>
                <w:b w:val="0"/>
                <w:i w:val="0"/>
                <w:strike w:val="0"/>
                <w:color w:val="303030"/>
                <w:sz w:val="19"/>
              </w:rPr>
              <w:t>caution</w:t>
            </w:r>
            <w:r>
              <w:rPr>
                <w:b w:val="0"/>
                <w:i w:val="0"/>
                <w:strike w:val="0"/>
              </w:rPr>
              <w:t xml:space="preserve"> correctly asserts that the tool flags out-of-band settings, and it does.</w:t>
            </w:r>
          </w:p>
        </w:tc>
        <w:tc>
          <w:tcPr>
            <w:tcW w:type="dxa" w:w="1234"/>
          </w:tcPr>
          <w:p>
            <w:r>
              <w:rPr>
                <w:b w:val="0"/>
                <w:i w:val="0"/>
                <w:strike w:val="0"/>
              </w:rPr>
              <w:t xml:space="preserve">Carry Panel F's guard-band sentence into step 8 and state the bases: </w:t>
            </w:r>
            <w:r>
              <w:rPr>
                <w:b w:val="0"/>
                <w:i/>
                <w:strike w:val="0"/>
              </w:rPr>
              <w:t>"Each bar is swung over the control's own range, not over a documented band — φ over 0–1 and take-up over 5–50%, while the funnel uses its documented low and high cases. Restricted to ASM-22's documented 0.25–0.75, φ swings 0.28 bp and ranks third. The ordering tells you where to look; it is not a measure of relative likelihood."</w:t>
            </w:r>
          </w:p>
        </w:tc>
      </w:tr>
      <w:tr>
        <w:tc>
          <w:tcPr>
            <w:tcW w:type="dxa" w:w="1234"/>
          </w:tcPr>
          <w:p>
            <w:r>
              <w:rPr>
                <w:b/>
                <w:i w:val="0"/>
                <w:strike w:val="0"/>
              </w:rPr>
              <w:t>S-06</w:t>
            </w:r>
          </w:p>
        </w:tc>
        <w:tc>
          <w:tcPr>
            <w:tcW w:type="dxa" w:w="1234"/>
          </w:tcPr>
          <w:p>
            <w:r>
              <w:rPr>
                <w:b w:val="0"/>
                <w:i w:val="0"/>
                <w:strike w:val="0"/>
              </w:rPr>
              <w:t>Material</w:t>
            </w:r>
          </w:p>
        </w:tc>
        <w:tc>
          <w:tcPr>
            <w:tcW w:type="dxa" w:w="1234"/>
          </w:tcPr>
          <w:p>
            <w:r>
              <w:rPr>
                <w:rFonts w:ascii="Consolas" w:hAnsi="Consolas"/>
                <w:b w:val="0"/>
                <w:i w:val="0"/>
                <w:strike w:val="0"/>
                <w:color w:val="303030"/>
                <w:sz w:val="19"/>
              </w:rPr>
              <w:t>js/walkthrough.js</w:t>
            </w:r>
            <w:r>
              <w:rPr>
                <w:b w:val="0"/>
                <w:i w:val="0"/>
                <w:strike w:val="0"/>
              </w:rPr>
              <w:t xml:space="preserve"> L94–116 (</w:t>
            </w:r>
            <w:r>
              <w:rPr>
                <w:rFonts w:ascii="Consolas" w:hAnsi="Consolas"/>
                <w:b w:val="0"/>
                <w:i w:val="0"/>
                <w:strike w:val="0"/>
                <w:color w:val="303030"/>
                <w:sz w:val="19"/>
              </w:rPr>
              <w:t>orientation</w:t>
            </w:r>
            <w:r>
              <w:rPr>
                <w:b w:val="0"/>
                <w:i w:val="0"/>
                <w:strike w:val="0"/>
              </w:rPr>
              <w:t xml:space="preserve">) and L148–162 (step 1 </w:t>
            </w:r>
            <w:r>
              <w:rPr>
                <w:rFonts w:ascii="Consolas" w:hAnsi="Consolas"/>
                <w:b w:val="0"/>
                <w:i w:val="0"/>
                <w:strike w:val="0"/>
                <w:color w:val="303030"/>
                <w:sz w:val="19"/>
              </w:rPr>
              <w:t>significance</w:t>
            </w:r>
            <w:r>
              <w:rPr>
                <w:b w:val="0"/>
                <w:i w:val="0"/>
                <w:strike w:val="0"/>
              </w:rPr>
              <w:t>)</w:t>
            </w:r>
          </w:p>
        </w:tc>
        <w:tc>
          <w:tcPr>
            <w:tcW w:type="dxa" w:w="1234"/>
          </w:tcPr>
          <w:p>
            <w:r>
              <w:rPr>
                <w:b w:val="0"/>
                <w:i w:val="0"/>
                <w:strike w:val="0"/>
              </w:rPr>
              <w:t xml:space="preserve">φ is absent from everything the document designates as what to read first. The orientation block is titled </w:t>
            </w:r>
            <w:r>
              <w:rPr>
                <w:b w:val="0"/>
                <w:i/>
                <w:strike w:val="0"/>
              </w:rPr>
              <w:t>"Three things to know before you read a single number"</w:t>
            </w:r>
            <w:r>
              <w:rPr>
                <w:b w:val="0"/>
                <w:i w:val="0"/>
                <w:strike w:val="0"/>
              </w:rPr>
              <w:t xml:space="preserve"> and its three items are the ten-year-total point, the provenance-badge taxonomy and the no-"savings" labelling. None of them is the assumption that decides the </w:t>
            </w:r>
            <w:r>
              <w:rPr>
                <w:b/>
                <w:i w:val="0"/>
                <w:strike w:val="0"/>
              </w:rPr>
              <w:t>sign</w:t>
            </w:r>
            <w:r>
              <w:rPr>
                <w:b w:val="0"/>
                <w:i w:val="0"/>
                <w:strike w:val="0"/>
              </w:rPr>
              <w:t xml:space="preserve"> of the result. Step 1 then delivers </w:t>
            </w:r>
            <w:r>
              <w:rPr>
                <w:b/>
                <w:i w:val="0"/>
                <w:strike w:val="0"/>
              </w:rPr>
              <w:t>0.19 bp</w:t>
            </w:r>
            <w:r>
              <w:rPr>
                <w:b w:val="0"/>
                <w:i w:val="0"/>
                <w:strike w:val="0"/>
              </w:rPr>
              <w:t xml:space="preserve"> with its full HIC/COLA qualifier attached and no indication that the figure sits in the middle of a range whose sign is undetermined. The reader meets φ on screen 4 of 12.</w:t>
            </w:r>
          </w:p>
        </w:tc>
        <w:tc>
          <w:tcPr>
            <w:tcW w:type="dxa" w:w="1234"/>
          </w:tcPr>
          <w:p>
            <w:r>
              <w:rPr>
                <w:b w:val="0"/>
                <w:i w:val="0"/>
                <w:strike w:val="0"/>
              </w:rPr>
              <w:t xml:space="preserve">Open the drawer and read the introduction and step 1 — the first two screens, which is where a ten-minute reader stops. They leave with </w:t>
            </w:r>
            <w:r>
              <w:rPr>
                <w:b w:val="0"/>
                <w:i/>
                <w:strike w:val="0"/>
              </w:rPr>
              <w:t>"to the nearest basis point, no employer's contribution rate changes"</w:t>
            </w:r>
            <w:r>
              <w:rPr>
                <w:b w:val="0"/>
                <w:i w:val="0"/>
                <w:strike w:val="0"/>
              </w:rPr>
              <w:t xml:space="preserve"> and the sentence the document itself calls the fiscal case, and with no reason to discount it. This is the mandate's question 4, and the answer is that step 3 states φ superbly and too late.</w:t>
            </w:r>
          </w:p>
        </w:tc>
        <w:tc>
          <w:tcPr>
            <w:tcW w:type="dxa" w:w="1234"/>
          </w:tcPr>
          <w:p>
            <w:r>
              <w:rPr>
                <w:b w:val="0"/>
                <w:i w:val="0"/>
                <w:strike w:val="0"/>
              </w:rPr>
              <w:t xml:space="preserve">Step 3's own </w:t>
            </w:r>
            <w:r>
              <w:rPr>
                <w:rFonts w:ascii="Consolas" w:hAnsi="Consolas"/>
                <w:b w:val="0"/>
                <w:i w:val="0"/>
                <w:strike w:val="0"/>
                <w:color w:val="303030"/>
                <w:sz w:val="19"/>
              </w:rPr>
              <w:t>significance</w:t>
            </w:r>
            <w:r>
              <w:rPr>
                <w:b w:val="0"/>
                <w:i w:val="0"/>
                <w:strike w:val="0"/>
              </w:rPr>
              <w:t xml:space="preserve"> (L255–269) is the standard the opening fails to meet: </w:t>
            </w:r>
            <w:r>
              <w:rPr>
                <w:b w:val="0"/>
                <w:i/>
                <w:strike w:val="0"/>
              </w:rPr>
              <w:t>"No published data bears on φ … it is not even exogenous … Self-selection runs toward the subsidised end and is not modeled at all. The central case should be read as the optimistic end of the range rather than its middle."</w:t>
            </w:r>
          </w:p>
        </w:tc>
        <w:tc>
          <w:tcPr>
            <w:tcW w:type="dxa" w:w="1234"/>
          </w:tcPr>
          <w:p>
            <w:r>
              <w:rPr>
                <w:b w:val="0"/>
                <w:i w:val="0"/>
                <w:strike w:val="0"/>
              </w:rPr>
              <w:t xml:space="preserve">Add φ as a fourth orientation item, or — cheaper and better placed — one clause at the end of step 1's required qualifier: </w:t>
            </w:r>
            <w:r>
              <w:rPr>
                <w:b w:val="0"/>
                <w:i/>
                <w:strike w:val="0"/>
              </w:rPr>
              <w:t>"And one thing more, which step 3 is entirely about: this central figure rests on a behavioural assumption with no published evidence behind it, which decides the sign of the per-member result and on which self-selection runs the unfavourable way. Read 0.19 bp as the optimistic end of a range, not its middle."</w:t>
            </w:r>
          </w:p>
        </w:tc>
      </w:tr>
      <w:tr>
        <w:tc>
          <w:tcPr>
            <w:tcW w:type="dxa" w:w="1234"/>
          </w:tcPr>
          <w:p>
            <w:r>
              <w:rPr>
                <w:b/>
                <w:i w:val="0"/>
                <w:strike w:val="0"/>
              </w:rPr>
              <w:t>S-07</w:t>
            </w:r>
          </w:p>
        </w:tc>
        <w:tc>
          <w:tcPr>
            <w:tcW w:type="dxa" w:w="1234"/>
          </w:tcPr>
          <w:p>
            <w:r>
              <w:rPr>
                <w:b w:val="0"/>
                <w:i w:val="0"/>
                <w:strike w:val="0"/>
              </w:rPr>
              <w:t>Material</w:t>
            </w:r>
          </w:p>
        </w:tc>
        <w:tc>
          <w:tcPr>
            <w:tcW w:type="dxa" w:w="1234"/>
          </w:tcPr>
          <w:p>
            <w:r>
              <w:rPr>
                <w:rFonts w:ascii="Consolas" w:hAnsi="Consolas"/>
                <w:b w:val="0"/>
                <w:i w:val="0"/>
                <w:strike w:val="0"/>
                <w:color w:val="303030"/>
                <w:sz w:val="19"/>
              </w:rPr>
              <w:t>js/walkthrough.js</w:t>
            </w:r>
            <w:r>
              <w:rPr>
                <w:b w:val="0"/>
                <w:i w:val="0"/>
                <w:strike w:val="0"/>
              </w:rPr>
              <w:t xml:space="preserve"> — the required qualifier appears only in step 1 (L155–162); </w:t>
            </w:r>
            <w:r>
              <w:rPr>
                <w:rFonts w:ascii="Consolas" w:hAnsi="Consolas"/>
                <w:b w:val="0"/>
                <w:i w:val="0"/>
                <w:strike w:val="0"/>
                <w:color w:val="303030"/>
                <w:sz w:val="19"/>
              </w:rPr>
              <w:t>0.19 bp</w:t>
            </w:r>
            <w:r>
              <w:rPr>
                <w:b w:val="0"/>
                <w:i w:val="0"/>
                <w:strike w:val="0"/>
              </w:rPr>
              <w:t xml:space="preserve"> or </w:t>
            </w:r>
            <w:r>
              <w:rPr>
                <w:rFonts w:ascii="Consolas" w:hAnsi="Consolas"/>
                <w:b w:val="0"/>
                <w:i w:val="0"/>
                <w:strike w:val="0"/>
                <w:color w:val="303030"/>
                <w:sz w:val="19"/>
              </w:rPr>
              <w:t>0.19 basis points</w:t>
            </w:r>
            <w:r>
              <w:rPr>
                <w:b w:val="0"/>
                <w:i w:val="0"/>
                <w:strike w:val="0"/>
              </w:rPr>
              <w:t xml:space="preserve"> additionally appears in step 3 (L231), step 4 (L296), step 9 (L578, L580) and the closing (L773)</w:t>
            </w:r>
          </w:p>
        </w:tc>
        <w:tc>
          <w:tcPr>
            <w:tcW w:type="dxa" w:w="1234"/>
          </w:tcPr>
          <w:p>
            <w:r>
              <w:rPr>
                <w:b w:val="0"/>
                <w:i w:val="0"/>
                <w:strike w:val="0"/>
              </w:rPr>
              <w:t xml:space="preserve">The basis-point qualifier does not travel. Verified by scanning the rendered circulated document section by section: the words </w:t>
            </w:r>
            <w:r>
              <w:rPr>
                <w:b w:val="0"/>
                <w:i/>
                <w:strike w:val="0"/>
              </w:rPr>
              <w:t>excludes</w:t>
            </w:r>
            <w:r>
              <w:rPr>
                <w:b w:val="0"/>
                <w:i w:val="0"/>
                <w:strike w:val="0"/>
              </w:rPr>
              <w:t xml:space="preserve">, </w:t>
            </w:r>
            <w:r>
              <w:rPr>
                <w:b w:val="0"/>
                <w:i/>
                <w:strike w:val="0"/>
              </w:rPr>
              <w:t>health insurance credit</w:t>
            </w:r>
            <w:r>
              <w:rPr>
                <w:b w:val="0"/>
                <w:i w:val="0"/>
                <w:strike w:val="0"/>
              </w:rPr>
              <w:t xml:space="preserve">, </w:t>
            </w:r>
            <w:r>
              <w:rPr>
                <w:b w:val="0"/>
                <w:i/>
                <w:strike w:val="0"/>
              </w:rPr>
              <w:t>unquantified COLA</w:t>
            </w:r>
            <w:r>
              <w:rPr>
                <w:b w:val="0"/>
                <w:i w:val="0"/>
                <w:strike w:val="0"/>
              </w:rPr>
              <w:t xml:space="preserve"> and </w:t>
            </w:r>
            <w:r>
              <w:rPr>
                <w:b w:val="0"/>
                <w:i/>
                <w:strike w:val="0"/>
              </w:rPr>
              <w:t>version 1.1</w:t>
            </w:r>
            <w:r>
              <w:rPr>
                <w:b w:val="0"/>
                <w:i w:val="0"/>
                <w:strike w:val="0"/>
              </w:rPr>
              <w:t xml:space="preserve"> appear </w:t>
            </w:r>
            <w:r>
              <w:rPr>
                <w:b/>
                <w:i w:val="0"/>
                <w:strike w:val="0"/>
              </w:rPr>
              <w:t>only</w:t>
            </w:r>
            <w:r>
              <w:rPr>
                <w:b w:val="0"/>
                <w:i w:val="0"/>
                <w:strike w:val="0"/>
              </w:rPr>
              <w:t xml:space="preserve"> in step 1. After that the figure travels bare four more times, including in the closing. The step-9 table is the most extractable object in the document — four preset rows, four basis-point figures, one screenshot, no qualifier and no footnote.</w:t>
            </w:r>
          </w:p>
        </w:tc>
        <w:tc>
          <w:tcPr>
            <w:tcW w:type="dxa" w:w="1234"/>
          </w:tcPr>
          <w:p>
            <w:r>
              <w:rPr>
                <w:b w:val="0"/>
                <w:i w:val="0"/>
                <w:strike w:val="0"/>
              </w:rPr>
              <w:t>Screenshot step 9's table, or copy the second closing point, and circulate either. The figure arrives at a money committee without the exclusion of the separately funded HIC and COLA effects, which is the exact failure mode the package's standing rule exists to prevent and which has already happened once in a dashboard tooltip.</w:t>
            </w:r>
          </w:p>
        </w:tc>
        <w:tc>
          <w:tcPr>
            <w:tcW w:type="dxa" w:w="1234"/>
          </w:tcPr>
          <w:p>
            <w:r>
              <w:rPr>
                <w:rFonts w:ascii="Consolas" w:hAnsi="Consolas"/>
                <w:b w:val="0"/>
                <w:i w:val="0"/>
                <w:strike w:val="0"/>
                <w:color w:val="303030"/>
                <w:sz w:val="19"/>
              </w:rPr>
              <w:t>README.md</w:t>
            </w:r>
            <w:r>
              <w:rPr>
                <w:b w:val="0"/>
                <w:i w:val="0"/>
                <w:strike w:val="0"/>
              </w:rPr>
              <w:t xml:space="preserve"> L68: </w:t>
            </w:r>
            <w:r>
              <w:rPr>
                <w:b w:val="0"/>
                <w:i/>
                <w:strike w:val="0"/>
              </w:rPr>
              <w:t>"</w:t>
            </w:r>
            <w:r>
              <w:rPr>
                <w:b w:val="0"/>
                <w:i/>
                <w:strike w:val="0"/>
              </w:rPr>
              <w:t>Every</w:t>
            </w:r>
            <w:r>
              <w:rPr>
                <w:b w:val="0"/>
                <w:i/>
                <w:strike w:val="0"/>
              </w:rPr>
              <w:t xml:space="preserve"> public use of the 0.19 bp figure must state that it is the modeled retirement-plan employer contribution impact and excludes the separately funded health insurance credit and COLA effects, including unquantified COLA exposure."</w:t>
            </w:r>
          </w:p>
        </w:tc>
        <w:tc>
          <w:tcPr>
            <w:tcW w:type="dxa" w:w="1234"/>
          </w:tcPr>
          <w:p>
            <w:r>
              <w:rPr>
                <w:b w:val="0"/>
                <w:i w:val="0"/>
                <w:strike w:val="0"/>
              </w:rPr>
              <w:t xml:space="preserve">A one-line footnote under each basis-point table — </w:t>
            </w:r>
            <w:r>
              <w:rPr>
                <w:b w:val="0"/>
                <w:i/>
                <w:strike w:val="0"/>
              </w:rPr>
              <w:t>"Basis points are the modeled retirement-plan employer contribution impact only; HIC and COLA effects, including unquantified COLA exposure, are excluded (step 7)"</w:t>
            </w:r>
            <w:r>
              <w:rPr>
                <w:b w:val="0"/>
                <w:i w:val="0"/>
                <w:strike w:val="0"/>
              </w:rPr>
              <w:t xml:space="preserve"> — and the same clause inside the second closing point. Tables are what travel; the footnote has to be on the table.</w:t>
            </w:r>
          </w:p>
        </w:tc>
      </w:tr>
      <w:tr>
        <w:tc>
          <w:tcPr>
            <w:tcW w:type="dxa" w:w="1234"/>
          </w:tcPr>
          <w:p>
            <w:r>
              <w:rPr>
                <w:b/>
                <w:i w:val="0"/>
                <w:strike w:val="0"/>
              </w:rPr>
              <w:t>S-08</w:t>
            </w:r>
          </w:p>
        </w:tc>
        <w:tc>
          <w:tcPr>
            <w:tcW w:type="dxa" w:w="1234"/>
          </w:tcPr>
          <w:p>
            <w:r>
              <w:rPr>
                <w:b w:val="0"/>
                <w:i w:val="0"/>
                <w:strike w:val="0"/>
              </w:rPr>
              <w:t>Material</w:t>
            </w:r>
          </w:p>
        </w:tc>
        <w:tc>
          <w:tcPr>
            <w:tcW w:type="dxa" w:w="1234"/>
          </w:tcPr>
          <w:p>
            <w:r>
              <w:rPr>
                <w:rFonts w:ascii="Consolas" w:hAnsi="Consolas"/>
                <w:b w:val="0"/>
                <w:i w:val="0"/>
                <w:strike w:val="0"/>
                <w:color w:val="303030"/>
                <w:sz w:val="19"/>
              </w:rPr>
              <w:t>js/walkthrough.js</w:t>
            </w:r>
            <w:r>
              <w:rPr>
                <w:b w:val="0"/>
                <w:i w:val="0"/>
                <w:strike w:val="0"/>
              </w:rPr>
              <w:t xml:space="preserve"> L97–100 (orientation item 1), L293 (step 4 table header), and every reference to the cohort</w:t>
            </w:r>
          </w:p>
        </w:tc>
        <w:tc>
          <w:tcPr>
            <w:tcW w:type="dxa" w:w="1234"/>
          </w:tcPr>
          <w:p>
            <w:r>
              <w:rPr>
                <w:b w:val="0"/>
                <w:i w:val="0"/>
                <w:strike w:val="0"/>
              </w:rPr>
              <w:t xml:space="preserve">The ten-year window is stated as a bare fact throughout and is stale, in a way the document's own step 10 makes visible. The walk-through runs </w:t>
            </w:r>
            <w:r>
              <w:rPr>
                <w:b w:val="0"/>
                <w:i/>
                <w:strike w:val="0"/>
              </w:rPr>
              <w:t>"the FY2029–FY2038 cohort"</w:t>
            </w:r>
            <w:r>
              <w:rPr>
                <w:b w:val="0"/>
                <w:i w:val="0"/>
                <w:strike w:val="0"/>
              </w:rPr>
              <w:t xml:space="preserve">; step 10 states that the act moved to </w:t>
            </w:r>
            <w:r>
              <w:rPr>
                <w:b/>
                <w:i w:val="0"/>
                <w:strike w:val="0"/>
              </w:rPr>
              <w:t>July 1, 2029</w:t>
            </w:r>
            <w:r>
              <w:rPr>
                <w:b w:val="0"/>
                <w:i w:val="0"/>
                <w:strike w:val="0"/>
              </w:rPr>
              <w:t>. FY2029 ends June 30, 2029 — three weeks before the act takes effect. The package already records the correction as outstanding work and the walk-through never says the window is stale.</w:t>
            </w:r>
          </w:p>
        </w:tc>
        <w:tc>
          <w:tcPr>
            <w:tcW w:type="dxa" w:w="1234"/>
          </w:tcPr>
          <w:p>
            <w:r>
              <w:rPr>
                <w:b w:val="0"/>
                <w:i w:val="0"/>
                <w:strike w:val="0"/>
              </w:rPr>
              <w:t>Read orientation item 1, then step 10's final paragraph. A VRS actuary or a money-committee analyst notices that the modelled first year precedes the effective date and concludes, correctly, that the headline figure is computed over a window the bill cannot reach. Because the walk-through presents the window without qualification, the discovery lands as an error found rather than a limitation disclosed.</w:t>
            </w:r>
          </w:p>
        </w:tc>
        <w:tc>
          <w:tcPr>
            <w:tcW w:type="dxa" w:w="1234"/>
          </w:tcPr>
          <w:p>
            <w:r>
              <w:rPr>
                <w:rFonts w:ascii="Consolas" w:hAnsi="Consolas"/>
                <w:b w:val="0"/>
                <w:i w:val="0"/>
                <w:strike w:val="0"/>
                <w:color w:val="303030"/>
                <w:sz w:val="19"/>
              </w:rPr>
              <w:t>README.md</w:t>
            </w:r>
            <w:r>
              <w:rPr>
                <w:b w:val="0"/>
                <w:i w:val="0"/>
                <w:strike w:val="0"/>
              </w:rPr>
              <w:t xml:space="preserve"> L156 and </w:t>
            </w:r>
            <w:r>
              <w:rPr>
                <w:rFonts w:ascii="Consolas" w:hAnsi="Consolas"/>
                <w:b w:val="0"/>
                <w:i w:val="0"/>
                <w:strike w:val="0"/>
                <w:color w:val="303030"/>
                <w:sz w:val="19"/>
              </w:rPr>
              <w:t>08-fiscal-model-memo.md</w:t>
            </w:r>
            <w:r>
              <w:rPr>
                <w:b w:val="0"/>
                <w:i w:val="0"/>
                <w:strike w:val="0"/>
              </w:rPr>
              <w:t xml:space="preserve"> L239: the required refresh </w:t>
            </w:r>
            <w:r>
              <w:rPr>
                <w:b w:val="0"/>
                <w:i/>
                <w:strike w:val="0"/>
              </w:rPr>
              <w:t xml:space="preserve">"must carry clauses B 1(iv) and B 1(v), subdivision E 3, and the </w:t>
            </w:r>
            <w:r>
              <w:rPr>
                <w:b w:val="0"/>
                <w:i/>
                <w:strike w:val="0"/>
              </w:rPr>
              <w:t>FY2030–FY2039 window shift</w:t>
            </w:r>
            <w:r>
              <w:rPr>
                <w:b w:val="0"/>
                <w:i/>
                <w:strike w:val="0"/>
              </w:rPr>
              <w:t xml:space="preserve"> under DECISION 14."</w:t>
            </w:r>
          </w:p>
        </w:tc>
        <w:tc>
          <w:tcPr>
            <w:tcW w:type="dxa" w:w="1234"/>
          </w:tcPr>
          <w:p>
            <w:r>
              <w:rPr>
                <w:b w:val="0"/>
                <w:i w:val="0"/>
                <w:strike w:val="0"/>
              </w:rPr>
              <w:t xml:space="preserve">Do not restate the model; disclose the gap once, where the window is introduced. Orientation item 1: </w:t>
            </w:r>
            <w:r>
              <w:rPr>
                <w:b w:val="0"/>
                <w:i/>
                <w:strike w:val="0"/>
              </w:rPr>
              <w:t xml:space="preserve">"The model runs the FY2029–FY2038 cohort. </w:t>
            </w:r>
            <w:r>
              <w:rPr>
                <w:b w:val="0"/>
                <w:i/>
                <w:strike w:val="0"/>
              </w:rPr>
              <w:t>DECISION 14 moved the act's effective date to July 1, 2029, so the correct window is FY2030–FY2039; the shift is part of the refresh step 10 requires and is not yet in these figures.</w:t>
            </w:r>
            <w:r>
              <w:rPr>
                <w:b w:val="0"/>
                <w:i/>
                <w:strike w:val="0"/>
              </w:rPr>
              <w:t>"</w:t>
            </w:r>
            <w:r>
              <w:rPr>
                <w:b w:val="0"/>
                <w:i w:val="0"/>
                <w:strike w:val="0"/>
              </w:rPr>
              <w:t xml:space="preserve"> Then add the window shift to step 10 item 1.</w:t>
            </w:r>
          </w:p>
        </w:tc>
      </w:tr>
    </w:tbl>
    <w:p/>
    <w:p>
      <w:pPr>
        <w:pStyle w:val="Heading3"/>
      </w:pPr>
      <w:r>
        <w:rPr>
          <w:b w:val="0"/>
          <w:i w:val="0"/>
          <w:strike w:val="0"/>
        </w:rPr>
        <w:t>Moderate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strike w:val="0"/>
              </w:rPr>
              <w:t>#</w:t>
            </w:r>
          </w:p>
        </w:tc>
        <w:tc>
          <w:tcPr>
            <w:tcW w:type="dxa" w:w="1440"/>
          </w:tcPr>
          <w:p>
            <w:r>
              <w:rPr>
                <w:b/>
                <w:i w:val="0"/>
                <w:strike w:val="0"/>
              </w:rPr>
              <w:t>Severity</w:t>
            </w:r>
          </w:p>
        </w:tc>
        <w:tc>
          <w:tcPr>
            <w:tcW w:type="dxa" w:w="1440"/>
          </w:tcPr>
          <w:p>
            <w:r>
              <w:rPr>
                <w:b/>
                <w:i w:val="0"/>
                <w:strike w:val="0"/>
              </w:rPr>
              <w:t>Location</w:t>
            </w:r>
          </w:p>
        </w:tc>
        <w:tc>
          <w:tcPr>
            <w:tcW w:type="dxa" w:w="1440"/>
          </w:tcPr>
          <w:p>
            <w:r>
              <w:rPr>
                <w:b/>
                <w:i w:val="0"/>
                <w:strike w:val="0"/>
              </w:rPr>
              <w:t>What is wrong</w:t>
            </w:r>
          </w:p>
        </w:tc>
        <w:tc>
          <w:tcPr>
            <w:tcW w:type="dxa" w:w="1440"/>
          </w:tcPr>
          <w:p>
            <w:r>
              <w:rPr>
                <w:b/>
                <w:i w:val="0"/>
                <w:strike w:val="0"/>
              </w:rPr>
              <w:t>Reproduction and failure scenario</w:t>
            </w:r>
          </w:p>
        </w:tc>
        <w:tc>
          <w:tcPr>
            <w:tcW w:type="dxa" w:w="1440"/>
          </w:tcPr>
          <w:p>
            <w:r>
              <w:rPr>
                <w:b/>
                <w:i w:val="0"/>
                <w:strike w:val="0"/>
              </w:rPr>
              <w:t>Suggested direction</w:t>
            </w:r>
          </w:p>
        </w:tc>
      </w:tr>
      <w:tr>
        <w:tc>
          <w:tcPr>
            <w:tcW w:type="dxa" w:w="1440"/>
          </w:tcPr>
          <w:p>
            <w:r>
              <w:rPr>
                <w:b/>
                <w:i w:val="0"/>
                <w:strike w:val="0"/>
              </w:rPr>
              <w:t>M-01</w:t>
            </w:r>
          </w:p>
        </w:tc>
        <w:tc>
          <w:tcPr>
            <w:tcW w:type="dxa" w:w="1440"/>
          </w:tcPr>
          <w:p>
            <w:r>
              <w:rPr>
                <w:b w:val="0"/>
                <w:i w:val="0"/>
                <w:strike w:val="0"/>
              </w:rPr>
              <w:t>Moderate</w:t>
            </w:r>
          </w:p>
        </w:tc>
        <w:tc>
          <w:tcPr>
            <w:tcW w:type="dxa" w:w="1440"/>
          </w:tcPr>
          <w:p>
            <w:r>
              <w:rPr>
                <w:rFonts w:ascii="Consolas" w:hAnsi="Consolas"/>
                <w:b w:val="0"/>
                <w:i w:val="0"/>
                <w:strike w:val="0"/>
                <w:color w:val="303030"/>
                <w:sz w:val="19"/>
              </w:rPr>
              <w:t>js/walkthrough.js</w:t>
            </w:r>
            <w:r>
              <w:rPr>
                <w:b w:val="0"/>
                <w:i w:val="0"/>
                <w:strike w:val="0"/>
              </w:rPr>
              <w:t xml:space="preserve"> L113 (orientation item 3) and L158 (step 1 </w:t>
            </w:r>
            <w:r>
              <w:rPr>
                <w:rFonts w:ascii="Consolas" w:hAnsi="Consolas"/>
                <w:b w:val="0"/>
                <w:i w:val="0"/>
                <w:strike w:val="0"/>
                <w:color w:val="303030"/>
                <w:sz w:val="19"/>
              </w:rPr>
              <w:t>significance</w:t>
            </w:r>
            <w:r>
              <w:rPr>
                <w:b w:val="0"/>
                <w:i w:val="0"/>
                <w:strike w:val="0"/>
              </w:rPr>
              <w:t>)</w:t>
            </w:r>
          </w:p>
        </w:tc>
        <w:tc>
          <w:tcPr>
            <w:tcW w:type="dxa" w:w="1440"/>
          </w:tcPr>
          <w:p>
            <w:r>
              <w:rPr>
                <w:b w:val="0"/>
                <w:i w:val="0"/>
                <w:strike w:val="0"/>
              </w:rPr>
              <w:t xml:space="preserve">Two wrong step cross-references, both one step high, both in the opening material. Orientation item 3: </w:t>
            </w:r>
            <w:r>
              <w:rPr>
                <w:b w:val="0"/>
                <w:i/>
                <w:strike w:val="0"/>
              </w:rPr>
              <w:t>"step 7 is the thirty seconds that proves the tool keeps them apart"</w:t>
            </w:r>
            <w:r>
              <w:rPr>
                <w:b w:val="0"/>
                <w:i w:val="0"/>
                <w:strike w:val="0"/>
              </w:rPr>
              <w:t xml:space="preserve"> — the thirty-second test is </w:t>
            </w:r>
            <w:r>
              <w:rPr>
                <w:b/>
                <w:i w:val="0"/>
                <w:strike w:val="0"/>
              </w:rPr>
              <w:t>step 6</w:t>
            </w:r>
            <w:r>
              <w:rPr>
                <w:b w:val="0"/>
                <w:i w:val="0"/>
                <w:strike w:val="0"/>
              </w:rPr>
              <w:t xml:space="preserve">; step 7 is HIC and COLA. Step 1's required qualifier: </w:t>
            </w:r>
            <w:r>
              <w:rPr>
                <w:b w:val="0"/>
                <w:i/>
                <w:strike w:val="0"/>
              </w:rPr>
              <w:t>"including unquantified COLA exposure (step 8)"</w:t>
            </w:r>
            <w:r>
              <w:rPr>
                <w:b w:val="0"/>
                <w:i w:val="0"/>
                <w:strike w:val="0"/>
              </w:rPr>
              <w:t xml:space="preserve"> — the COLA disclosure is </w:t>
            </w:r>
            <w:r>
              <w:rPr>
                <w:b/>
                <w:i w:val="0"/>
                <w:strike w:val="0"/>
              </w:rPr>
              <w:t>step 7</w:t>
            </w:r>
            <w:r>
              <w:rPr>
                <w:b w:val="0"/>
                <w:i w:val="0"/>
                <w:strike w:val="0"/>
              </w:rPr>
              <w:t>; step 8 is the tornado. I checked every cross-reference in the document; these two are the only wrong ones, and both are in the part a ten-minute reader reads.</w:t>
            </w:r>
          </w:p>
        </w:tc>
        <w:tc>
          <w:tcPr>
            <w:tcW w:type="dxa" w:w="1440"/>
          </w:tcPr>
          <w:p>
            <w:r>
              <w:rPr>
                <w:b w:val="0"/>
                <w:i w:val="0"/>
                <w:strike w:val="0"/>
              </w:rPr>
              <w:t>Follow either pointer. The second is the one that matters: a reader told that the unquantified COLA exposure is explained at step 8 turns to the sensitivity panel and finds nothing about COLA, and the single largest disclosed gap in the fiscal case is the thing the pointer loses. The pattern suggests a step was inserted ahead of 6 without updating references.</w:t>
            </w:r>
          </w:p>
        </w:tc>
        <w:tc>
          <w:tcPr>
            <w:tcW w:type="dxa" w:w="1440"/>
          </w:tcPr>
          <w:p>
            <w:r>
              <w:rPr>
                <w:b w:val="0"/>
                <w:i w:val="0"/>
                <w:strike w:val="0"/>
              </w:rPr>
              <w:t xml:space="preserve">Change </w:t>
            </w:r>
            <w:r>
              <w:rPr>
                <w:b w:val="0"/>
                <w:i/>
                <w:strike w:val="0"/>
              </w:rPr>
              <w:t>"step 7"</w:t>
            </w:r>
            <w:r>
              <w:rPr>
                <w:b w:val="0"/>
                <w:i w:val="0"/>
                <w:strike w:val="0"/>
              </w:rPr>
              <w:t xml:space="preserve"> to </w:t>
            </w:r>
            <w:r>
              <w:rPr>
                <w:b w:val="0"/>
                <w:i/>
                <w:strike w:val="0"/>
              </w:rPr>
              <w:t>"step 6"</w:t>
            </w:r>
            <w:r>
              <w:rPr>
                <w:b w:val="0"/>
                <w:i w:val="0"/>
                <w:strike w:val="0"/>
              </w:rPr>
              <w:t xml:space="preserve"> and </w:t>
            </w:r>
            <w:r>
              <w:rPr>
                <w:b w:val="0"/>
                <w:i/>
                <w:strike w:val="0"/>
              </w:rPr>
              <w:t>"(step 8)"</w:t>
            </w:r>
            <w:r>
              <w:rPr>
                <w:b w:val="0"/>
                <w:i w:val="0"/>
                <w:strike w:val="0"/>
              </w:rPr>
              <w:t xml:space="preserve"> to </w:t>
            </w:r>
            <w:r>
              <w:rPr>
                <w:b w:val="0"/>
                <w:i/>
                <w:strike w:val="0"/>
              </w:rPr>
              <w:t>"(step 7)"</w:t>
            </w:r>
            <w:r>
              <w:rPr>
                <w:b w:val="0"/>
                <w:i w:val="0"/>
                <w:strike w:val="0"/>
              </w:rPr>
              <w:t>. Worth a pass over any other cross-references added later.</w:t>
            </w:r>
          </w:p>
        </w:tc>
      </w:tr>
      <w:tr>
        <w:tc>
          <w:tcPr>
            <w:tcW w:type="dxa" w:w="1440"/>
          </w:tcPr>
          <w:p>
            <w:r>
              <w:rPr>
                <w:b/>
                <w:i w:val="0"/>
                <w:strike w:val="0"/>
              </w:rPr>
              <w:t>M-02</w:t>
            </w:r>
          </w:p>
        </w:tc>
        <w:tc>
          <w:tcPr>
            <w:tcW w:type="dxa" w:w="1440"/>
          </w:tcPr>
          <w:p>
            <w:r>
              <w:rPr>
                <w:b w:val="0"/>
                <w:i w:val="0"/>
                <w:strike w:val="0"/>
              </w:rPr>
              <w:t>Moderate</w:t>
            </w:r>
          </w:p>
        </w:tc>
        <w:tc>
          <w:tcPr>
            <w:tcW w:type="dxa" w:w="1440"/>
          </w:tcPr>
          <w:p>
            <w:r>
              <w:rPr>
                <w:rFonts w:ascii="Consolas" w:hAnsi="Consolas"/>
                <w:b w:val="0"/>
                <w:i w:val="0"/>
                <w:strike w:val="0"/>
                <w:color w:val="303030"/>
                <w:sz w:val="19"/>
              </w:rPr>
              <w:t>js/walkthrough.js</w:t>
            </w:r>
            <w:r>
              <w:rPr>
                <w:b w:val="0"/>
                <w:i w:val="0"/>
                <w:strike w:val="0"/>
              </w:rPr>
              <w:t xml:space="preserve"> L364–368, step 5 </w:t>
            </w:r>
            <w:r>
              <w:rPr>
                <w:rFonts w:ascii="Consolas" w:hAnsi="Consolas"/>
                <w:b w:val="0"/>
                <w:i w:val="0"/>
                <w:strike w:val="0"/>
                <w:color w:val="303030"/>
                <w:sz w:val="19"/>
              </w:rPr>
              <w:t>seeing</w:t>
            </w:r>
            <w:r>
              <w:rPr>
                <w:b w:val="0"/>
                <w:i w:val="0"/>
                <w:strike w:val="0"/>
              </w:rPr>
              <w:t xml:space="preserve"> table</w:t>
            </w:r>
          </w:p>
        </w:tc>
        <w:tc>
          <w:tcPr>
            <w:tcW w:type="dxa" w:w="1440"/>
          </w:tcPr>
          <w:p>
            <w:r>
              <w:rPr>
                <w:b w:val="0"/>
                <w:i w:val="0"/>
                <w:strike w:val="0"/>
              </w:rPr>
              <w:t xml:space="preserve">Step 5's reproduction of Panel D drops Panel D's own captions. The table has three label/amount rows and nothing else; the bolded </w:t>
            </w:r>
            <w:r>
              <w:rPr>
                <w:rFonts w:ascii="Consolas" w:hAnsi="Consolas"/>
                <w:b w:val="0"/>
                <w:i w:val="0"/>
                <w:strike w:val="0"/>
                <w:color w:val="303030"/>
                <w:sz w:val="19"/>
              </w:rPr>
              <w:t>+$2.92M</w:t>
            </w:r>
            <w:r>
              <w:rPr>
                <w:b w:val="0"/>
                <w:i w:val="0"/>
                <w:strike w:val="0"/>
              </w:rPr>
              <w:t xml:space="preserve"> row carries no warning. Panel D itself captions tile 2 </w:t>
            </w:r>
            <w:r>
              <w:rPr>
                <w:b w:val="0"/>
                <w:i/>
                <w:strike w:val="0"/>
              </w:rPr>
              <w:t xml:space="preserve">"an employer compensation effect — </w:t>
            </w:r>
            <w:r>
              <w:rPr>
                <w:b w:val="0"/>
                <w:i/>
                <w:strike w:val="0"/>
              </w:rPr>
              <w:t>not</w:t>
            </w:r>
            <w:r>
              <w:rPr>
                <w:b w:val="0"/>
                <w:i/>
                <w:strike w:val="0"/>
              </w:rPr>
              <w:t xml:space="preserve"> a pension saving"</w:t>
            </w:r>
            <w:r>
              <w:rPr>
                <w:b w:val="0"/>
                <w:i w:val="0"/>
                <w:strike w:val="0"/>
              </w:rPr>
              <w:t xml:space="preserve"> and tile 3 </w:t>
            </w:r>
            <w:r>
              <w:rPr>
                <w:b w:val="0"/>
                <w:i/>
                <w:strike w:val="0"/>
              </w:rPr>
              <w:t>"the least reliable of the three"</w:t>
            </w:r>
            <w:r>
              <w:rPr>
                <w:b w:val="0"/>
                <w:i w:val="0"/>
                <w:strike w:val="0"/>
              </w:rPr>
              <w:t>.</w:t>
            </w:r>
          </w:p>
        </w:tc>
        <w:tc>
          <w:tcPr>
            <w:tcW w:type="dxa" w:w="1440"/>
          </w:tcPr>
          <w:p>
            <w:r>
              <w:rPr>
                <w:b w:val="0"/>
                <w:i w:val="0"/>
                <w:strike w:val="0"/>
              </w:rPr>
              <w:t xml:space="preserve">Screenshot step 5's table — the single most likely object in this document to be extracted, because it is the board's own worked question with a positive total. The caveat is 81 px below in prose and does not travel with the image. This is why the mandate's question 1 resolves to </w:t>
            </w:r>
            <w:r>
              <w:rPr>
                <w:b w:val="0"/>
                <w:i/>
                <w:strike w:val="0"/>
              </w:rPr>
              <w:t>"the explanation lands, the table does not carry it."</w:t>
            </w:r>
          </w:p>
        </w:tc>
        <w:tc>
          <w:tcPr>
            <w:tcW w:type="dxa" w:w="1440"/>
          </w:tcPr>
          <w:p>
            <w:r>
              <w:rPr>
                <w:b w:val="0"/>
                <w:i w:val="0"/>
                <w:strike w:val="0"/>
              </w:rPr>
              <w:t xml:space="preserve">Put the dashboard's captions in the table: row 2 </w:t>
            </w:r>
            <w:r>
              <w:rPr>
                <w:b w:val="0"/>
                <w:i/>
                <w:strike w:val="0"/>
              </w:rPr>
              <w:t xml:space="preserve">"Modeled payroll / workforce effect — </w:t>
            </w:r>
            <w:r>
              <w:rPr>
                <w:b w:val="0"/>
                <w:i/>
                <w:strike w:val="0"/>
              </w:rPr>
              <w:t>not a pension saving</w:t>
            </w:r>
            <w:r>
              <w:rPr>
                <w:b w:val="0"/>
                <w:i/>
                <w:strike w:val="0"/>
              </w:rPr>
              <w:t>"</w:t>
            </w:r>
            <w:r>
              <w:rPr>
                <w:b w:val="0"/>
                <w:i w:val="0"/>
                <w:strike w:val="0"/>
              </w:rPr>
              <w:t xml:space="preserve">; row 3 </w:t>
            </w:r>
            <w:r>
              <w:rPr>
                <w:b w:val="0"/>
                <w:i/>
                <w:strike w:val="0"/>
              </w:rPr>
              <w:t xml:space="preserve">"Combined scenario effect — </w:t>
            </w:r>
            <w:r>
              <w:rPr>
                <w:b w:val="0"/>
                <w:i/>
                <w:strike w:val="0"/>
              </w:rPr>
              <w:t>the least reliable of the three; follows from two hiring assumptions, not from the bill</w:t>
            </w:r>
            <w:r>
              <w:rPr>
                <w:b w:val="0"/>
                <w:i/>
                <w:strike w:val="0"/>
              </w:rPr>
              <w:t>"</w:t>
            </w:r>
            <w:r>
              <w:rPr>
                <w:b w:val="0"/>
                <w:i w:val="0"/>
                <w:strike w:val="0"/>
              </w:rPr>
              <w:t>. The table then survives being screenshotted.</w:t>
            </w:r>
          </w:p>
        </w:tc>
      </w:tr>
      <w:tr>
        <w:tc>
          <w:tcPr>
            <w:tcW w:type="dxa" w:w="1440"/>
          </w:tcPr>
          <w:p>
            <w:r>
              <w:rPr>
                <w:b/>
                <w:i w:val="0"/>
                <w:strike w:val="0"/>
              </w:rPr>
              <w:t>M-03</w:t>
            </w:r>
          </w:p>
        </w:tc>
        <w:tc>
          <w:tcPr>
            <w:tcW w:type="dxa" w:w="1440"/>
          </w:tcPr>
          <w:p>
            <w:r>
              <w:rPr>
                <w:b w:val="0"/>
                <w:i w:val="0"/>
                <w:strike w:val="0"/>
              </w:rPr>
              <w:t>Moderate</w:t>
            </w:r>
          </w:p>
        </w:tc>
        <w:tc>
          <w:tcPr>
            <w:tcW w:type="dxa" w:w="1440"/>
          </w:tcPr>
          <w:p>
            <w:r>
              <w:rPr>
                <w:rFonts w:ascii="Consolas" w:hAnsi="Consolas"/>
                <w:b w:val="0"/>
                <w:i w:val="0"/>
                <w:strike w:val="0"/>
                <w:color w:val="303030"/>
                <w:sz w:val="19"/>
              </w:rPr>
              <w:t>js/walkthrough.js</w:t>
            </w:r>
            <w:r>
              <w:rPr>
                <w:b w:val="0"/>
                <w:i w:val="0"/>
                <w:strike w:val="0"/>
              </w:rPr>
              <w:t xml:space="preserve"> L663–667, step 10 item 4</w:t>
            </w:r>
          </w:p>
        </w:tc>
        <w:tc>
          <w:tcPr>
            <w:tcW w:type="dxa" w:w="1440"/>
          </w:tcPr>
          <w:p>
            <w:r>
              <w:rPr>
                <w:b w:val="0"/>
                <w:i w:val="0"/>
                <w:strike w:val="0"/>
              </w:rPr>
              <w:t xml:space="preserve">The approved-leave position is described as a provisional default rather than the deliberate member-protective choice it is. </w:t>
            </w:r>
            <w:r>
              <w:rPr>
                <w:b w:val="0"/>
                <w:i/>
                <w:strike w:val="0"/>
              </w:rPr>
              <w:t xml:space="preserve">"The bill currently says yes, </w:t>
            </w:r>
            <w:r>
              <w:rPr>
                <w:b w:val="0"/>
                <w:i/>
                <w:strike w:val="0"/>
              </w:rPr>
              <w:t>provisionally</w:t>
            </w:r>
            <w:r>
              <w:rPr>
                <w:b w:val="0"/>
                <w:i/>
                <w:strike w:val="0"/>
              </w:rPr>
              <w:t>; reversing it is a one-clause change."</w:t>
            </w:r>
            <w:r>
              <w:rPr>
                <w:b w:val="0"/>
                <w:i w:val="0"/>
                <w:strike w:val="0"/>
              </w:rPr>
              <w:t xml:space="preserve"> The bill says yes expressly and on purpose, and § 51.1-142.4 E 3 also protects receipt of benefits under §§ 51.1-1112 and 51.1-1123.</w:t>
            </w:r>
          </w:p>
        </w:tc>
        <w:tc>
          <w:tcPr>
            <w:tcW w:type="dxa" w:w="1440"/>
          </w:tcPr>
          <w:p>
            <w:r>
              <w:rPr>
                <w:b w:val="0"/>
                <w:i w:val="0"/>
                <w:strike w:val="0"/>
              </w:rPr>
              <w:t>A VRS reviewer reads "provisionally" as an unconsidered placeholder and recommends flipping it for administrative tidiness, re-creating the trap version 1.3's continuity requirement would otherwise have produced.</w:t>
            </w:r>
          </w:p>
        </w:tc>
        <w:tc>
          <w:tcPr>
            <w:tcW w:type="dxa" w:w="1440"/>
          </w:tcPr>
          <w:p>
            <w:r>
              <w:rPr>
                <w:b w:val="0"/>
                <w:i/>
                <w:strike w:val="0"/>
              </w:rPr>
              <w:t xml:space="preserve">"The bill currently says yes, </w:t>
            </w:r>
            <w:r>
              <w:rPr>
                <w:b w:val="0"/>
                <w:i/>
                <w:strike w:val="0"/>
              </w:rPr>
              <w:t>deliberately — version 1.3's continuity requirement would otherwise have created a new trap for a member on approved leave</w:t>
            </w:r>
            <w:r>
              <w:rPr>
                <w:b w:val="0"/>
                <w:i/>
                <w:strike w:val="0"/>
              </w:rPr>
              <w:t>. The Council should ratify it or expressly defer it; reversing it is a one-clause change."</w:t>
            </w:r>
            <w:r>
              <w:rPr>
                <w:b w:val="0"/>
                <w:i w:val="0"/>
                <w:strike w:val="0"/>
              </w:rPr>
              <w:t xml:space="preserve"> Authority: </w:t>
            </w:r>
            <w:r>
              <w:rPr>
                <w:rFonts w:ascii="Consolas" w:hAnsi="Consolas"/>
                <w:b w:val="0"/>
                <w:i w:val="0"/>
                <w:strike w:val="0"/>
                <w:color w:val="303030"/>
                <w:sz w:val="19"/>
              </w:rPr>
              <w:t>README.md</w:t>
            </w:r>
            <w:r>
              <w:rPr>
                <w:b w:val="0"/>
                <w:i w:val="0"/>
                <w:strike w:val="0"/>
              </w:rPr>
              <w:t xml:space="preserve"> L11; </w:t>
            </w:r>
            <w:r>
              <w:rPr>
                <w:rFonts w:ascii="Consolas" w:hAnsi="Consolas"/>
                <w:b w:val="0"/>
                <w:i w:val="0"/>
                <w:strike w:val="0"/>
                <w:color w:val="303030"/>
                <w:sz w:val="19"/>
              </w:rPr>
              <w:t>01-bill-draft.md</w:t>
            </w:r>
            <w:r>
              <w:rPr>
                <w:b w:val="0"/>
                <w:i w:val="0"/>
                <w:strike w:val="0"/>
              </w:rPr>
              <w:t xml:space="preserve"> § 51.1-142.4 E 3.</w:t>
            </w:r>
          </w:p>
        </w:tc>
      </w:tr>
      <w:tr>
        <w:tc>
          <w:tcPr>
            <w:tcW w:type="dxa" w:w="1440"/>
          </w:tcPr>
          <w:p>
            <w:r>
              <w:rPr>
                <w:b/>
                <w:i w:val="0"/>
                <w:strike w:val="0"/>
              </w:rPr>
              <w:t>M-04</w:t>
            </w:r>
          </w:p>
        </w:tc>
        <w:tc>
          <w:tcPr>
            <w:tcW w:type="dxa" w:w="1440"/>
          </w:tcPr>
          <w:p>
            <w:r>
              <w:rPr>
                <w:b w:val="0"/>
                <w:i w:val="0"/>
                <w:strike w:val="0"/>
              </w:rPr>
              <w:t>Moderate</w:t>
            </w:r>
          </w:p>
        </w:tc>
        <w:tc>
          <w:tcPr>
            <w:tcW w:type="dxa" w:w="1440"/>
          </w:tcPr>
          <w:p>
            <w:r>
              <w:rPr>
                <w:rFonts w:ascii="Consolas" w:hAnsi="Consolas"/>
                <w:b w:val="0"/>
                <w:i w:val="0"/>
                <w:strike w:val="0"/>
                <w:color w:val="303030"/>
                <w:sz w:val="19"/>
              </w:rPr>
              <w:t>js/walkthrough.js</w:t>
            </w:r>
            <w:r>
              <w:rPr>
                <w:b w:val="0"/>
                <w:i w:val="0"/>
                <w:strike w:val="0"/>
              </w:rPr>
              <w:t xml:space="preserve"> L189–193, step 2 </w:t>
            </w:r>
            <w:r>
              <w:rPr>
                <w:rFonts w:ascii="Consolas" w:hAnsi="Consolas"/>
                <w:b w:val="0"/>
                <w:i w:val="0"/>
                <w:strike w:val="0"/>
                <w:color w:val="303030"/>
                <w:sz w:val="19"/>
              </w:rPr>
              <w:t>why</w:t>
            </w:r>
          </w:p>
        </w:tc>
        <w:tc>
          <w:tcPr>
            <w:tcW w:type="dxa" w:w="1440"/>
          </w:tcPr>
          <w:p>
            <w:r>
              <w:rPr>
                <w:b w:val="0"/>
                <w:i w:val="0"/>
                <w:strike w:val="0"/>
              </w:rPr>
              <w:t xml:space="preserve">The whole containment architecture is attributed to the § 51.1-124.3 carve-out: </w:t>
            </w:r>
            <w:r>
              <w:rPr>
                <w:b w:val="0"/>
                <w:i/>
                <w:strike w:val="0"/>
              </w:rPr>
              <w:t xml:space="preserve">"The bill carves it out of the definition of 'creditable service' in § 51.1-124.3, </w:t>
            </w:r>
            <w:r>
              <w:rPr>
                <w:b w:val="0"/>
                <w:i/>
                <w:strike w:val="0"/>
              </w:rPr>
              <w:t>so</w:t>
            </w:r>
            <w:r>
              <w:rPr>
                <w:b w:val="0"/>
                <w:i/>
                <w:strike w:val="0"/>
              </w:rPr>
              <w:t xml:space="preserve"> it cannot enter …"</w:t>
            </w:r>
            <w:r>
              <w:rPr>
                <w:b w:val="0"/>
                <w:i w:val="0"/>
                <w:strike w:val="0"/>
              </w:rPr>
              <w:t xml:space="preserve">. The package records that the carve-out leaked and that version 1.4 added </w:t>
            </w:r>
            <w:r>
              <w:rPr>
                <w:b/>
                <w:i w:val="0"/>
                <w:strike w:val="0"/>
              </w:rPr>
              <w:t>two enabling amendments</w:t>
            </w:r>
            <w:r>
              <w:rPr>
                <w:b w:val="0"/>
                <w:i w:val="0"/>
                <w:strike w:val="0"/>
              </w:rPr>
              <w:t xml:space="preserve"> — subdivision B 4 of § 51.1-153 and the parallel paragraph of subdivision A 3 of § 51.1-155 — </w:t>
            </w:r>
            <w:r>
              <w:rPr>
                <w:b w:val="0"/>
                <w:i/>
                <w:strike w:val="0"/>
              </w:rPr>
              <w:t>"without these, the credit leaks into PLOP, the death-in-service benefit, deferred retirement, and an employer-funded increase in the allowance itself, even though it is not creditable service."</w:t>
            </w:r>
          </w:p>
        </w:tc>
        <w:tc>
          <w:tcPr>
            <w:tcW w:type="dxa" w:w="1440"/>
          </w:tcPr>
          <w:p>
            <w:r>
              <w:rPr>
                <w:b w:val="0"/>
                <w:i w:val="0"/>
                <w:strike w:val="0"/>
              </w:rPr>
              <w:t>A legislator told the carve-out handles containment cannot answer the first question a VRS reviewer asks: what stops it reaching PLOP? Step 2 names neither PLOP nor the death-in-service benefit, and attributes to one amendment what took three.</w:t>
            </w:r>
          </w:p>
        </w:tc>
        <w:tc>
          <w:tcPr>
            <w:tcW w:type="dxa" w:w="1440"/>
          </w:tcPr>
          <w:p>
            <w:r>
              <w:rPr>
                <w:b w:val="0"/>
                <w:i w:val="0"/>
                <w:strike w:val="0"/>
              </w:rPr>
              <w:t xml:space="preserve">Add one sentence: </w:t>
            </w:r>
            <w:r>
              <w:rPr>
                <w:b w:val="0"/>
                <w:i/>
                <w:strike w:val="0"/>
              </w:rPr>
              <w:t>"The carve-out is necessary and not sufficient. Version 1.4 adds two enabling amendments — subdivision B 4 of § 51.1-153 and subdivision A 3 of § 51.1-155 — because without them the credit leaks into PLOP, the death-in-service benefit and deferred retirement."</w:t>
            </w:r>
            <w:r>
              <w:rPr>
                <w:b w:val="0"/>
                <w:i w:val="0"/>
                <w:strike w:val="0"/>
              </w:rPr>
              <w:t xml:space="preserve"> Authority: </w:t>
            </w:r>
            <w:r>
              <w:rPr>
                <w:rFonts w:ascii="Consolas" w:hAnsi="Consolas"/>
                <w:b w:val="0"/>
                <w:i w:val="0"/>
                <w:strike w:val="0"/>
                <w:color w:val="303030"/>
                <w:sz w:val="19"/>
              </w:rPr>
              <w:t>README.md</w:t>
            </w:r>
            <w:r>
              <w:rPr>
                <w:b w:val="0"/>
                <w:i w:val="0"/>
                <w:strike w:val="0"/>
              </w:rPr>
              <w:t xml:space="preserve"> L45.</w:t>
            </w:r>
          </w:p>
        </w:tc>
      </w:tr>
      <w:tr>
        <w:tc>
          <w:tcPr>
            <w:tcW w:type="dxa" w:w="1440"/>
          </w:tcPr>
          <w:p>
            <w:r>
              <w:rPr>
                <w:b/>
                <w:i w:val="0"/>
                <w:strike w:val="0"/>
              </w:rPr>
              <w:t>M-05</w:t>
            </w:r>
          </w:p>
        </w:tc>
        <w:tc>
          <w:tcPr>
            <w:tcW w:type="dxa" w:w="1440"/>
          </w:tcPr>
          <w:p>
            <w:r>
              <w:rPr>
                <w:b w:val="0"/>
                <w:i w:val="0"/>
                <w:strike w:val="0"/>
              </w:rPr>
              <w:t>Moderate</w:t>
            </w:r>
          </w:p>
        </w:tc>
        <w:tc>
          <w:tcPr>
            <w:tcW w:type="dxa" w:w="1440"/>
          </w:tcPr>
          <w:p>
            <w:r>
              <w:rPr>
                <w:rFonts w:ascii="Consolas" w:hAnsi="Consolas"/>
                <w:b w:val="0"/>
                <w:i w:val="0"/>
                <w:strike w:val="0"/>
                <w:color w:val="303030"/>
                <w:sz w:val="19"/>
              </w:rPr>
              <w:t>js/walkthrough.js</w:t>
            </w:r>
            <w:r>
              <w:rPr>
                <w:b w:val="0"/>
                <w:i w:val="0"/>
                <w:strike w:val="0"/>
              </w:rPr>
              <w:t xml:space="preserve"> L593–600, step 9 </w:t>
            </w:r>
            <w:r>
              <w:rPr>
                <w:rFonts w:ascii="Consolas" w:hAnsi="Consolas"/>
                <w:b w:val="0"/>
                <w:i w:val="0"/>
                <w:strike w:val="0"/>
                <w:color w:val="303030"/>
                <w:sz w:val="19"/>
              </w:rPr>
              <w:t>why</w:t>
            </w:r>
            <w:r>
              <w:rPr>
                <w:b w:val="0"/>
                <w:i w:val="0"/>
                <w:strike w:val="0"/>
              </w:rPr>
              <w:t xml:space="preserve"> ¶2</w:t>
            </w:r>
          </w:p>
        </w:tc>
        <w:tc>
          <w:tcPr>
            <w:tcW w:type="dxa" w:w="1440"/>
          </w:tcPr>
          <w:p>
            <w:r>
              <w:rPr>
                <w:b w:val="0"/>
                <w:i w:val="0"/>
                <w:strike w:val="0"/>
              </w:rPr>
              <w:t xml:space="preserve">The hybrid near-universality claim is stated flatly: </w:t>
            </w:r>
            <w:r>
              <w:rPr>
                <w:b w:val="0"/>
                <w:i/>
                <w:strike w:val="0"/>
              </w:rPr>
              <w:t xml:space="preserve">"The bill </w:t>
            </w:r>
            <w:r>
              <w:rPr>
                <w:b w:val="0"/>
                <w:i/>
                <w:strike w:val="0"/>
              </w:rPr>
              <w:t>excludes</w:t>
            </w:r>
            <w:r>
              <w:rPr>
                <w:b w:val="0"/>
                <w:i/>
                <w:strike w:val="0"/>
              </w:rPr>
              <w:t xml:space="preserve"> hybrid plan participants, which is nearly everyone first hired on or after January 1, 2014."</w:t>
            </w:r>
            <w:r>
              <w:rPr>
                <w:b w:val="0"/>
                <w:i w:val="0"/>
                <w:strike w:val="0"/>
              </w:rPr>
              <w:t xml:space="preserve"> Package version 1.4 withdrew </w:t>
            </w:r>
            <w:r>
              <w:rPr>
                <w:b w:val="0"/>
                <w:i/>
                <w:strike w:val="0"/>
              </w:rPr>
              <w:t>"closed and shrinking"</w:t>
            </w:r>
            <w:r>
              <w:rPr>
                <w:b w:val="0"/>
                <w:i w:val="0"/>
                <w:strike w:val="0"/>
              </w:rPr>
              <w:t xml:space="preserve"> in favour of </w:t>
            </w:r>
            <w:r>
              <w:rPr>
                <w:b w:val="0"/>
                <w:i/>
                <w:strike w:val="0"/>
              </w:rPr>
              <w:t>"substantially closing, with named exceptions under review,"</w:t>
            </w:r>
            <w:r>
              <w:rPr>
                <w:b w:val="0"/>
                <w:i w:val="0"/>
                <w:strike w:val="0"/>
              </w:rPr>
              <w:t xml:space="preserve"> because §§ 51.1-126.1, 51.1-126.3, 51.1-126.4 and 51.1-126.7 leave a route into the VRS defined benefit plan open in </w:t>
            </w:r>
            <w:r>
              <w:rPr>
                <w:b/>
                <w:i w:val="0"/>
                <w:strike w:val="0"/>
              </w:rPr>
              <w:t>every</w:t>
            </w:r>
            <w:r>
              <w:rPr>
                <w:b w:val="0"/>
                <w:i w:val="0"/>
                <w:strike w:val="0"/>
              </w:rPr>
              <w:t xml:space="preserve"> hire year. New clause B 1(v) closes it by drafting, and the headcount claim is not established until VRS confirms.</w:t>
            </w:r>
          </w:p>
        </w:tc>
        <w:tc>
          <w:tcPr>
            <w:tcW w:type="dxa" w:w="1440"/>
          </w:tcPr>
          <w:p>
            <w:r>
              <w:rPr>
                <w:b w:val="0"/>
                <w:i w:val="0"/>
                <w:strike w:val="0"/>
              </w:rPr>
              <w:t xml:space="preserve">A member asked in the room </w:t>
            </w:r>
            <w:r>
              <w:rPr>
                <w:b w:val="0"/>
                <w:i/>
                <w:strike w:val="0"/>
              </w:rPr>
              <w:t>"what about a 2026 hire?"</w:t>
            </w:r>
            <w:r>
              <w:rPr>
                <w:b w:val="0"/>
                <w:i w:val="0"/>
                <w:strike w:val="0"/>
              </w:rPr>
              <w:t xml:space="preserve"> gets an answer from the walk-through that the package has formally stopped making, and the withdrawal is already on the record in two briefs and the README.</w:t>
            </w:r>
          </w:p>
        </w:tc>
        <w:tc>
          <w:tcPr>
            <w:tcW w:type="dxa" w:w="1440"/>
          </w:tcPr>
          <w:p>
            <w:r>
              <w:rPr>
                <w:b w:val="0"/>
                <w:i/>
                <w:strike w:val="0"/>
              </w:rPr>
              <w:t xml:space="preserve">"…which is </w:t>
            </w:r>
            <w:r>
              <w:rPr>
                <w:b w:val="0"/>
                <w:i/>
                <w:strike w:val="0"/>
              </w:rPr>
              <w:t>substantially</w:t>
            </w:r>
            <w:r>
              <w:rPr>
                <w:b w:val="0"/>
                <w:i/>
                <w:strike w:val="0"/>
              </w:rPr>
              <w:t xml:space="preserve"> everyone first hired on or after January 1, 2014 — with named exceptions still under review: four optional-retirement-plan routes leave a path into the defined benefit plan open in every hire year, which new clause B 1(v) closes by drafting pending VRS confirmation of headcount and practice."</w:t>
            </w:r>
            <w:r>
              <w:rPr>
                <w:b w:val="0"/>
                <w:i w:val="0"/>
                <w:strike w:val="0"/>
              </w:rPr>
              <w:t xml:space="preserve"> Authority: </w:t>
            </w:r>
            <w:r>
              <w:rPr>
                <w:rFonts w:ascii="Consolas" w:hAnsi="Consolas"/>
                <w:b w:val="0"/>
                <w:i w:val="0"/>
                <w:strike w:val="0"/>
                <w:color w:val="303030"/>
                <w:sz w:val="19"/>
              </w:rPr>
              <w:t>README.md</w:t>
            </w:r>
            <w:r>
              <w:rPr>
                <w:b w:val="0"/>
                <w:i w:val="0"/>
                <w:strike w:val="0"/>
              </w:rPr>
              <w:t xml:space="preserve"> L119, change-log item 4 (</w:t>
            </w:r>
            <w:r>
              <w:rPr>
                <w:b/>
                <w:i w:val="0"/>
                <w:strike w:val="0"/>
              </w:rPr>
              <w:t>M-01</w:t>
            </w:r>
            <w:r>
              <w:rPr>
                <w:b w:val="0"/>
                <w:i w:val="0"/>
                <w:strike w:val="0"/>
              </w:rPr>
              <w:t>).</w:t>
            </w:r>
          </w:p>
        </w:tc>
      </w:tr>
      <w:tr>
        <w:tc>
          <w:tcPr>
            <w:tcW w:type="dxa" w:w="1440"/>
          </w:tcPr>
          <w:p>
            <w:r>
              <w:rPr>
                <w:b/>
                <w:i w:val="0"/>
                <w:strike w:val="0"/>
              </w:rPr>
              <w:t>M-06</w:t>
            </w:r>
          </w:p>
        </w:tc>
        <w:tc>
          <w:tcPr>
            <w:tcW w:type="dxa" w:w="1440"/>
          </w:tcPr>
          <w:p>
            <w:r>
              <w:rPr>
                <w:b w:val="0"/>
                <w:i w:val="0"/>
                <w:strike w:val="0"/>
              </w:rPr>
              <w:t>Moderate</w:t>
            </w:r>
          </w:p>
        </w:tc>
        <w:tc>
          <w:tcPr>
            <w:tcW w:type="dxa" w:w="1440"/>
          </w:tcPr>
          <w:p>
            <w:r>
              <w:rPr>
                <w:rFonts w:ascii="Consolas" w:hAnsi="Consolas"/>
                <w:b w:val="0"/>
                <w:i w:val="0"/>
                <w:strike w:val="0"/>
                <w:color w:val="303030"/>
                <w:sz w:val="19"/>
              </w:rPr>
              <w:t>js/walkthrough.js</w:t>
            </w:r>
            <w:r>
              <w:rPr>
                <w:b w:val="0"/>
                <w:i w:val="0"/>
                <w:strike w:val="0"/>
              </w:rPr>
              <w:t xml:space="preserve"> L673–681, step 10 closing paragraph</w:t>
            </w:r>
          </w:p>
        </w:tc>
        <w:tc>
          <w:tcPr>
            <w:tcW w:type="dxa" w:w="1440"/>
          </w:tcPr>
          <w:p>
            <w:r>
              <w:rPr>
                <w:b w:val="0"/>
                <w:i w:val="0"/>
                <w:strike w:val="0"/>
              </w:rPr>
              <w:t xml:space="preserve">Step 10's five pre-patron conditions are substantially right, but the trailing paragraph names </w:t>
            </w:r>
            <w:r>
              <w:rPr>
                <w:b/>
                <w:i w:val="0"/>
                <w:strike w:val="0"/>
              </w:rPr>
              <w:t>one</w:t>
            </w:r>
            <w:r>
              <w:rPr>
                <w:b w:val="0"/>
                <w:i w:val="0"/>
                <w:strike w:val="0"/>
              </w:rPr>
              <w:t xml:space="preserve"> of the </w:t>
            </w:r>
            <w:r>
              <w:rPr>
                <w:b/>
                <w:i w:val="0"/>
                <w:strike w:val="0"/>
              </w:rPr>
              <w:t>three</w:t>
            </w:r>
            <w:r>
              <w:rPr>
                <w:b w:val="0"/>
                <w:i w:val="0"/>
                <w:strike w:val="0"/>
              </w:rPr>
              <w:t xml:space="preserve"> VRS confirmation items — the approximate normal cost rate for pre-2014 B 4 public-safety members — and omits the subdivision B 4 reading and the BRS/TSP characterisation. Item 3 also does not say that the federal tax questions are four in number and </w:t>
            </w:r>
            <w:r>
              <w:rPr>
                <w:b/>
                <w:i w:val="0"/>
                <w:strike w:val="0"/>
              </w:rPr>
              <w:t>have not been sent</w:t>
            </w:r>
            <w:r>
              <w:rPr>
                <w:b w:val="0"/>
                <w:i w:val="0"/>
                <w:strike w:val="0"/>
              </w:rPr>
              <w:t>.</w:t>
            </w:r>
          </w:p>
        </w:tc>
        <w:tc>
          <w:tcPr>
            <w:tcW w:type="dxa" w:w="1440"/>
          </w:tcPr>
          <w:p>
            <w:r>
              <w:rPr>
                <w:b w:val="0"/>
                <w:i w:val="0"/>
                <w:strike w:val="0"/>
              </w:rPr>
              <w:t>A patron's staff works step 10 as a checklist, clears it, and finds two unresolved VRS confirmation items and four unsent counsel questions after introduction.</w:t>
            </w:r>
          </w:p>
        </w:tc>
        <w:tc>
          <w:tcPr>
            <w:tcW w:type="dxa" w:w="1440"/>
          </w:tcPr>
          <w:p>
            <w:r>
              <w:rPr>
                <w:b w:val="0"/>
                <w:i w:val="0"/>
                <w:strike w:val="0"/>
              </w:rPr>
              <w:t xml:space="preserve">Name all three VRS items and say the tax questions are unsent: </w:t>
            </w:r>
            <w:r>
              <w:rPr>
                <w:b w:val="0"/>
                <w:i/>
                <w:strike w:val="0"/>
              </w:rPr>
              <w:t>"the four federal tax questions, which have not yet gone to counsel."</w:t>
            </w:r>
            <w:r>
              <w:rPr>
                <w:b w:val="0"/>
                <w:i w:val="0"/>
                <w:strike w:val="0"/>
              </w:rPr>
              <w:t xml:space="preserve"> Authority: </w:t>
            </w:r>
            <w:r>
              <w:rPr>
                <w:rFonts w:ascii="Consolas" w:hAnsi="Consolas"/>
                <w:b w:val="0"/>
                <w:i w:val="0"/>
                <w:strike w:val="0"/>
                <w:color w:val="303030"/>
                <w:sz w:val="19"/>
              </w:rPr>
              <w:t>README.md</w:t>
            </w:r>
            <w:r>
              <w:rPr>
                <w:b w:val="0"/>
                <w:i w:val="0"/>
                <w:strike w:val="0"/>
              </w:rPr>
              <w:t xml:space="preserve"> L156.</w:t>
            </w:r>
          </w:p>
        </w:tc>
      </w:tr>
      <w:tr>
        <w:tc>
          <w:tcPr>
            <w:tcW w:type="dxa" w:w="1440"/>
          </w:tcPr>
          <w:p>
            <w:r>
              <w:rPr>
                <w:b/>
                <w:i w:val="0"/>
                <w:strike w:val="0"/>
              </w:rPr>
              <w:t>M-07</w:t>
            </w:r>
          </w:p>
        </w:tc>
        <w:tc>
          <w:tcPr>
            <w:tcW w:type="dxa" w:w="1440"/>
          </w:tcPr>
          <w:p>
            <w:r>
              <w:rPr>
                <w:b w:val="0"/>
                <w:i w:val="0"/>
                <w:strike w:val="0"/>
              </w:rPr>
              <w:t>Moderate</w:t>
            </w:r>
          </w:p>
        </w:tc>
        <w:tc>
          <w:tcPr>
            <w:tcW w:type="dxa" w:w="1440"/>
          </w:tcPr>
          <w:p>
            <w:r>
              <w:rPr>
                <w:rFonts w:ascii="Consolas" w:hAnsi="Consolas"/>
                <w:b w:val="0"/>
                <w:i w:val="0"/>
                <w:strike w:val="0"/>
                <w:color w:val="303030"/>
                <w:sz w:val="19"/>
              </w:rPr>
              <w:t>js/walkthrough.js</w:t>
            </w:r>
            <w:r>
              <w:rPr>
                <w:b w:val="0"/>
                <w:i w:val="0"/>
                <w:strike w:val="0"/>
              </w:rPr>
              <w:t xml:space="preserve"> L639–644, step 10 </w:t>
            </w:r>
            <w:r>
              <w:rPr>
                <w:rFonts w:ascii="Consolas" w:hAnsi="Consolas"/>
                <w:b w:val="0"/>
                <w:i w:val="0"/>
                <w:strike w:val="0"/>
                <w:color w:val="303030"/>
                <w:sz w:val="19"/>
              </w:rPr>
              <w:t>why</w:t>
            </w:r>
          </w:p>
        </w:tc>
        <w:tc>
          <w:tcPr>
            <w:tcW w:type="dxa" w:w="1440"/>
          </w:tcPr>
          <w:p>
            <w:r>
              <w:rPr>
                <w:b w:val="0"/>
                <w:i w:val="0"/>
                <w:strike w:val="0"/>
              </w:rPr>
              <w:t xml:space="preserve">A claim about another artifact that the artifact does not support. Step 10: </w:t>
            </w:r>
            <w:r>
              <w:rPr>
                <w:b w:val="0"/>
                <w:i/>
                <w:strike w:val="0"/>
              </w:rPr>
              <w:t xml:space="preserve">"The scenario summary and the CSV </w:t>
            </w:r>
            <w:r>
              <w:rPr>
                <w:b w:val="0"/>
                <w:i/>
                <w:strike w:val="0"/>
              </w:rPr>
              <w:t>both</w:t>
            </w:r>
            <w:r>
              <w:rPr>
                <w:b w:val="0"/>
                <w:i/>
                <w:strike w:val="0"/>
              </w:rPr>
              <w:t xml:space="preserve"> reproduce the required basis-point qualifier, the behavioural and population basis, the § 30-19.1:7 disclaimer </w:t>
            </w:r>
            <w:r>
              <w:rPr>
                <w:b w:val="0"/>
                <w:i/>
                <w:strike w:val="0"/>
              </w:rPr>
              <w:t>and the attribution line</w:t>
            </w:r>
            <w:r>
              <w:rPr>
                <w:b w:val="0"/>
                <w:i/>
                <w:strike w:val="0"/>
              </w:rPr>
              <w:t>."</w:t>
            </w:r>
            <w:r>
              <w:rPr>
                <w:b w:val="0"/>
                <w:i w:val="0"/>
                <w:strike w:val="0"/>
              </w:rPr>
              <w:t xml:space="preserve"> Verified: the handout carries all four; the </w:t>
            </w:r>
            <w:r>
              <w:rPr>
                <w:b/>
                <w:i w:val="0"/>
                <w:strike w:val="0"/>
              </w:rPr>
              <w:t>CSV carries no attribution line</w:t>
            </w:r>
            <w:r>
              <w:rPr>
                <w:b w:val="0"/>
                <w:i w:val="0"/>
                <w:strike w:val="0"/>
              </w:rPr>
              <w:t>.</w:t>
            </w:r>
          </w:p>
        </w:tc>
        <w:tc>
          <w:tcPr>
            <w:tcW w:type="dxa" w:w="1440"/>
          </w:tcPr>
          <w:p>
            <w:r>
              <w:rPr>
                <w:b w:val="0"/>
                <w:i w:val="0"/>
                <w:strike w:val="0"/>
              </w:rPr>
              <w:t xml:space="preserve">Press </w:t>
            </w:r>
            <w:r>
              <w:rPr>
                <w:b/>
                <w:i w:val="0"/>
                <w:strike w:val="0"/>
              </w:rPr>
              <w:t>CSV</w:t>
            </w:r>
            <w:r>
              <w:rPr>
                <w:b w:val="0"/>
                <w:i w:val="0"/>
                <w:strike w:val="0"/>
              </w:rPr>
              <w:t xml:space="preserve"> on the dashboard and read the header rows. Four of them — Status, Required qualifier, Behavioural assumption basis, Bill/package version — are present; the attribution line is not. A reader told the exports carry it does not check.</w:t>
            </w:r>
          </w:p>
        </w:tc>
        <w:tc>
          <w:tcPr>
            <w:tcW w:type="dxa" w:w="1440"/>
          </w:tcPr>
          <w:p>
            <w:r>
              <w:rPr>
                <w:b w:val="0"/>
                <w:i w:val="0"/>
                <w:strike w:val="0"/>
              </w:rPr>
              <w:t xml:space="preserve">Either add the attribution row to </w:t>
            </w:r>
            <w:r>
              <w:rPr>
                <w:rFonts w:ascii="Consolas" w:hAnsi="Consolas"/>
                <w:b w:val="0"/>
                <w:i w:val="0"/>
                <w:strike w:val="0"/>
                <w:color w:val="303030"/>
                <w:sz w:val="19"/>
              </w:rPr>
              <w:t>buildCsv</w:t>
            </w:r>
            <w:r>
              <w:rPr>
                <w:b w:val="0"/>
                <w:i w:val="0"/>
                <w:strike w:val="0"/>
              </w:rPr>
              <w:t xml:space="preserve"> (a one-line change in </w:t>
            </w:r>
            <w:r>
              <w:rPr>
                <w:rFonts w:ascii="Consolas" w:hAnsi="Consolas"/>
                <w:b w:val="0"/>
                <w:i w:val="0"/>
                <w:strike w:val="0"/>
                <w:color w:val="303030"/>
                <w:sz w:val="19"/>
              </w:rPr>
              <w:t>js/ui.js</w:t>
            </w:r>
            <w:r>
              <w:rPr>
                <w:b w:val="0"/>
                <w:i w:val="0"/>
                <w:strike w:val="0"/>
              </w:rPr>
              <w:t>, which is Drafting's call, not mine) or narrow the sentence to what is true.</w:t>
            </w:r>
          </w:p>
        </w:tc>
      </w:tr>
      <w:tr>
        <w:tc>
          <w:tcPr>
            <w:tcW w:type="dxa" w:w="1440"/>
          </w:tcPr>
          <w:p>
            <w:r>
              <w:rPr>
                <w:b/>
                <w:i w:val="0"/>
                <w:strike w:val="0"/>
              </w:rPr>
              <w:t>M-08</w:t>
            </w:r>
          </w:p>
        </w:tc>
        <w:tc>
          <w:tcPr>
            <w:tcW w:type="dxa" w:w="1440"/>
          </w:tcPr>
          <w:p>
            <w:r>
              <w:rPr>
                <w:b w:val="0"/>
                <w:i w:val="0"/>
                <w:strike w:val="0"/>
              </w:rPr>
              <w:t>Moderate</w:t>
            </w:r>
          </w:p>
        </w:tc>
        <w:tc>
          <w:tcPr>
            <w:tcW w:type="dxa" w:w="1440"/>
          </w:tcPr>
          <w:p>
            <w:r>
              <w:rPr>
                <w:rFonts w:ascii="Consolas" w:hAnsi="Consolas"/>
                <w:b w:val="0"/>
                <w:i w:val="0"/>
                <w:strike w:val="0"/>
                <w:color w:val="303030"/>
                <w:sz w:val="19"/>
              </w:rPr>
              <w:t>js/walkthrough.js</w:t>
            </w:r>
            <w:r>
              <w:rPr>
                <w:b w:val="0"/>
                <w:i w:val="0"/>
                <w:strike w:val="0"/>
              </w:rPr>
              <w:t xml:space="preserve"> L524–530, step 8 </w:t>
            </w:r>
            <w:r>
              <w:rPr>
                <w:rFonts w:ascii="Consolas" w:hAnsi="Consolas"/>
                <w:b w:val="0"/>
                <w:i w:val="0"/>
                <w:strike w:val="0"/>
                <w:color w:val="303030"/>
                <w:sz w:val="19"/>
              </w:rPr>
              <w:t>why</w:t>
            </w:r>
            <w:r>
              <w:rPr>
                <w:b w:val="0"/>
                <w:i w:val="0"/>
                <w:strike w:val="0"/>
              </w:rPr>
              <w:t xml:space="preserve"> ¶1</w:t>
            </w:r>
          </w:p>
        </w:tc>
        <w:tc>
          <w:tcPr>
            <w:tcW w:type="dxa" w:w="1440"/>
          </w:tcPr>
          <w:p>
            <w:r>
              <w:rPr>
                <w:b w:val="0"/>
                <w:i w:val="0"/>
                <w:strike w:val="0"/>
              </w:rPr>
              <w:t xml:space="preserve">Step 8 names a driver the panel does not test. </w:t>
            </w:r>
            <w:r>
              <w:rPr>
                <w:b w:val="0"/>
                <w:i/>
                <w:strike w:val="0"/>
              </w:rPr>
              <w:t xml:space="preserve">"Every classical actuarial lever — the discount rate, </w:t>
            </w:r>
            <w:r>
              <w:rPr>
                <w:b w:val="0"/>
                <w:i/>
                <w:strike w:val="0"/>
              </w:rPr>
              <w:t>mortality improvement</w:t>
            </w:r>
            <w:r>
              <w:rPr>
                <w:b w:val="0"/>
                <w:i/>
                <w:strike w:val="0"/>
              </w:rPr>
              <w:t>, salary growth — moves the answer far less than φ or the veteran funnel does."</w:t>
            </w:r>
            <w:r>
              <w:rPr>
                <w:b w:val="0"/>
                <w:i w:val="0"/>
                <w:strike w:val="0"/>
              </w:rPr>
              <w:t xml:space="preserve"> Re-derived: the tornado has eight rows — φ, take-up, funnel, average bridge amount, discount rate, salary growth, replacement salary, positions not replaced. </w:t>
            </w:r>
            <w:r>
              <w:rPr>
                <w:b/>
                <w:i w:val="0"/>
                <w:strike w:val="0"/>
              </w:rPr>
              <w:t>Mortality improvement is not among them.</w:t>
            </w:r>
            <w:r>
              <w:rPr>
                <w:b w:val="0"/>
                <w:i w:val="0"/>
                <w:strike w:val="0"/>
              </w:rPr>
              <w:t xml:space="preserve"> The claim is true of the fiscal model (which tests 0.00%/1.25% → 0.18/0.19 bp) and false of the panel step 8 tells the reader to read. Inherited from the Panel F note at </w:t>
            </w:r>
            <w:r>
              <w:rPr>
                <w:rFonts w:ascii="Consolas" w:hAnsi="Consolas"/>
                <w:b w:val="0"/>
                <w:i w:val="0"/>
                <w:strike w:val="0"/>
                <w:color w:val="303030"/>
                <w:sz w:val="19"/>
              </w:rPr>
              <w:t>js/ui.js</w:t>
            </w:r>
            <w:r>
              <w:rPr>
                <w:b w:val="0"/>
                <w:i w:val="0"/>
                <w:strike w:val="0"/>
              </w:rPr>
              <w:t xml:space="preserve"> L690.</w:t>
            </w:r>
          </w:p>
        </w:tc>
        <w:tc>
          <w:tcPr>
            <w:tcW w:type="dxa" w:w="1440"/>
          </w:tcPr>
          <w:p>
            <w:r>
              <w:rPr>
                <w:b w:val="0"/>
                <w:i w:val="0"/>
                <w:strike w:val="0"/>
              </w:rPr>
              <w:t xml:space="preserve">Press </w:t>
            </w:r>
            <w:r>
              <w:rPr>
                <w:b/>
                <w:i w:val="0"/>
                <w:strike w:val="0"/>
              </w:rPr>
              <w:t>Apply these settings</w:t>
            </w:r>
            <w:r>
              <w:rPr>
                <w:b w:val="0"/>
                <w:i w:val="0"/>
                <w:strike w:val="0"/>
              </w:rPr>
              <w:t xml:space="preserve"> on step 8 and look for the mortality bar. There isn't one. A reviewer concludes the sensitivity panel is misdescribed — the cheapest possible hit on an otherwise sound panel.</w:t>
            </w:r>
          </w:p>
        </w:tc>
        <w:tc>
          <w:tcPr>
            <w:tcW w:type="dxa" w:w="1440"/>
          </w:tcPr>
          <w:p>
            <w:r>
              <w:rPr>
                <w:b w:val="0"/>
                <w:i w:val="0"/>
                <w:strike w:val="0"/>
              </w:rPr>
              <w:t>Either attribute the mortality result to the fiscal model (</w:t>
            </w:r>
            <w:r>
              <w:rPr>
                <w:b w:val="0"/>
                <w:i/>
                <w:strike w:val="0"/>
              </w:rPr>
              <w:t>"and mortality improvement, tested in the fiscal model at 0.00% and 1.25%, moves it by 0.01 bp"</w:t>
            </w:r>
            <w:r>
              <w:rPr>
                <w:b w:val="0"/>
                <w:i w:val="0"/>
                <w:strike w:val="0"/>
              </w:rPr>
              <w:t xml:space="preserve">) or drop it from the list. The same correction is needed in </w:t>
            </w:r>
            <w:r>
              <w:rPr>
                <w:rFonts w:ascii="Consolas" w:hAnsi="Consolas"/>
                <w:b w:val="0"/>
                <w:i w:val="0"/>
                <w:strike w:val="0"/>
                <w:color w:val="303030"/>
                <w:sz w:val="19"/>
              </w:rPr>
              <w:t>js/ui.js</w:t>
            </w:r>
            <w:r>
              <w:rPr>
                <w:b w:val="0"/>
                <w:i w:val="0"/>
                <w:strike w:val="0"/>
              </w:rPr>
              <w:t>.</w:t>
            </w:r>
          </w:p>
        </w:tc>
      </w:tr>
    </w:tbl>
    <w:p/>
    <w:p>
      <w:pPr>
        <w:pStyle w:val="Heading3"/>
      </w:pPr>
      <w:r>
        <w:rPr>
          <w:b w:val="0"/>
          <w:i w:val="0"/>
          <w:strike w:val="0"/>
        </w:rPr>
        <w:t>Minor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trike w:val="0"/>
              </w:rPr>
              <w:t>#</w:t>
            </w:r>
          </w:p>
        </w:tc>
        <w:tc>
          <w:tcPr>
            <w:tcW w:type="dxa" w:w="1728"/>
          </w:tcPr>
          <w:p>
            <w:r>
              <w:rPr>
                <w:b/>
                <w:i w:val="0"/>
                <w:strike w:val="0"/>
              </w:rPr>
              <w:t>Severity</w:t>
            </w:r>
          </w:p>
        </w:tc>
        <w:tc>
          <w:tcPr>
            <w:tcW w:type="dxa" w:w="1728"/>
          </w:tcPr>
          <w:p>
            <w:r>
              <w:rPr>
                <w:b/>
                <w:i w:val="0"/>
                <w:strike w:val="0"/>
              </w:rPr>
              <w:t>Location</w:t>
            </w:r>
          </w:p>
        </w:tc>
        <w:tc>
          <w:tcPr>
            <w:tcW w:type="dxa" w:w="1728"/>
          </w:tcPr>
          <w:p>
            <w:r>
              <w:rPr>
                <w:b/>
                <w:i w:val="0"/>
                <w:strike w:val="0"/>
              </w:rPr>
              <w:t>What is wrong</w:t>
            </w:r>
          </w:p>
        </w:tc>
        <w:tc>
          <w:tcPr>
            <w:tcW w:type="dxa" w:w="1728"/>
          </w:tcPr>
          <w:p>
            <w:r>
              <w:rPr>
                <w:b/>
                <w:i w:val="0"/>
                <w:strike w:val="0"/>
              </w:rPr>
              <w:t>Suggested direction</w:t>
            </w:r>
          </w:p>
        </w:tc>
      </w:tr>
      <w:tr>
        <w:tc>
          <w:tcPr>
            <w:tcW w:type="dxa" w:w="1728"/>
          </w:tcPr>
          <w:p>
            <w:r>
              <w:rPr>
                <w:b/>
                <w:i w:val="0"/>
                <w:strike w:val="0"/>
              </w:rPr>
              <w:t>m-01</w:t>
            </w:r>
          </w:p>
        </w:tc>
        <w:tc>
          <w:tcPr>
            <w:tcW w:type="dxa" w:w="1728"/>
          </w:tcPr>
          <w:p>
            <w:r>
              <w:rPr>
                <w:b w:val="0"/>
                <w:i w:val="0"/>
                <w:strike w:val="0"/>
              </w:rPr>
              <w:t>Minor</w:t>
            </w:r>
          </w:p>
        </w:tc>
        <w:tc>
          <w:tcPr>
            <w:tcW w:type="dxa" w:w="1728"/>
          </w:tcPr>
          <w:p>
            <w:r>
              <w:rPr>
                <w:rFonts w:ascii="Consolas" w:hAnsi="Consolas"/>
                <w:b w:val="0"/>
                <w:i w:val="0"/>
                <w:strike w:val="0"/>
                <w:color w:val="303030"/>
                <w:sz w:val="19"/>
              </w:rPr>
              <w:t>js/walkthrough.js</w:t>
            </w:r>
            <w:r>
              <w:rPr>
                <w:b w:val="0"/>
                <w:i w:val="0"/>
                <w:strike w:val="0"/>
              </w:rPr>
              <w:t xml:space="preserve"> L124, L169, L457, L508, L563, L621</w:t>
            </w:r>
          </w:p>
        </w:tc>
        <w:tc>
          <w:tcPr>
            <w:tcW w:type="dxa" w:w="1728"/>
          </w:tcPr>
          <w:p>
            <w:r>
              <w:rPr>
                <w:b w:val="0"/>
                <w:i w:val="0"/>
                <w:strike w:val="0"/>
              </w:rPr>
              <w:t xml:space="preserve">The </w:t>
            </w:r>
            <w:r>
              <w:rPr>
                <w:rFonts w:ascii="Consolas" w:hAnsi="Consolas"/>
                <w:b w:val="0"/>
                <w:i w:val="0"/>
                <w:strike w:val="0"/>
                <w:color w:val="303030"/>
                <w:sz w:val="19"/>
              </w:rPr>
              <w:t>preset</w:t>
            </w:r>
            <w:r>
              <w:rPr>
                <w:b w:val="0"/>
                <w:i w:val="0"/>
                <w:strike w:val="0"/>
              </w:rPr>
              <w:t xml:space="preserve"> field on steps 1, 2, 7, 8, 9 and 10 is </w:t>
            </w:r>
            <w:r>
              <w:rPr>
                <w:b/>
                <w:i w:val="0"/>
                <w:strike w:val="0"/>
              </w:rPr>
              <w:t>dead</w:t>
            </w:r>
            <w:r>
              <w:rPr>
                <w:b w:val="0"/>
                <w:i w:val="0"/>
                <w:strike w:val="0"/>
              </w:rPr>
              <w:t xml:space="preserve">: </w:t>
            </w:r>
            <w:r>
              <w:rPr>
                <w:rFonts w:ascii="Consolas" w:hAnsi="Consolas"/>
                <w:b w:val="0"/>
                <w:i w:val="0"/>
                <w:strike w:val="0"/>
                <w:color w:val="303030"/>
                <w:sz w:val="19"/>
              </w:rPr>
              <w:t>wtApply</w:t>
            </w:r>
            <w:r>
              <w:rPr>
                <w:b w:val="0"/>
                <w:i w:val="0"/>
                <w:strike w:val="0"/>
              </w:rPr>
              <w:t xml:space="preserve"> (</w:t>
            </w:r>
            <w:r>
              <w:rPr>
                <w:rFonts w:ascii="Consolas" w:hAnsi="Consolas"/>
                <w:b w:val="0"/>
                <w:i w:val="0"/>
                <w:strike w:val="0"/>
                <w:color w:val="303030"/>
                <w:sz w:val="19"/>
              </w:rPr>
              <w:t>js/ui.js</w:t>
            </w:r>
            <w:r>
              <w:rPr>
                <w:b w:val="0"/>
                <w:i w:val="0"/>
                <w:strike w:val="0"/>
              </w:rPr>
              <w:t xml:space="preserve"> L1375–1388) reads only </w:t>
            </w:r>
            <w:r>
              <w:rPr>
                <w:rFonts w:ascii="Consolas" w:hAnsi="Consolas"/>
                <w:b w:val="0"/>
                <w:i w:val="0"/>
                <w:strike w:val="0"/>
                <w:color w:val="303030"/>
                <w:sz w:val="19"/>
              </w:rPr>
              <w:t>s.params</w:t>
            </w:r>
            <w:r>
              <w:rPr>
                <w:b w:val="0"/>
                <w:i w:val="0"/>
                <w:strike w:val="0"/>
              </w:rPr>
              <w:t xml:space="preserve">, and </w:t>
            </w:r>
            <w:r>
              <w:rPr>
                <w:rFonts w:ascii="Consolas" w:hAnsi="Consolas"/>
                <w:b w:val="0"/>
                <w:i w:val="0"/>
                <w:strike w:val="0"/>
                <w:color w:val="303030"/>
                <w:sz w:val="19"/>
              </w:rPr>
              <w:t>walkthrough.html</w:t>
            </w:r>
            <w:r>
              <w:rPr>
                <w:b w:val="0"/>
                <w:i w:val="0"/>
                <w:strike w:val="0"/>
              </w:rPr>
              <w:t xml:space="preserve"> reads neither. A future edit that changed a step's </w:t>
            </w:r>
            <w:r>
              <w:rPr>
                <w:rFonts w:ascii="Consolas" w:hAnsi="Consolas"/>
                <w:b w:val="0"/>
                <w:i w:val="0"/>
                <w:strike w:val="0"/>
                <w:color w:val="303030"/>
                <w:sz w:val="19"/>
              </w:rPr>
              <w:t>preset</w:t>
            </w:r>
            <w:r>
              <w:rPr>
                <w:b w:val="0"/>
                <w:i w:val="0"/>
                <w:strike w:val="0"/>
              </w:rPr>
              <w:t xml:space="preserve"> would appear to work and change nothing. The values currently happen to agree with </w:t>
            </w:r>
            <w:r>
              <w:rPr>
                <w:rFonts w:ascii="Consolas" w:hAnsi="Consolas"/>
                <w:b w:val="0"/>
                <w:i w:val="0"/>
                <w:strike w:val="0"/>
                <w:color w:val="303030"/>
                <w:sz w:val="19"/>
              </w:rPr>
              <w:t>params</w:t>
            </w:r>
            <w:r>
              <w:rPr>
                <w:b w:val="0"/>
                <w:i w:val="0"/>
                <w:strike w:val="0"/>
              </w:rPr>
              <w:t xml:space="preserve"> — step 9's </w:t>
            </w:r>
            <w:r>
              <w:rPr>
                <w:rFonts w:ascii="Consolas" w:hAnsi="Consolas"/>
                <w:b w:val="0"/>
                <w:i w:val="0"/>
                <w:strike w:val="0"/>
                <w:color w:val="303030"/>
                <w:sz w:val="19"/>
              </w:rPr>
              <w:t>params</w:t>
            </w:r>
            <w:r>
              <w:rPr>
                <w:b w:val="0"/>
                <w:i w:val="0"/>
                <w:strike w:val="0"/>
              </w:rPr>
              <w:t xml:space="preserve"> match the </w:t>
            </w:r>
            <w:r>
              <w:rPr>
                <w:rFonts w:ascii="Consolas" w:hAnsi="Consolas"/>
                <w:b w:val="0"/>
                <w:i w:val="0"/>
                <w:strike w:val="0"/>
                <w:color w:val="303030"/>
                <w:sz w:val="19"/>
              </w:rPr>
              <w:t>conservative</w:t>
            </w:r>
            <w:r>
              <w:rPr>
                <w:b w:val="0"/>
                <w:i w:val="0"/>
                <w:strike w:val="0"/>
              </w:rPr>
              <w:t xml:space="preserve"> preset exactly, so </w:t>
            </w:r>
            <w:r>
              <w:rPr>
                <w:rFonts w:ascii="Consolas" w:hAnsi="Consolas"/>
                <w:b w:val="0"/>
                <w:i w:val="0"/>
                <w:strike w:val="0"/>
                <w:color w:val="303030"/>
                <w:sz w:val="19"/>
              </w:rPr>
              <w:t>matchPreset()</w:t>
            </w:r>
            <w:r>
              <w:rPr>
                <w:b w:val="0"/>
                <w:i w:val="0"/>
                <w:strike w:val="0"/>
              </w:rPr>
              <w:t xml:space="preserve"> does resolve it and the sidebar's </w:t>
            </w:r>
            <w:r>
              <w:rPr>
                <w:b w:val="0"/>
                <w:i/>
                <w:strike w:val="0"/>
              </w:rPr>
              <w:t>"low-cost corner, not a prudence case"</w:t>
            </w:r>
            <w:r>
              <w:rPr>
                <w:b w:val="0"/>
                <w:i w:val="0"/>
                <w:strike w:val="0"/>
              </w:rPr>
              <w:t xml:space="preserve"> description is on screen.</w:t>
            </w:r>
          </w:p>
        </w:tc>
        <w:tc>
          <w:tcPr>
            <w:tcW w:type="dxa" w:w="1728"/>
          </w:tcPr>
          <w:p>
            <w:r>
              <w:rPr>
                <w:b w:val="0"/>
                <w:i w:val="0"/>
                <w:strike w:val="0"/>
              </w:rPr>
              <w:t xml:space="preserve">Delete the field, or have </w:t>
            </w:r>
            <w:r>
              <w:rPr>
                <w:rFonts w:ascii="Consolas" w:hAnsi="Consolas"/>
                <w:b w:val="0"/>
                <w:i w:val="0"/>
                <w:strike w:val="0"/>
                <w:color w:val="303030"/>
                <w:sz w:val="19"/>
              </w:rPr>
              <w:t>wtApply</w:t>
            </w:r>
            <w:r>
              <w:rPr>
                <w:b w:val="0"/>
                <w:i w:val="0"/>
                <w:strike w:val="0"/>
              </w:rPr>
              <w:t xml:space="preserve"> assert that </w:t>
            </w:r>
            <w:r>
              <w:rPr>
                <w:rFonts w:ascii="Consolas" w:hAnsi="Consolas"/>
                <w:b w:val="0"/>
                <w:i w:val="0"/>
                <w:strike w:val="0"/>
                <w:color w:val="303030"/>
                <w:sz w:val="19"/>
              </w:rPr>
              <w:t>preset</w:t>
            </w:r>
            <w:r>
              <w:rPr>
                <w:b w:val="0"/>
                <w:i w:val="0"/>
                <w:strike w:val="0"/>
              </w:rPr>
              <w:t xml:space="preserve"> and </w:t>
            </w:r>
            <w:r>
              <w:rPr>
                <w:rFonts w:ascii="Consolas" w:hAnsi="Consolas"/>
                <w:b w:val="0"/>
                <w:i w:val="0"/>
                <w:strike w:val="0"/>
                <w:color w:val="303030"/>
                <w:sz w:val="19"/>
              </w:rPr>
              <w:t>params</w:t>
            </w:r>
            <w:r>
              <w:rPr>
                <w:b w:val="0"/>
                <w:i w:val="0"/>
                <w:strike w:val="0"/>
              </w:rPr>
              <w:t xml:space="preserve"> agree. The comment at L19–21 claims prose and settings cannot disagree; this field is the one place that claim is unenforced.</w:t>
            </w:r>
          </w:p>
        </w:tc>
      </w:tr>
      <w:tr>
        <w:tc>
          <w:tcPr>
            <w:tcW w:type="dxa" w:w="1728"/>
          </w:tcPr>
          <w:p>
            <w:r>
              <w:rPr>
                <w:b/>
                <w:i w:val="0"/>
                <w:strike w:val="0"/>
              </w:rPr>
              <w:t>m-02</w:t>
            </w:r>
          </w:p>
        </w:tc>
        <w:tc>
          <w:tcPr>
            <w:tcW w:type="dxa" w:w="1728"/>
          </w:tcPr>
          <w:p>
            <w:r>
              <w:rPr>
                <w:b w:val="0"/>
                <w:i w:val="0"/>
                <w:strike w:val="0"/>
              </w:rPr>
              <w:t>Minor</w:t>
            </w:r>
          </w:p>
        </w:tc>
        <w:tc>
          <w:tcPr>
            <w:tcW w:type="dxa" w:w="1728"/>
          </w:tcPr>
          <w:p>
            <w:r>
              <w:rPr>
                <w:rFonts w:ascii="Consolas" w:hAnsi="Consolas"/>
                <w:b w:val="0"/>
                <w:i w:val="0"/>
                <w:strike w:val="0"/>
                <w:color w:val="303030"/>
                <w:sz w:val="19"/>
              </w:rPr>
              <w:t>js/ui.js</w:t>
            </w:r>
            <w:r>
              <w:rPr>
                <w:b w:val="0"/>
                <w:i w:val="0"/>
                <w:strike w:val="0"/>
              </w:rPr>
              <w:t xml:space="preserve"> L1000–1002, </w:t>
            </w:r>
            <w:r>
              <w:rPr>
                <w:rFonts w:ascii="Consolas" w:hAnsi="Consolas"/>
                <w:b w:val="0"/>
                <w:i w:val="0"/>
                <w:strike w:val="0"/>
                <w:color w:val="303030"/>
                <w:sz w:val="19"/>
              </w:rPr>
              <w:t>presetLabel()</w:t>
            </w:r>
          </w:p>
        </w:tc>
        <w:tc>
          <w:tcPr>
            <w:tcW w:type="dxa" w:w="1728"/>
          </w:tcPr>
          <w:p>
            <w:r>
              <w:rPr>
                <w:b w:val="0"/>
                <w:i w:val="0"/>
                <w:strike w:val="0"/>
              </w:rPr>
              <w:t xml:space="preserve">The scenario chip reads </w:t>
            </w:r>
            <w:r>
              <w:rPr>
                <w:b w:val="0"/>
                <w:i/>
                <w:strike w:val="0"/>
              </w:rPr>
              <w:t xml:space="preserve">"Low Participation (low-cost case) </w:t>
            </w:r>
            <w:r>
              <w:rPr>
                <w:b w:val="0"/>
                <w:i/>
                <w:strike w:val="0"/>
              </w:rPr>
              <w:t>case</w:t>
            </w:r>
            <w:r>
              <w:rPr>
                <w:b w:val="0"/>
                <w:i/>
                <w:strike w:val="0"/>
              </w:rPr>
              <w:t>"</w:t>
            </w:r>
            <w:r>
              <w:rPr>
                <w:b w:val="0"/>
                <w:i w:val="0"/>
                <w:strike w:val="0"/>
              </w:rPr>
              <w:t xml:space="preserve"> after step 9's first click, because </w:t>
            </w:r>
            <w:r>
              <w:rPr>
                <w:rFonts w:ascii="Consolas" w:hAnsi="Consolas"/>
                <w:b w:val="0"/>
                <w:i w:val="0"/>
                <w:strike w:val="0"/>
                <w:color w:val="303030"/>
                <w:sz w:val="19"/>
              </w:rPr>
              <w:t>presetLabel()</w:t>
            </w:r>
            <w:r>
              <w:rPr>
                <w:b w:val="0"/>
                <w:i w:val="0"/>
                <w:strike w:val="0"/>
              </w:rPr>
              <w:t xml:space="preserve"> appends </w:t>
            </w:r>
            <w:r>
              <w:rPr>
                <w:rFonts w:ascii="Consolas" w:hAnsi="Consolas"/>
                <w:b w:val="0"/>
                <w:i w:val="0"/>
                <w:strike w:val="0"/>
                <w:color w:val="303030"/>
                <w:sz w:val="19"/>
              </w:rPr>
              <w:t>' case'</w:t>
            </w:r>
            <w:r>
              <w:rPr>
                <w:b w:val="0"/>
                <w:i w:val="0"/>
                <w:strike w:val="0"/>
              </w:rPr>
              <w:t xml:space="preserve"> to a name already ending in </w:t>
            </w:r>
            <w:r>
              <w:rPr>
                <w:rFonts w:ascii="Consolas" w:hAnsi="Consolas"/>
                <w:b w:val="0"/>
                <w:i w:val="0"/>
                <w:strike w:val="0"/>
                <w:color w:val="303030"/>
                <w:sz w:val="19"/>
              </w:rPr>
              <w:t>case)</w:t>
            </w:r>
            <w:r>
              <w:rPr>
                <w:b w:val="0"/>
                <w:i w:val="0"/>
                <w:strike w:val="0"/>
              </w:rPr>
              <w:t>.</w:t>
            </w:r>
          </w:p>
        </w:tc>
        <w:tc>
          <w:tcPr>
            <w:tcW w:type="dxa" w:w="1728"/>
          </w:tcPr>
          <w:p>
            <w:r>
              <w:rPr>
                <w:b w:val="0"/>
                <w:i w:val="0"/>
                <w:strike w:val="0"/>
              </w:rPr>
              <w:t xml:space="preserve">Append </w:t>
            </w:r>
            <w:r>
              <w:rPr>
                <w:rFonts w:ascii="Consolas" w:hAnsi="Consolas"/>
                <w:b w:val="0"/>
                <w:i w:val="0"/>
                <w:strike w:val="0"/>
                <w:color w:val="303030"/>
                <w:sz w:val="19"/>
              </w:rPr>
              <w:t>' case'</w:t>
            </w:r>
            <w:r>
              <w:rPr>
                <w:b w:val="0"/>
                <w:i w:val="0"/>
                <w:strike w:val="0"/>
              </w:rPr>
              <w:t xml:space="preserve"> only when the name does not already end in it, or rename the preset.</w:t>
            </w:r>
          </w:p>
        </w:tc>
      </w:tr>
      <w:tr>
        <w:tc>
          <w:tcPr>
            <w:tcW w:type="dxa" w:w="1728"/>
          </w:tcPr>
          <w:p>
            <w:r>
              <w:rPr>
                <w:b/>
                <w:i w:val="0"/>
                <w:strike w:val="0"/>
              </w:rPr>
              <w:t>m-03</w:t>
            </w:r>
          </w:p>
        </w:tc>
        <w:tc>
          <w:tcPr>
            <w:tcW w:type="dxa" w:w="1728"/>
          </w:tcPr>
          <w:p>
            <w:r>
              <w:rPr>
                <w:b w:val="0"/>
                <w:i w:val="0"/>
                <w:strike w:val="0"/>
              </w:rPr>
              <w:t>Minor</w:t>
            </w:r>
          </w:p>
        </w:tc>
        <w:tc>
          <w:tcPr>
            <w:tcW w:type="dxa" w:w="1728"/>
          </w:tcPr>
          <w:p>
            <w:r>
              <w:rPr>
                <w:rFonts w:ascii="Consolas" w:hAnsi="Consolas"/>
                <w:b w:val="0"/>
                <w:i w:val="0"/>
                <w:strike w:val="0"/>
                <w:color w:val="303030"/>
                <w:sz w:val="19"/>
              </w:rPr>
              <w:t>js/walkthrough.js</w:t>
            </w:r>
            <w:r>
              <w:rPr>
                <w:b w:val="0"/>
                <w:i w:val="0"/>
                <w:strike w:val="0"/>
              </w:rPr>
              <w:t xml:space="preserve"> L54 (</w:t>
            </w:r>
            <w:r>
              <w:rPr>
                <w:rFonts w:ascii="Consolas" w:hAnsi="Consolas"/>
                <w:b w:val="0"/>
                <w:i w:val="0"/>
                <w:strike w:val="0"/>
                <w:color w:val="303030"/>
                <w:sz w:val="19"/>
              </w:rPr>
              <w:t>meta.minutes: 20</w:t>
            </w:r>
            <w:r>
              <w:rPr>
                <w:b w:val="0"/>
                <w:i w:val="0"/>
                <w:strike w:val="0"/>
              </w:rPr>
              <w:t>) and L59</w:t>
            </w:r>
          </w:p>
        </w:tc>
        <w:tc>
          <w:tcPr>
            <w:tcW w:type="dxa" w:w="1728"/>
          </w:tcPr>
          <w:p>
            <w:r>
              <w:rPr>
                <w:b w:val="0"/>
                <w:i w:val="0"/>
                <w:strike w:val="0"/>
              </w:rPr>
              <w:t>The document estimates its own read at twenty minutes for an audience the mandate puts at ten. Taken with S-06 and S-08, the consequence is that the median reader stops around step 5 — the trap step — having passed the φ disclosure but not the COLA exposure, the sensitivity compounding or the five pre-patron conditions.</w:t>
            </w:r>
          </w:p>
        </w:tc>
        <w:tc>
          <w:tcPr>
            <w:tcW w:type="dxa" w:w="1728"/>
          </w:tcPr>
          <w:p>
            <w:r>
              <w:rPr>
                <w:b w:val="0"/>
                <w:i w:val="0"/>
                <w:strike w:val="0"/>
              </w:rPr>
              <w:t>Not a defect to fix in prose. It is the argument for S-06: whatever must survive a ten-minute read has to be in the opening or in step 1, and at present the unquantified COLA exposure, the compound-adverse tail and the pre-patron conditions are all behind the budget.</w:t>
            </w:r>
          </w:p>
        </w:tc>
      </w:tr>
      <w:tr>
        <w:tc>
          <w:tcPr>
            <w:tcW w:type="dxa" w:w="1728"/>
          </w:tcPr>
          <w:p>
            <w:r>
              <w:rPr>
                <w:b/>
                <w:i w:val="0"/>
                <w:strike w:val="0"/>
              </w:rPr>
              <w:t>m-04</w:t>
            </w:r>
          </w:p>
        </w:tc>
        <w:tc>
          <w:tcPr>
            <w:tcW w:type="dxa" w:w="1728"/>
          </w:tcPr>
          <w:p>
            <w:r>
              <w:rPr>
                <w:b w:val="0"/>
                <w:i w:val="0"/>
                <w:strike w:val="0"/>
              </w:rPr>
              <w:t>Minor</w:t>
            </w:r>
          </w:p>
        </w:tc>
        <w:tc>
          <w:tcPr>
            <w:tcW w:type="dxa" w:w="1728"/>
          </w:tcPr>
          <w:p>
            <w:r>
              <w:rPr>
                <w:rFonts w:ascii="Consolas" w:hAnsi="Consolas"/>
                <w:b w:val="0"/>
                <w:i w:val="0"/>
                <w:strike w:val="0"/>
                <w:color w:val="303030"/>
                <w:sz w:val="19"/>
              </w:rPr>
              <w:t>build_standalone.py</w:t>
            </w:r>
            <w:r>
              <w:rPr>
                <w:b w:val="0"/>
                <w:i w:val="0"/>
                <w:strike w:val="0"/>
              </w:rPr>
              <w:t xml:space="preserve"> L124–134, </w:t>
            </w:r>
            <w:r>
              <w:rPr>
                <w:rFonts w:ascii="Consolas" w:hAnsi="Consolas"/>
                <w:b w:val="0"/>
                <w:i w:val="0"/>
                <w:strike w:val="0"/>
                <w:color w:val="303030"/>
                <w:sz w:val="19"/>
              </w:rPr>
              <w:t>disable_cross_links</w:t>
            </w:r>
          </w:p>
        </w:tc>
        <w:tc>
          <w:tcPr>
            <w:tcW w:type="dxa" w:w="1728"/>
          </w:tcPr>
          <w:p>
            <w:r>
              <w:rPr>
                <w:b w:val="0"/>
                <w:i w:val="0"/>
                <w:strike w:val="0"/>
              </w:rPr>
              <w:t xml:space="preserve">From the circulated walk-through, </w:t>
            </w:r>
            <w:r>
              <w:rPr>
                <w:b/>
                <w:i w:val="0"/>
                <w:strike w:val="0"/>
              </w:rPr>
              <w:t>Open the dashboard →</w:t>
            </w:r>
            <w:r>
              <w:rPr>
                <w:b w:val="0"/>
                <w:i w:val="0"/>
                <w:strike w:val="0"/>
              </w:rPr>
              <w:t xml:space="preserve"> resolves correctly (verified: a copy alone in an empty directory navigates to a </w:t>
            </w:r>
            <w:r>
              <w:rPr>
                <w:rFonts w:ascii="Consolas" w:hAnsi="Consolas"/>
                <w:b w:val="0"/>
                <w:i w:val="0"/>
                <w:strike w:val="0"/>
                <w:color w:val="303030"/>
                <w:sz w:val="19"/>
              </w:rPr>
              <w:t>blob:</w:t>
            </w:r>
            <w:r>
              <w:rPr>
                <w:b w:val="0"/>
                <w:i w:val="0"/>
                <w:strike w:val="0"/>
              </w:rPr>
              <w:t xml:space="preserve"> URL carrying a fully working dashboard, Panel D present, drawer operable, no console errors). But the embedded dashboard's cross-links are disabled, so there is no route back to the walk-through or on to the methodology page, and the only indication is a </w:t>
            </w:r>
            <w:r>
              <w:rPr>
                <w:rFonts w:ascii="Consolas" w:hAnsi="Consolas"/>
                <w:b w:val="0"/>
                <w:i w:val="0"/>
                <w:strike w:val="0"/>
                <w:color w:val="303030"/>
                <w:sz w:val="19"/>
              </w:rPr>
              <w:t>title</w:t>
            </w:r>
            <w:r>
              <w:rPr>
                <w:b w:val="0"/>
                <w:i w:val="0"/>
                <w:strike w:val="0"/>
              </w:rPr>
              <w:t xml:space="preserve"> tooltip that never appears on a touch device. The </w:t>
            </w:r>
            <w:r>
              <w:rPr>
                <w:rFonts w:ascii="Consolas" w:hAnsi="Consolas"/>
                <w:b w:val="0"/>
                <w:i w:val="0"/>
                <w:strike w:val="0"/>
                <w:color w:val="303030"/>
                <w:sz w:val="19"/>
              </w:rPr>
              <w:t>blob:</w:t>
            </w:r>
            <w:r>
              <w:rPr>
                <w:b w:val="0"/>
                <w:i w:val="0"/>
                <w:strike w:val="0"/>
              </w:rPr>
              <w:t xml:space="preserve"> URL also cannot be bookmarked or re-shared.</w:t>
            </w:r>
          </w:p>
        </w:tc>
        <w:tc>
          <w:tcPr>
            <w:tcW w:type="dxa" w:w="1728"/>
          </w:tcPr>
          <w:p>
            <w:r>
              <w:rPr>
                <w:b w:val="0"/>
                <w:i w:val="0"/>
                <w:strike w:val="0"/>
              </w:rPr>
              <w:t xml:space="preserve">A visible one-line note in the embedded copies — </w:t>
            </w:r>
            <w:r>
              <w:rPr>
                <w:b w:val="0"/>
                <w:i/>
                <w:strike w:val="0"/>
              </w:rPr>
              <w:t>"Use your browser's Back button to return to the walk-through"</w:t>
            </w:r>
            <w:r>
              <w:rPr>
                <w:b w:val="0"/>
                <w:i w:val="0"/>
                <w:strike w:val="0"/>
              </w:rPr>
              <w:t xml:space="preserve"> — rather than a tooltip.</w:t>
            </w:r>
          </w:p>
        </w:tc>
      </w:tr>
      <w:tr>
        <w:tc>
          <w:tcPr>
            <w:tcW w:type="dxa" w:w="1728"/>
          </w:tcPr>
          <w:p>
            <w:r>
              <w:rPr>
                <w:b/>
                <w:i w:val="0"/>
                <w:strike w:val="0"/>
              </w:rPr>
              <w:t>m-05</w:t>
            </w:r>
          </w:p>
        </w:tc>
        <w:tc>
          <w:tcPr>
            <w:tcW w:type="dxa" w:w="1728"/>
          </w:tcPr>
          <w:p>
            <w:r>
              <w:rPr>
                <w:b w:val="0"/>
                <w:i w:val="0"/>
                <w:strike w:val="0"/>
              </w:rPr>
              <w:t>Minor</w:t>
            </w:r>
          </w:p>
        </w:tc>
        <w:tc>
          <w:tcPr>
            <w:tcW w:type="dxa" w:w="1728"/>
          </w:tcPr>
          <w:p>
            <w:r>
              <w:rPr>
                <w:rFonts w:ascii="Consolas" w:hAnsi="Consolas"/>
                <w:b w:val="0"/>
                <w:i w:val="0"/>
                <w:strike w:val="0"/>
                <w:color w:val="303030"/>
                <w:sz w:val="19"/>
              </w:rPr>
              <w:t>js/walkthrough.js</w:t>
            </w:r>
            <w:r>
              <w:rPr>
                <w:b w:val="0"/>
                <w:i w:val="0"/>
                <w:strike w:val="0"/>
              </w:rPr>
              <w:t xml:space="preserve"> L465–469, step 7 </w:t>
            </w:r>
            <w:r>
              <w:rPr>
                <w:rFonts w:ascii="Consolas" w:hAnsi="Consolas"/>
                <w:b w:val="0"/>
                <w:i w:val="0"/>
                <w:strike w:val="0"/>
                <w:color w:val="303030"/>
                <w:sz w:val="19"/>
              </w:rPr>
              <w:t>seeing</w:t>
            </w:r>
          </w:p>
        </w:tc>
        <w:tc>
          <w:tcPr>
            <w:tcW w:type="dxa" w:w="1728"/>
          </w:tcPr>
          <w:p>
            <w:r>
              <w:rPr>
                <w:b w:val="0"/>
                <w:i w:val="0"/>
                <w:strike w:val="0"/>
              </w:rPr>
              <w:t xml:space="preserve">Step 7 gives the health insurance credit estimate as </w:t>
            </w:r>
            <w:r>
              <w:rPr>
                <w:b w:val="0"/>
                <w:i/>
                <w:strike w:val="0"/>
              </w:rPr>
              <w:t>"about $404,000 — illustrative only"</w:t>
            </w:r>
            <w:r>
              <w:rPr>
                <w:b w:val="0"/>
                <w:i w:val="0"/>
                <w:strike w:val="0"/>
              </w:rPr>
              <w:t xml:space="preserve"> (re-derived: $403,803) but omits the engine's own caveat that </w:t>
            </w:r>
            <w:r>
              <w:rPr>
                <w:b w:val="0"/>
                <w:i/>
                <w:strike w:val="0"/>
              </w:rPr>
              <w:t>"political-subdivision participation is employer-elective, so that cohort is an upper bound."</w:t>
            </w:r>
          </w:p>
        </w:tc>
        <w:tc>
          <w:tcPr>
            <w:tcW w:type="dxa" w:w="1728"/>
          </w:tcPr>
          <w:p>
            <w:r>
              <w:rPr>
                <w:b w:val="0"/>
                <w:i w:val="0"/>
                <w:strike w:val="0"/>
              </w:rPr>
              <w:t>Add the clause. It runs in the conservative direction and costs six words.</w:t>
            </w:r>
          </w:p>
        </w:tc>
      </w:tr>
      <w:tr>
        <w:tc>
          <w:tcPr>
            <w:tcW w:type="dxa" w:w="1728"/>
          </w:tcPr>
          <w:p>
            <w:r>
              <w:rPr>
                <w:b/>
                <w:i w:val="0"/>
                <w:strike w:val="0"/>
              </w:rPr>
              <w:t>m-06</w:t>
            </w:r>
          </w:p>
        </w:tc>
        <w:tc>
          <w:tcPr>
            <w:tcW w:type="dxa" w:w="1728"/>
          </w:tcPr>
          <w:p>
            <w:r>
              <w:rPr>
                <w:b w:val="0"/>
                <w:i w:val="0"/>
                <w:strike w:val="0"/>
              </w:rPr>
              <w:t>Minor</w:t>
            </w:r>
          </w:p>
        </w:tc>
        <w:tc>
          <w:tcPr>
            <w:tcW w:type="dxa" w:w="1728"/>
          </w:tcPr>
          <w:p>
            <w:r>
              <w:rPr>
                <w:rFonts w:ascii="Consolas" w:hAnsi="Consolas"/>
                <w:b w:val="0"/>
                <w:i w:val="0"/>
                <w:strike w:val="0"/>
                <w:color w:val="303030"/>
                <w:sz w:val="19"/>
              </w:rPr>
              <w:t>js/walkthrough.js</w:t>
            </w:r>
            <w:r>
              <w:rPr>
                <w:b w:val="0"/>
                <w:i w:val="0"/>
                <w:strike w:val="0"/>
              </w:rPr>
              <w:t xml:space="preserve"> L593–600, step 9 </w:t>
            </w:r>
            <w:r>
              <w:rPr>
                <w:rFonts w:ascii="Consolas" w:hAnsi="Consolas"/>
                <w:b w:val="0"/>
                <w:i w:val="0"/>
                <w:strike w:val="0"/>
                <w:color w:val="303030"/>
                <w:sz w:val="19"/>
              </w:rPr>
              <w:t>why</w:t>
            </w:r>
            <w:r>
              <w:rPr>
                <w:b w:val="0"/>
                <w:i w:val="0"/>
                <w:strike w:val="0"/>
              </w:rPr>
              <w:t xml:space="preserve"> ¶2</w:t>
            </w:r>
          </w:p>
        </w:tc>
        <w:tc>
          <w:tcPr>
            <w:tcW w:type="dxa" w:w="1728"/>
          </w:tcPr>
          <w:p>
            <w:r>
              <w:rPr>
                <w:b w:val="0"/>
                <w:i w:val="0"/>
                <w:strike w:val="0"/>
              </w:rPr>
              <w:t xml:space="preserve">The Hybrid Variant description omits the engine's own caveat: </w:t>
            </w:r>
            <w:r>
              <w:rPr>
                <w:b w:val="0"/>
                <w:i/>
                <w:strike w:val="0"/>
              </w:rPr>
              <w:t>"Because the calibration output has no hybrid contribution-rate fields, contributions forgone use Plan 1 rates in this variant."</w:t>
            </w:r>
            <w:r>
              <w:rPr>
                <w:b w:val="0"/>
                <w:i w:val="0"/>
                <w:strike w:val="0"/>
              </w:rPr>
              <w:t xml:space="preserve"> The quoted immateriality ($7.06M vs $7.15M, −0.00 bp) is correct, but it rests on a substitution the step does not disclose.</w:t>
            </w:r>
          </w:p>
        </w:tc>
        <w:tc>
          <w:tcPr>
            <w:tcW w:type="dxa" w:w="1728"/>
          </w:tcPr>
          <w:p>
            <w:r>
              <w:rPr>
                <w:b w:val="0"/>
                <w:i w:val="0"/>
                <w:strike w:val="0"/>
              </w:rPr>
              <w:t>Add the caveat to the Hybrid Variant sentence.</w:t>
            </w:r>
          </w:p>
        </w:tc>
      </w:tr>
      <w:tr>
        <w:tc>
          <w:tcPr>
            <w:tcW w:type="dxa" w:w="1728"/>
          </w:tcPr>
          <w:p>
            <w:r>
              <w:rPr>
                <w:b/>
                <w:i w:val="0"/>
                <w:strike w:val="0"/>
              </w:rPr>
              <w:t>m-07</w:t>
            </w:r>
          </w:p>
        </w:tc>
        <w:tc>
          <w:tcPr>
            <w:tcW w:type="dxa" w:w="1728"/>
          </w:tcPr>
          <w:p>
            <w:r>
              <w:rPr>
                <w:b w:val="0"/>
                <w:i w:val="0"/>
                <w:strike w:val="0"/>
              </w:rPr>
              <w:t>Minor</w:t>
            </w:r>
          </w:p>
        </w:tc>
        <w:tc>
          <w:tcPr>
            <w:tcW w:type="dxa" w:w="1728"/>
          </w:tcPr>
          <w:p>
            <w:r>
              <w:rPr>
                <w:rFonts w:ascii="Consolas" w:hAnsi="Consolas"/>
                <w:b w:val="0"/>
                <w:i w:val="0"/>
                <w:strike w:val="0"/>
                <w:color w:val="303030"/>
                <w:sz w:val="19"/>
              </w:rPr>
              <w:t>js/walkthrough.js</w:t>
            </w:r>
            <w:r>
              <w:rPr>
                <w:b w:val="0"/>
                <w:i w:val="0"/>
                <w:strike w:val="0"/>
              </w:rPr>
              <w:t xml:space="preserve"> L316–319, step 4 </w:t>
            </w:r>
            <w:r>
              <w:rPr>
                <w:rFonts w:ascii="Consolas" w:hAnsi="Consolas"/>
                <w:b w:val="0"/>
                <w:i w:val="0"/>
                <w:strike w:val="0"/>
                <w:color w:val="303030"/>
                <w:sz w:val="19"/>
              </w:rPr>
              <w:t>why</w:t>
            </w:r>
            <w:r>
              <w:rPr>
                <w:b w:val="0"/>
                <w:i w:val="0"/>
                <w:strike w:val="0"/>
              </w:rPr>
              <w:t xml:space="preserve"> ¶2</w:t>
            </w:r>
          </w:p>
        </w:tc>
        <w:tc>
          <w:tcPr>
            <w:tcW w:type="dxa" w:w="1728"/>
          </w:tcPr>
          <w:p>
            <w:r>
              <w:rPr>
                <w:b w:val="0"/>
                <w:i w:val="0"/>
                <w:strike w:val="0"/>
              </w:rPr>
              <w:t xml:space="preserve">Step 4 dates the 6.0% veteran anchor to </w:t>
            </w:r>
            <w:r>
              <w:rPr>
                <w:b w:val="0"/>
                <w:i/>
                <w:strike w:val="0"/>
              </w:rPr>
              <w:t>"DHRM to Senate Finance and Appropriations, January 21, 2025, slide 8"</w:t>
            </w:r>
            <w:r>
              <w:rPr>
                <w:b w:val="0"/>
                <w:i w:val="0"/>
                <w:strike w:val="0"/>
              </w:rPr>
              <w:t xml:space="preserve">, while the dashboard's behavioural-basis string dates the underlying population to </w:t>
            </w:r>
            <w:r>
              <w:rPr>
                <w:b w:val="0"/>
                <w:i/>
                <w:strike w:val="0"/>
              </w:rPr>
              <w:t>"June 30, 2024."</w:t>
            </w:r>
            <w:r>
              <w:rPr>
                <w:b w:val="0"/>
                <w:i w:val="0"/>
                <w:strike w:val="0"/>
              </w:rPr>
              <w:t xml:space="preserve"> The two are reconcilable — presentation date against data as-of date — but a reviewer checking the anchor will ask, and the walk-through is the artifact that gets checked.</w:t>
            </w:r>
          </w:p>
        </w:tc>
        <w:tc>
          <w:tcPr>
            <w:tcW w:type="dxa" w:w="1728"/>
          </w:tcPr>
          <w:p>
            <w:r>
              <w:rPr>
                <w:b w:val="0"/>
                <w:i w:val="0"/>
                <w:strike w:val="0"/>
              </w:rPr>
              <w:t xml:space="preserve">State both: </w:t>
            </w:r>
            <w:r>
              <w:rPr>
                <w:b w:val="0"/>
                <w:i/>
                <w:strike w:val="0"/>
              </w:rPr>
              <w:t>"as of June 30, 2024, presented to Senate Finance and Appropriations on January 21, 2025, slide 8."</w:t>
            </w:r>
          </w:p>
        </w:tc>
      </w:tr>
      <w:tr>
        <w:tc>
          <w:tcPr>
            <w:tcW w:type="dxa" w:w="1728"/>
          </w:tcPr>
          <w:p>
            <w:r>
              <w:rPr>
                <w:b/>
                <w:i w:val="0"/>
                <w:strike w:val="0"/>
              </w:rPr>
              <w:t>m-08</w:t>
            </w:r>
          </w:p>
        </w:tc>
        <w:tc>
          <w:tcPr>
            <w:tcW w:type="dxa" w:w="1728"/>
          </w:tcPr>
          <w:p>
            <w:r>
              <w:rPr>
                <w:b w:val="0"/>
                <w:i w:val="0"/>
                <w:strike w:val="0"/>
              </w:rPr>
              <w:t>Minor</w:t>
            </w:r>
          </w:p>
        </w:tc>
        <w:tc>
          <w:tcPr>
            <w:tcW w:type="dxa" w:w="1728"/>
          </w:tcPr>
          <w:p>
            <w:r>
              <w:rPr>
                <w:rFonts w:ascii="Consolas" w:hAnsi="Consolas"/>
                <w:b w:val="0"/>
                <w:i w:val="0"/>
                <w:strike w:val="0"/>
                <w:color w:val="303030"/>
                <w:sz w:val="19"/>
              </w:rPr>
              <w:t>js/walkthrough.js</w:t>
            </w:r>
            <w:r>
              <w:rPr>
                <w:b w:val="0"/>
                <w:i w:val="0"/>
                <w:strike w:val="0"/>
              </w:rPr>
              <w:t xml:space="preserve"> L149–153, step 1 </w:t>
            </w:r>
            <w:r>
              <w:rPr>
                <w:rFonts w:ascii="Consolas" w:hAnsi="Consolas"/>
                <w:b w:val="0"/>
                <w:i w:val="0"/>
                <w:strike w:val="0"/>
                <w:color w:val="303030"/>
                <w:sz w:val="19"/>
              </w:rPr>
              <w:t>significance</w:t>
            </w:r>
            <w:r>
              <w:rPr>
                <w:b w:val="0"/>
                <w:i w:val="0"/>
                <w:strike w:val="0"/>
              </w:rPr>
              <w:t xml:space="preserve"> ¶1</w:t>
            </w:r>
          </w:p>
        </w:tc>
        <w:tc>
          <w:tcPr>
            <w:tcW w:type="dxa" w:w="1728"/>
          </w:tcPr>
          <w:p>
            <w:r>
              <w:rPr>
                <w:b w:val="0"/>
                <w:i w:val="0"/>
                <w:strike w:val="0"/>
              </w:rPr>
              <w:t xml:space="preserve">The one piece of hand arithmetic in the document does not reconcile. </w:t>
            </w:r>
            <w:r>
              <w:rPr>
                <w:b w:val="0"/>
                <w:i/>
                <w:strike w:val="0"/>
              </w:rPr>
              <w:t xml:space="preserve">"0.19 basis points is 0.0019% of covered payroll. On the state plan's published 11.07% employer rate it is the difference between 11.07% and about </w:t>
            </w:r>
            <w:r>
              <w:rPr>
                <w:b w:val="0"/>
                <w:i/>
                <w:strike w:val="0"/>
              </w:rPr>
              <w:t>11.0722%</w:t>
            </w:r>
            <w:r>
              <w:rPr>
                <w:b w:val="0"/>
                <w:i/>
                <w:strike w:val="0"/>
              </w:rPr>
              <w:t>."</w:t>
            </w:r>
            <w:r>
              <w:rPr>
                <w:b w:val="0"/>
                <w:i w:val="0"/>
                <w:strike w:val="0"/>
              </w:rPr>
              <w:t xml:space="preserve"> 11.0722 − 11.07 = 0.0022 = </w:t>
            </w:r>
            <w:r>
              <w:rPr>
                <w:b/>
                <w:i w:val="0"/>
                <w:strike w:val="0"/>
              </w:rPr>
              <w:t>0.22 bp</w:t>
            </w:r>
            <w:r>
              <w:rPr>
                <w:b w:val="0"/>
                <w:i w:val="0"/>
                <w:strike w:val="0"/>
              </w:rPr>
              <w:t xml:space="preserve">, which is the state-plan figure, not the 0.19 bp combined figure the sentence introduces. On 0.19 bp the state rate goes to </w:t>
            </w:r>
            <w:r>
              <w:rPr>
                <w:b/>
                <w:i w:val="0"/>
                <w:strike w:val="0"/>
              </w:rPr>
              <w:t>11.0719%</w:t>
            </w:r>
            <w:r>
              <w:rPr>
                <w:b w:val="0"/>
                <w:i w:val="0"/>
                <w:strike w:val="0"/>
              </w:rPr>
              <w:t>. This is not a model output and no panel asserts it, so group 20 cannot reach it.</w:t>
            </w:r>
          </w:p>
        </w:tc>
        <w:tc>
          <w:tcPr>
            <w:tcW w:type="dxa" w:w="1728"/>
          </w:tcPr>
          <w:p>
            <w:r>
              <w:rPr>
                <w:b w:val="0"/>
                <w:i w:val="0"/>
                <w:strike w:val="0"/>
              </w:rPr>
              <w:t xml:space="preserve">Either use the state-plan figure consistently — </w:t>
            </w:r>
            <w:r>
              <w:rPr>
                <w:b w:val="0"/>
                <w:i/>
                <w:strike w:val="0"/>
              </w:rPr>
              <w:t>"the state plan's own 0.22 bp takes 11.07% to about 11.0722%"</w:t>
            </w:r>
            <w:r>
              <w:rPr>
                <w:b w:val="0"/>
                <w:i w:val="0"/>
                <w:strike w:val="0"/>
              </w:rPr>
              <w:t xml:space="preserve"> — or correct the arithmetic to 11.0719%. The former is better: it is the right figure for the state rate and it shows a reader that the per-plan figures differ. The conclusion drawn (</w:t>
            </w:r>
            <w:r>
              <w:rPr>
                <w:b w:val="0"/>
                <w:i/>
                <w:strike w:val="0"/>
              </w:rPr>
              <w:t>"to the nearest basis point, no employer's contribution rate changes"</w:t>
            </w:r>
            <w:r>
              <w:rPr>
                <w:b w:val="0"/>
                <w:i w:val="0"/>
                <w:strike w:val="0"/>
              </w:rPr>
              <w:t>) is unaffected either way.</w:t>
            </w:r>
          </w:p>
        </w:tc>
      </w:tr>
    </w:tbl>
    <w:p/>
    <w:p>
      <w:pPr>
        <w:jc w:val="center"/>
      </w:pPr>
      <w:r>
        <w:rPr>
          <w:color w:val="909090"/>
          <w:sz w:val="18"/>
        </w:rPr>
        <w:t>* * *</w:t>
      </w:r>
    </w:p>
    <w:p>
      <w:pPr>
        <w:pStyle w:val="Heading2"/>
      </w:pPr>
      <w:r>
        <w:rPr>
          <w:b w:val="0"/>
          <w:i w:val="0"/>
          <w:strike w:val="0"/>
        </w:rPr>
        <w:t>3 · Citation verification results</w:t>
      </w:r>
    </w:p>
    <w:p>
      <w:r>
        <w:rPr>
          <w:b w:val="0"/>
          <w:i w:val="0"/>
          <w:strike w:val="0"/>
        </w:rPr>
        <w:t>I re-opened every load-bearing citation in the walk-through and checked it against the operative bill text and the package. Nine of eleven held.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Claim in the walk-through</w:t>
            </w:r>
          </w:p>
        </w:tc>
        <w:tc>
          <w:tcPr>
            <w:tcW w:type="dxa" w:w="2880"/>
          </w:tcPr>
          <w:p>
            <w:r>
              <w:rPr>
                <w:b/>
                <w:i w:val="0"/>
                <w:strike w:val="0"/>
              </w:rPr>
              <w:t>Citation given</w:t>
            </w:r>
          </w:p>
        </w:tc>
        <w:tc>
          <w:tcPr>
            <w:tcW w:type="dxa" w:w="2880"/>
          </w:tcPr>
          <w:p>
            <w:r>
              <w:rPr>
                <w:b/>
                <w:i w:val="0"/>
                <w:strike w:val="0"/>
              </w:rPr>
              <w:t>Result</w:t>
            </w:r>
          </w:p>
        </w:tc>
      </w:tr>
      <w:tr>
        <w:tc>
          <w:tcPr>
            <w:tcW w:type="dxa" w:w="2880"/>
          </w:tcPr>
          <w:p>
            <w:r>
              <w:rPr>
                <w:b w:val="0"/>
                <w:i w:val="0"/>
                <w:strike w:val="0"/>
              </w:rPr>
              <w:t>A veteran can buy military service only in her first 24 months of VRS-covered employment</w:t>
            </w:r>
          </w:p>
        </w:tc>
        <w:tc>
          <w:tcPr>
            <w:tcW w:type="dxa" w:w="2880"/>
          </w:tcPr>
          <w:p>
            <w:r>
              <w:rPr>
                <w:b w:val="0"/>
                <w:i w:val="0"/>
                <w:strike w:val="0"/>
              </w:rPr>
              <w:t>§ 51.1-142.2 B 3</w:t>
            </w:r>
          </w:p>
        </w:tc>
        <w:tc>
          <w:tcPr>
            <w:tcW w:type="dxa" w:w="2880"/>
          </w:tcPr>
          <w:p>
            <w:r>
              <w:rPr>
                <w:b/>
                <w:i w:val="0"/>
                <w:strike w:val="0"/>
              </w:rPr>
              <w:t>FAILED, twice over.</w:t>
            </w:r>
            <w:r>
              <w:rPr>
                <w:b w:val="0"/>
                <w:i w:val="0"/>
                <w:strike w:val="0"/>
              </w:rPr>
              <w:t xml:space="preserve"> The substance is wrong — the right to purchase does not expire; only the price changes (</w:t>
            </w:r>
            <w:r>
              <w:rPr>
                <w:rFonts w:ascii="Consolas" w:hAnsi="Consolas"/>
                <w:b w:val="0"/>
                <w:i w:val="0"/>
                <w:strike w:val="0"/>
                <w:color w:val="303030"/>
                <w:sz w:val="19"/>
              </w:rPr>
              <w:t>02-legal-analysis-memo.md</w:t>
            </w:r>
            <w:r>
              <w:rPr>
                <w:b w:val="0"/>
                <w:i w:val="0"/>
                <w:strike w:val="0"/>
              </w:rPr>
              <w:t xml:space="preserve"> L32–33). The pinpoint is wrong — the 24-month period is in an unnumbered concluding paragraph of </w:t>
            </w:r>
            <w:r>
              <w:rPr>
                <w:b/>
                <w:i w:val="0"/>
                <w:strike w:val="0"/>
              </w:rPr>
              <w:t>subsection B</w:t>
            </w:r>
            <w:r>
              <w:rPr>
                <w:b w:val="0"/>
                <w:i w:val="0"/>
                <w:strike w:val="0"/>
              </w:rPr>
              <w:t xml:space="preserve">, as the bill's own finding </w:t>
            </w:r>
            <w:r>
              <w:rPr>
                <w:b/>
                <w:i w:val="0"/>
                <w:strike w:val="0"/>
              </w:rPr>
              <w:t>L-03</w:t>
            </w:r>
            <w:r>
              <w:rPr>
                <w:b w:val="0"/>
                <w:i w:val="0"/>
                <w:strike w:val="0"/>
              </w:rPr>
              <w:t xml:space="preserve"> establishes and as operative clause 3(viii) now cites. See </w:t>
            </w:r>
            <w:r>
              <w:rPr>
                <w:b/>
                <w:i w:val="0"/>
                <w:strike w:val="0"/>
              </w:rPr>
              <w:t>B-01</w:t>
            </w:r>
            <w:r>
              <w:rPr>
                <w:b w:val="0"/>
                <w:i w:val="0"/>
                <w:strike w:val="0"/>
              </w:rPr>
              <w:t>.</w:t>
            </w:r>
          </w:p>
        </w:tc>
      </w:tr>
      <w:tr>
        <w:tc>
          <w:tcPr>
            <w:tcW w:type="dxa" w:w="2880"/>
          </w:tcPr>
          <w:p>
            <w:r>
              <w:rPr>
                <w:b w:val="0"/>
                <w:i w:val="0"/>
                <w:strike w:val="0"/>
              </w:rPr>
              <w:t>A member who already qualifies is barred from buying at all</w:t>
            </w:r>
          </w:p>
        </w:tc>
        <w:tc>
          <w:tcPr>
            <w:tcW w:type="dxa" w:w="2880"/>
          </w:tcPr>
          <w:p>
            <w:r>
              <w:rPr>
                <w:b w:val="0"/>
                <w:i w:val="0"/>
                <w:strike w:val="0"/>
              </w:rPr>
              <w:t>§ 51.1-142.4 B 5</w:t>
            </w:r>
          </w:p>
        </w:tc>
        <w:tc>
          <w:tcPr>
            <w:tcW w:type="dxa" w:w="2880"/>
          </w:tcPr>
          <w:p>
            <w:r>
              <w:rPr>
                <w:b/>
                <w:i w:val="0"/>
                <w:strike w:val="0"/>
              </w:rPr>
              <w:t>HELD exactly.</w:t>
            </w:r>
            <w:r>
              <w:rPr>
                <w:b w:val="0"/>
                <w:i w:val="0"/>
                <w:strike w:val="0"/>
              </w:rPr>
              <w:t xml:space="preserve"> B 5: </w:t>
            </w:r>
            <w:r>
              <w:rPr>
                <w:b w:val="0"/>
                <w:i/>
                <w:strike w:val="0"/>
              </w:rPr>
              <w:t>"Has not attained eligibility for an unreduced service retirement allowance under subsection A, B, or C of § 51.1-153 or under § 51.1-155.1 or 51.1-155.2, determined without regard to any eligibility credit."</w:t>
            </w:r>
          </w:p>
        </w:tc>
      </w:tr>
      <w:tr>
        <w:tc>
          <w:tcPr>
            <w:tcW w:type="dxa" w:w="2880"/>
          </w:tcPr>
          <w:p>
            <w:r>
              <w:rPr>
                <w:b w:val="0"/>
                <w:i w:val="0"/>
                <w:strike w:val="0"/>
              </w:rPr>
              <w:t>The credit counts toward eligibility under B 2 (age 50 with 30 years) and B 3 (the Rule of 90) and nowhere else</w:t>
            </w:r>
          </w:p>
        </w:tc>
        <w:tc>
          <w:tcPr>
            <w:tcW w:type="dxa" w:w="2880"/>
          </w:tcPr>
          <w:p>
            <w:r>
              <w:rPr>
                <w:b w:val="0"/>
                <w:i w:val="0"/>
                <w:strike w:val="0"/>
              </w:rPr>
              <w:t>§ 51.1-153 B 2, B 3</w:t>
            </w:r>
          </w:p>
        </w:tc>
        <w:tc>
          <w:tcPr>
            <w:tcW w:type="dxa" w:w="2880"/>
          </w:tcPr>
          <w:p>
            <w:r>
              <w:rPr>
                <w:b/>
                <w:i w:val="0"/>
                <w:strike w:val="0"/>
              </w:rPr>
              <w:t>HELD.</w:t>
            </w:r>
            <w:r>
              <w:rPr>
                <w:b w:val="0"/>
                <w:i w:val="0"/>
                <w:strike w:val="0"/>
              </w:rPr>
              <w:t xml:space="preserve"> § 51.1-142.4 E 1 a and E 1 b are a closed list in exactly those terms, and the deficit formulas at C 1 a (30 years minus service) and C 1 b (90 minus age plus service) match the walk-through's 4-versus-2 asymmetry.</w:t>
            </w:r>
          </w:p>
        </w:tc>
      </w:tr>
      <w:tr>
        <w:tc>
          <w:tcPr>
            <w:tcW w:type="dxa" w:w="2880"/>
          </w:tcPr>
          <w:p>
            <w:r>
              <w:rPr>
                <w:b w:val="0"/>
                <w:i w:val="0"/>
                <w:strike w:val="0"/>
              </w:rPr>
              <w:t>The bill carves the credit out of the definition of creditable service</w:t>
            </w:r>
          </w:p>
        </w:tc>
        <w:tc>
          <w:tcPr>
            <w:tcW w:type="dxa" w:w="2880"/>
          </w:tcPr>
          <w:p>
            <w:r>
              <w:rPr>
                <w:b w:val="0"/>
                <w:i w:val="0"/>
                <w:strike w:val="0"/>
              </w:rPr>
              <w:t>§ 51.1-124.3</w:t>
            </w:r>
          </w:p>
        </w:tc>
        <w:tc>
          <w:tcPr>
            <w:tcW w:type="dxa" w:w="2880"/>
          </w:tcPr>
          <w:p>
            <w:r>
              <w:rPr>
                <w:b/>
                <w:i w:val="0"/>
                <w:strike w:val="0"/>
              </w:rPr>
              <w:t>HELD</w:t>
            </w:r>
            <w:r>
              <w:rPr>
                <w:b w:val="0"/>
                <w:i w:val="0"/>
                <w:strike w:val="0"/>
              </w:rPr>
              <w:t xml:space="preserve"> as to the amendment, </w:t>
            </w:r>
            <w:r>
              <w:rPr>
                <w:b/>
                <w:i w:val="0"/>
                <w:strike w:val="0"/>
              </w:rPr>
              <w:t>incomplete</w:t>
            </w:r>
            <w:r>
              <w:rPr>
                <w:b w:val="0"/>
                <w:i w:val="0"/>
                <w:strike w:val="0"/>
              </w:rPr>
              <w:t xml:space="preserve"> as to its effect — see </w:t>
            </w:r>
            <w:r>
              <w:rPr>
                <w:b/>
                <w:i w:val="0"/>
                <w:strike w:val="0"/>
              </w:rPr>
              <w:t>M-04</w:t>
            </w:r>
            <w:r>
              <w:rPr>
                <w:b w:val="0"/>
                <w:i w:val="0"/>
                <w:strike w:val="0"/>
              </w:rPr>
              <w:t>.</w:t>
            </w:r>
          </w:p>
        </w:tc>
      </w:tr>
      <w:tr>
        <w:tc>
          <w:tcPr>
            <w:tcW w:type="dxa" w:w="2880"/>
          </w:tcPr>
          <w:p>
            <w:r>
              <w:rPr>
                <w:b w:val="0"/>
                <w:i w:val="0"/>
                <w:strike w:val="0"/>
              </w:rPr>
              <w:t>HIC and COLA follow the retirement date, so preventing earlier commencement would require separate statutory changes outside the bridge, to Chapter 14 and to § 51.1-166</w:t>
            </w:r>
          </w:p>
        </w:tc>
        <w:tc>
          <w:tcPr>
            <w:tcW w:type="dxa" w:w="2880"/>
          </w:tcPr>
          <w:p>
            <w:r>
              <w:rPr>
                <w:b w:val="0"/>
                <w:i w:val="0"/>
                <w:strike w:val="0"/>
              </w:rPr>
              <w:t>step 7</w:t>
            </w:r>
          </w:p>
        </w:tc>
        <w:tc>
          <w:tcPr>
            <w:tcW w:type="dxa" w:w="2880"/>
          </w:tcPr>
          <w:p>
            <w:r>
              <w:rPr>
                <w:b/>
                <w:i w:val="0"/>
                <w:strike w:val="0"/>
              </w:rPr>
              <w:t>HELD verbatim.</w:t>
            </w:r>
            <w:r>
              <w:rPr>
                <w:b w:val="0"/>
                <w:i w:val="0"/>
                <w:strike w:val="0"/>
              </w:rPr>
              <w:t xml:space="preserve"> This is the package's accurate formulation, reproduced word for word (</w:t>
            </w:r>
            <w:r>
              <w:rPr>
                <w:rFonts w:ascii="Consolas" w:hAnsi="Consolas"/>
                <w:b w:val="0"/>
                <w:i w:val="0"/>
                <w:strike w:val="0"/>
                <w:color w:val="303030"/>
                <w:sz w:val="19"/>
              </w:rPr>
              <w:t>08-fiscal-model-memo.md</w:t>
            </w:r>
            <w:r>
              <w:rPr>
                <w:b w:val="0"/>
                <w:i w:val="0"/>
                <w:strike w:val="0"/>
              </w:rPr>
              <w:t xml:space="preserve"> L66). The § 51.1-166 D 4 reference is correctly characterised as not a cure.</w:t>
            </w:r>
          </w:p>
        </w:tc>
      </w:tr>
      <w:tr>
        <w:tc>
          <w:tcPr>
            <w:tcW w:type="dxa" w:w="2880"/>
          </w:tcPr>
          <w:p>
            <w:r>
              <w:rPr>
                <w:b w:val="0"/>
                <w:i w:val="0"/>
                <w:strike w:val="0"/>
              </w:rPr>
              <w:t>Enactment clause 3(vi) directs the Board to report both costs, stated separately by trust</w:t>
            </w:r>
          </w:p>
        </w:tc>
        <w:tc>
          <w:tcPr>
            <w:tcW w:type="dxa" w:w="2880"/>
          </w:tcPr>
          <w:p>
            <w:r>
              <w:rPr>
                <w:b w:val="0"/>
                <w:i w:val="0"/>
                <w:strike w:val="0"/>
              </w:rPr>
              <w:t>step 7</w:t>
            </w:r>
          </w:p>
        </w:tc>
        <w:tc>
          <w:tcPr>
            <w:tcW w:type="dxa" w:w="2880"/>
          </w:tcPr>
          <w:p>
            <w:r>
              <w:rPr>
                <w:b/>
                <w:i w:val="0"/>
                <w:strike w:val="0"/>
              </w:rPr>
              <w:t>HELD.</w:t>
            </w:r>
            <w:r>
              <w:rPr>
                <w:b w:val="0"/>
                <w:i w:val="0"/>
                <w:strike w:val="0"/>
              </w:rPr>
              <w:t xml:space="preserve"> Clause 3(vi) requires the estimated cost of earlier commencement of the HIC under Chapter 14 and of post-retirement supplements under § 51.1-166, </w:t>
            </w:r>
            <w:r>
              <w:rPr>
                <w:b w:val="0"/>
                <w:i/>
                <w:strike w:val="0"/>
              </w:rPr>
              <w:t>"stated separately for each affected trust."</w:t>
            </w:r>
          </w:p>
        </w:tc>
      </w:tr>
      <w:tr>
        <w:tc>
          <w:tcPr>
            <w:tcW w:type="dxa" w:w="2880"/>
          </w:tcPr>
          <w:p>
            <w:r>
              <w:rPr>
                <w:b w:val="0"/>
                <w:i w:val="0"/>
                <w:strike w:val="0"/>
              </w:rPr>
              <w:t>10 U.S.C. § 12736 does not preempt the bill — it reaches only service a plan otherwise properly credits, and Virginia credits this service only on purchase</w:t>
            </w:r>
          </w:p>
        </w:tc>
        <w:tc>
          <w:tcPr>
            <w:tcW w:type="dxa" w:w="2880"/>
          </w:tcPr>
          <w:p>
            <w:r>
              <w:rPr>
                <w:b w:val="0"/>
                <w:i w:val="0"/>
                <w:strike w:val="0"/>
              </w:rPr>
              <w:t>step 4</w:t>
            </w:r>
          </w:p>
        </w:tc>
        <w:tc>
          <w:tcPr>
            <w:tcW w:type="dxa" w:w="2880"/>
          </w:tcPr>
          <w:p>
            <w:r>
              <w:rPr>
                <w:b/>
                <w:i w:val="0"/>
                <w:strike w:val="0"/>
              </w:rPr>
              <w:t>HELD, and correctly current.</w:t>
            </w:r>
            <w:r>
              <w:rPr>
                <w:b w:val="0"/>
                <w:i w:val="0"/>
                <w:strike w:val="0"/>
              </w:rPr>
              <w:t xml:space="preserve"> This is the corrected version 1.4 reading. The walk-through does </w:t>
            </w:r>
            <w:r>
              <w:rPr>
                <w:b/>
                <w:i w:val="0"/>
                <w:strike w:val="0"/>
              </w:rPr>
              <w:t>not</w:t>
            </w:r>
            <w:r>
              <w:rPr>
                <w:b w:val="0"/>
                <w:i w:val="0"/>
                <w:strike w:val="0"/>
              </w:rPr>
              <w:t xml:space="preserve"> reproduce the withdrawn misquotation and does not insert "State or Federal." </w:t>
            </w:r>
            <w:r>
              <w:rPr>
                <w:rFonts w:ascii="Consolas" w:hAnsi="Consolas"/>
                <w:b w:val="0"/>
                <w:i w:val="0"/>
                <w:strike w:val="0"/>
                <w:color w:val="303030"/>
                <w:sz w:val="19"/>
              </w:rPr>
              <w:t>02-legal-analysis-memo.md</w:t>
            </w:r>
            <w:r>
              <w:rPr>
                <w:b w:val="0"/>
                <w:i w:val="0"/>
                <w:strike w:val="0"/>
              </w:rPr>
              <w:t xml:space="preserve"> L262.</w:t>
            </w:r>
          </w:p>
        </w:tc>
      </w:tr>
      <w:tr>
        <w:tc>
          <w:tcPr>
            <w:tcW w:type="dxa" w:w="2880"/>
          </w:tcPr>
          <w:p>
            <w:r>
              <w:rPr>
                <w:b w:val="0"/>
                <w:i w:val="0"/>
                <w:strike w:val="0"/>
              </w:rPr>
              <w:t>The § 51.1-155 effective-date question moved the act to July 1, 2029</w:t>
            </w:r>
          </w:p>
        </w:tc>
        <w:tc>
          <w:tcPr>
            <w:tcW w:type="dxa" w:w="2880"/>
          </w:tcPr>
          <w:p>
            <w:r>
              <w:rPr>
                <w:b w:val="0"/>
                <w:i w:val="0"/>
                <w:strike w:val="0"/>
              </w:rPr>
              <w:t>step 10</w:t>
            </w:r>
          </w:p>
        </w:tc>
        <w:tc>
          <w:tcPr>
            <w:tcW w:type="dxa" w:w="2880"/>
          </w:tcPr>
          <w:p>
            <w:r>
              <w:rPr>
                <w:b/>
                <w:i w:val="0"/>
                <w:strike w:val="0"/>
              </w:rPr>
              <w:t>HELD.</w:t>
            </w:r>
            <w:r>
              <w:rPr>
                <w:b w:val="0"/>
                <w:i w:val="0"/>
                <w:strike w:val="0"/>
              </w:rPr>
              <w:t xml:space="preserve"> DECISION 14, </w:t>
            </w:r>
            <w:r>
              <w:rPr>
                <w:rFonts w:ascii="Consolas" w:hAnsi="Consolas"/>
                <w:b w:val="0"/>
                <w:i w:val="0"/>
                <w:strike w:val="0"/>
                <w:color w:val="303030"/>
                <w:sz w:val="19"/>
              </w:rPr>
              <w:t>README.md</w:t>
            </w:r>
            <w:r>
              <w:rPr>
                <w:b w:val="0"/>
                <w:i w:val="0"/>
                <w:strike w:val="0"/>
              </w:rPr>
              <w:t xml:space="preserve"> L145. But see </w:t>
            </w:r>
            <w:r>
              <w:rPr>
                <w:b/>
                <w:i w:val="0"/>
                <w:strike w:val="0"/>
              </w:rPr>
              <w:t>S-08</w:t>
            </w:r>
            <w:r>
              <w:rPr>
                <w:b w:val="0"/>
                <w:i w:val="0"/>
                <w:strike w:val="0"/>
              </w:rPr>
              <w:t>: the modelled window was not moved with it.</w:t>
            </w:r>
          </w:p>
        </w:tc>
      </w:tr>
      <w:tr>
        <w:tc>
          <w:tcPr>
            <w:tcW w:type="dxa" w:w="2880"/>
          </w:tcPr>
          <w:p>
            <w:r>
              <w:rPr>
                <w:b w:val="0"/>
                <w:i w:val="0"/>
                <w:strike w:val="0"/>
              </w:rPr>
              <w:t>An introducible-form text setting out all nine sections at length now exists, as Va. Const. art. IV, § 12 requires</w:t>
            </w:r>
          </w:p>
        </w:tc>
        <w:tc>
          <w:tcPr>
            <w:tcW w:type="dxa" w:w="2880"/>
          </w:tcPr>
          <w:p>
            <w:r>
              <w:rPr>
                <w:b w:val="0"/>
                <w:i w:val="0"/>
                <w:strike w:val="0"/>
              </w:rPr>
              <w:t>step 10</w:t>
            </w:r>
          </w:p>
        </w:tc>
        <w:tc>
          <w:tcPr>
            <w:tcW w:type="dxa" w:w="2880"/>
          </w:tcPr>
          <w:p>
            <w:r>
              <w:rPr>
                <w:b/>
                <w:i w:val="0"/>
                <w:strike w:val="0"/>
              </w:rPr>
              <w:t>HELD.</w:t>
            </w:r>
            <w:r>
              <w:rPr>
                <w:b w:val="0"/>
                <w:i w:val="0"/>
                <w:strike w:val="0"/>
              </w:rPr>
              <w:t xml:space="preserve"> </w:t>
            </w:r>
            <w:r>
              <w:rPr>
                <w:rFonts w:ascii="Consolas" w:hAnsi="Consolas"/>
                <w:b w:val="0"/>
                <w:i w:val="0"/>
                <w:strike w:val="0"/>
                <w:color w:val="303030"/>
                <w:sz w:val="19"/>
              </w:rPr>
              <w:t>12-bill-introducible-form.docx</w:t>
            </w:r>
            <w:r>
              <w:rPr>
                <w:b w:val="0"/>
                <w:i w:val="0"/>
                <w:strike w:val="0"/>
              </w:rPr>
              <w:t>.</w:t>
            </w:r>
          </w:p>
        </w:tc>
      </w:tr>
      <w:tr>
        <w:tc>
          <w:tcPr>
            <w:tcW w:type="dxa" w:w="2880"/>
          </w:tcPr>
          <w:p>
            <w:r>
              <w:rPr>
                <w:b w:val="0"/>
                <w:i w:val="0"/>
                <w:strike w:val="0"/>
              </w:rPr>
              <w:t>$341,065 is profile A's net value on the frozen-service baseline</w:t>
            </w:r>
          </w:p>
        </w:tc>
        <w:tc>
          <w:tcPr>
            <w:tcW w:type="dxa" w:w="2880"/>
          </w:tcPr>
          <w:p>
            <w:r>
              <w:rPr>
                <w:b w:val="0"/>
                <w:i w:val="0"/>
                <w:strike w:val="0"/>
              </w:rPr>
              <w:t>step 3</w:t>
            </w:r>
          </w:p>
        </w:tc>
        <w:tc>
          <w:tcPr>
            <w:tcW w:type="dxa" w:w="2880"/>
          </w:tcPr>
          <w:p>
            <w:r>
              <w:rPr>
                <w:b/>
                <w:i w:val="0"/>
                <w:strike w:val="0"/>
              </w:rPr>
              <w:t>FIGURE HELD, LABEL FAILED.</w:t>
            </w:r>
            <w:r>
              <w:rPr>
                <w:b w:val="0"/>
                <w:i w:val="0"/>
                <w:strike w:val="0"/>
              </w:rPr>
              <w:t xml:space="preserve"> The figure is exact. "Frozen-service" is the label package version 1.4 withdrew for this figure, and the mandatory "highest of seven published profiles / not a cost per veteran" qualifier is absent. See </w:t>
            </w:r>
            <w:r>
              <w:rPr>
                <w:b/>
                <w:i w:val="0"/>
                <w:strike w:val="0"/>
              </w:rPr>
              <w:t>B-03</w:t>
            </w:r>
            <w:r>
              <w:rPr>
                <w:b w:val="0"/>
                <w:i w:val="0"/>
                <w:strike w:val="0"/>
              </w:rPr>
              <w:t>.</w:t>
            </w:r>
          </w:p>
        </w:tc>
      </w:tr>
      <w:tr>
        <w:tc>
          <w:tcPr>
            <w:tcW w:type="dxa" w:w="2880"/>
          </w:tcPr>
          <w:p>
            <w:r>
              <w:rPr>
                <w:b w:val="0"/>
                <w:i w:val="0"/>
                <w:strike w:val="0"/>
              </w:rPr>
              <w:t>The § 30-19.1:7 VRS Board impact statement is mandatory for this bill and has not been requested</w:t>
            </w:r>
          </w:p>
        </w:tc>
        <w:tc>
          <w:tcPr>
            <w:tcW w:type="dxa" w:w="2880"/>
          </w:tcPr>
          <w:p>
            <w:r>
              <w:rPr>
                <w:b w:val="0"/>
                <w:i w:val="0"/>
                <w:strike w:val="0"/>
              </w:rPr>
              <w:t>intro, steps 7 and 10, closing</w:t>
            </w:r>
          </w:p>
        </w:tc>
        <w:tc>
          <w:tcPr>
            <w:tcW w:type="dxa" w:w="2880"/>
          </w:tcPr>
          <w:p>
            <w:r>
              <w:rPr>
                <w:b/>
                <w:i w:val="0"/>
                <w:strike w:val="0"/>
              </w:rPr>
              <w:t>HELD</w:t>
            </w:r>
            <w:r>
              <w:rPr>
                <w:b w:val="0"/>
                <w:i w:val="0"/>
                <w:strike w:val="0"/>
              </w:rPr>
              <w:t>, and well distributed — five visible occurrences in the printed document, on pages 2, 8, 11 and 12 (A4).</w:t>
            </w:r>
          </w:p>
        </w:tc>
      </w:tr>
    </w:tbl>
    <w:p/>
    <w:p>
      <w:pPr>
        <w:jc w:val="center"/>
      </w:pPr>
      <w:r>
        <w:rPr>
          <w:color w:val="909090"/>
          <w:sz w:val="18"/>
        </w:rPr>
        <w:t>* * *</w:t>
      </w:r>
    </w:p>
    <w:p>
      <w:pPr>
        <w:pStyle w:val="Heading2"/>
      </w:pPr>
      <w:r>
        <w:rPr>
          <w:b w:val="0"/>
          <w:i w:val="0"/>
          <w:strike w:val="0"/>
        </w:rPr>
        <w:t>4 · Fiscal assumption challenge</w:t>
      </w:r>
    </w:p>
    <w:p>
      <w:r>
        <w:rPr>
          <w:b/>
          <w:i w:val="0"/>
          <w:strike w:val="0"/>
        </w:rPr>
        <w:t>The load-bearing assumption is not φ.</w:t>
      </w:r>
      <w:r>
        <w:rPr>
          <w:b w:val="0"/>
          <w:i w:val="0"/>
          <w:strike w:val="0"/>
        </w:rPr>
        <w:t xml:space="preserve"> The walk-through says it is, and for the </w:t>
      </w:r>
      <w:r>
        <w:rPr>
          <w:b w:val="0"/>
          <w:i/>
          <w:strike w:val="0"/>
        </w:rPr>
        <w:t>sign</w:t>
      </w:r>
      <w:r>
        <w:rPr>
          <w:b w:val="0"/>
          <w:i w:val="0"/>
          <w:strike w:val="0"/>
        </w:rPr>
        <w:t xml:space="preserve"> of the per-member result that is right. But for the claim the document actually asks a committee to act on — </w:t>
      </w:r>
      <w:r>
        <w:rPr>
          <w:b w:val="0"/>
          <w:i/>
          <w:strike w:val="0"/>
        </w:rPr>
        <w:t>no employer's contribution rate changes to the nearest basis point</w:t>
      </w:r>
      <w:r>
        <w:rPr>
          <w:b w:val="0"/>
          <w:i w:val="0"/>
          <w:strike w:val="0"/>
        </w:rPr>
        <w:t xml:space="preserve"> — the load-bearing assumption is the </w:t>
      </w:r>
      <w:r>
        <w:rPr>
          <w:b/>
          <w:i w:val="0"/>
          <w:strike w:val="0"/>
        </w:rPr>
        <w:t>one-at-a-time sensitivity design</w:t>
      </w:r>
      <w:r>
        <w:rPr>
          <w:b w:val="0"/>
          <w:i w:val="0"/>
          <w:strike w:val="0"/>
        </w:rPr>
        <w:t>, and the walk-through half-discloses it.</w:t>
      </w:r>
    </w:p>
    <w:p>
      <w:r>
        <w:rPr>
          <w:b/>
          <w:i w:val="0"/>
          <w:strike w:val="0"/>
        </w:rPr>
        <w:t>The test.</w:t>
      </w:r>
      <w:r>
        <w:rPr>
          <w:b w:val="0"/>
          <w:i w:val="0"/>
          <w:strike w:val="0"/>
        </w:rPr>
        <w:t xml:space="preserve"> I re-ran the model with the drivers compounded rather than swung singly.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Case</w:t>
            </w:r>
          </w:p>
        </w:tc>
        <w:tc>
          <w:tcPr>
            <w:tcW w:type="dxa" w:w="2160"/>
          </w:tcPr>
          <w:p>
            <w:r>
              <w:rPr>
                <w:b/>
                <w:i w:val="0"/>
                <w:strike w:val="0"/>
              </w:rPr>
              <w:t>Modeled pension impact</w:t>
            </w:r>
          </w:p>
        </w:tc>
        <w:tc>
          <w:tcPr>
            <w:tcW w:type="dxa" w:w="2160"/>
          </w:tcPr>
          <w:p>
            <w:r>
              <w:rPr>
                <w:b/>
                <w:i w:val="0"/>
                <w:strike w:val="0"/>
              </w:rPr>
              <w:t>Basis points</w:t>
            </w:r>
          </w:p>
        </w:tc>
        <w:tc>
          <w:tcPr>
            <w:tcW w:type="dxa" w:w="2160"/>
          </w:tcPr>
          <w:p>
            <w:r>
              <w:rPr>
                <w:b/>
                <w:i w:val="0"/>
                <w:strike w:val="0"/>
              </w:rPr>
              <w:t>Does any plan's rate change to the nearest bp?</w:t>
            </w:r>
          </w:p>
        </w:tc>
      </w:tr>
      <w:tr>
        <w:tc>
          <w:tcPr>
            <w:tcW w:type="dxa" w:w="2160"/>
          </w:tcPr>
          <w:p>
            <w:r>
              <w:rPr>
                <w:b w:val="0"/>
                <w:i w:val="0"/>
                <w:strike w:val="0"/>
              </w:rPr>
              <w:t>Central, as step 1 presents it</w:t>
            </w:r>
          </w:p>
        </w:tc>
        <w:tc>
          <w:tcPr>
            <w:tcW w:type="dxa" w:w="2160"/>
          </w:tcPr>
          <w:p>
            <w:r>
              <w:rPr>
                <w:b w:val="0"/>
                <w:i w:val="0"/>
                <w:strike w:val="0"/>
              </w:rPr>
              <w:t>$7,151,771</w:t>
            </w:r>
          </w:p>
        </w:tc>
        <w:tc>
          <w:tcPr>
            <w:tcW w:type="dxa" w:w="2160"/>
          </w:tcPr>
          <w:p>
            <w:r>
              <w:rPr>
                <w:b w:val="0"/>
                <w:i w:val="0"/>
                <w:strike w:val="0"/>
              </w:rPr>
              <w:t>0.1888</w:t>
            </w:r>
          </w:p>
        </w:tc>
        <w:tc>
          <w:tcPr>
            <w:tcW w:type="dxa" w:w="2160"/>
          </w:tcPr>
          <w:p>
            <w:r>
              <w:rPr>
                <w:b w:val="0"/>
                <w:i w:val="0"/>
                <w:strike w:val="0"/>
              </w:rPr>
              <w:t>No</w:t>
            </w:r>
          </w:p>
        </w:tc>
      </w:tr>
      <w:tr>
        <w:tc>
          <w:tcPr>
            <w:tcW w:type="dxa" w:w="2160"/>
          </w:tcPr>
          <w:p>
            <w:r>
              <w:rPr>
                <w:b w:val="0"/>
                <w:i w:val="0"/>
                <w:strike w:val="0"/>
              </w:rPr>
              <w:t>Widest single-driver excursion (φ = 0)</w:t>
            </w:r>
          </w:p>
        </w:tc>
        <w:tc>
          <w:tcPr>
            <w:tcW w:type="dxa" w:w="2160"/>
          </w:tcPr>
          <w:p>
            <w:r>
              <w:rPr>
                <w:b w:val="0"/>
                <w:i w:val="0"/>
                <w:strike w:val="0"/>
              </w:rPr>
              <w:t>$17,737,700</w:t>
            </w:r>
          </w:p>
        </w:tc>
        <w:tc>
          <w:tcPr>
            <w:tcW w:type="dxa" w:w="2160"/>
          </w:tcPr>
          <w:p>
            <w:r>
              <w:rPr>
                <w:b w:val="0"/>
                <w:i w:val="0"/>
                <w:strike w:val="0"/>
              </w:rPr>
              <w:t>0.4682</w:t>
            </w:r>
          </w:p>
        </w:tc>
        <w:tc>
          <w:tcPr>
            <w:tcW w:type="dxa" w:w="2160"/>
          </w:tcPr>
          <w:p>
            <w:r>
              <w:rPr>
                <w:b w:val="0"/>
                <w:i w:val="0"/>
                <w:strike w:val="0"/>
              </w:rPr>
              <w:t>No</w:t>
            </w:r>
          </w:p>
        </w:tc>
      </w:tr>
      <w:tr>
        <w:tc>
          <w:tcPr>
            <w:tcW w:type="dxa" w:w="2160"/>
          </w:tcPr>
          <w:p>
            <w:r>
              <w:rPr>
                <w:b w:val="0"/>
                <w:i w:val="0"/>
                <w:strike w:val="0"/>
              </w:rPr>
              <w:t>High Participation preset (step 9)</w:t>
            </w:r>
          </w:p>
        </w:tc>
        <w:tc>
          <w:tcPr>
            <w:tcW w:type="dxa" w:w="2160"/>
          </w:tcPr>
          <w:p>
            <w:r>
              <w:rPr>
                <w:b w:val="0"/>
                <w:i w:val="0"/>
                <w:strike w:val="0"/>
              </w:rPr>
              <w:t>$25,163,300</w:t>
            </w:r>
          </w:p>
        </w:tc>
        <w:tc>
          <w:tcPr>
            <w:tcW w:type="dxa" w:w="2160"/>
          </w:tcPr>
          <w:p>
            <w:r>
              <w:rPr>
                <w:b w:val="0"/>
                <w:i w:val="0"/>
                <w:strike w:val="0"/>
              </w:rPr>
              <w:t>0.6642</w:t>
            </w:r>
          </w:p>
        </w:tc>
        <w:tc>
          <w:tcPr>
            <w:tcW w:type="dxa" w:w="2160"/>
          </w:tcPr>
          <w:p>
            <w:r>
              <w:rPr>
                <w:b w:val="0"/>
                <w:i w:val="0"/>
                <w:strike w:val="0"/>
              </w:rPr>
              <w:t>No</w:t>
            </w:r>
          </w:p>
        </w:tc>
      </w:tr>
      <w:tr>
        <w:tc>
          <w:tcPr>
            <w:tcW w:type="dxa" w:w="2160"/>
          </w:tcPr>
          <w:p>
            <w:r>
              <w:rPr>
                <w:b w:val="0"/>
                <w:i w:val="0"/>
                <w:strike w:val="0"/>
              </w:rPr>
              <w:t>Take-up × funnel compounded (step 8's own figure)</w:t>
            </w:r>
          </w:p>
        </w:tc>
        <w:tc>
          <w:tcPr>
            <w:tcW w:type="dxa" w:w="2160"/>
          </w:tcPr>
          <w:p>
            <w:r>
              <w:rPr>
                <w:b w:val="0"/>
                <w:i w:val="0"/>
                <w:strike w:val="0"/>
              </w:rPr>
              <w:t>—</w:t>
            </w:r>
          </w:p>
        </w:tc>
        <w:tc>
          <w:tcPr>
            <w:tcW w:type="dxa" w:w="2160"/>
          </w:tcPr>
          <w:p>
            <w:r>
              <w:rPr>
                <w:b w:val="0"/>
                <w:i w:val="0"/>
                <w:strike w:val="0"/>
              </w:rPr>
              <w:t>1.107</w:t>
            </w:r>
          </w:p>
        </w:tc>
        <w:tc>
          <w:tcPr>
            <w:tcW w:type="dxa" w:w="2160"/>
          </w:tcPr>
          <w:p>
            <w:r>
              <w:rPr>
                <w:b/>
                <w:i w:val="0"/>
                <w:strike w:val="0"/>
              </w:rPr>
              <w:t>Yes</w:t>
            </w:r>
          </w:p>
        </w:tc>
      </w:tr>
      <w:tr>
        <w:tc>
          <w:tcPr>
            <w:tcW w:type="dxa" w:w="2160"/>
          </w:tcPr>
          <w:p>
            <w:r>
              <w:rPr>
                <w:b w:val="0"/>
                <w:i w:val="0"/>
                <w:strike w:val="0"/>
              </w:rPr>
              <w:t>Published compound-adverse: high funnel, φ = 0.25, 30% take-up (step 9's own figure)</w:t>
            </w:r>
          </w:p>
        </w:tc>
        <w:tc>
          <w:tcPr>
            <w:tcW w:type="dxa" w:w="2160"/>
          </w:tcPr>
          <w:p>
            <w:r>
              <w:rPr>
                <w:b w:val="0"/>
                <w:i w:val="0"/>
                <w:strike w:val="0"/>
              </w:rPr>
              <w:t>$43,786,300</w:t>
            </w:r>
          </w:p>
        </w:tc>
        <w:tc>
          <w:tcPr>
            <w:tcW w:type="dxa" w:w="2160"/>
          </w:tcPr>
          <w:p>
            <w:r>
              <w:rPr>
                <w:b/>
                <w:i w:val="0"/>
                <w:strike w:val="0"/>
              </w:rPr>
              <w:t>1.1558</w:t>
            </w:r>
          </w:p>
        </w:tc>
        <w:tc>
          <w:tcPr>
            <w:tcW w:type="dxa" w:w="2160"/>
          </w:tcPr>
          <w:p>
            <w:r>
              <w:rPr>
                <w:b/>
                <w:i w:val="0"/>
                <w:strike w:val="0"/>
              </w:rPr>
              <w:t>Yes</w:t>
            </w:r>
          </w:p>
        </w:tc>
      </w:tr>
    </w:tbl>
    <w:p/>
    <w:p>
      <w:r>
        <w:rPr>
          <w:b/>
          <w:i w:val="0"/>
          <w:strike w:val="0"/>
        </w:rPr>
        <w:t>The result.</w:t>
      </w:r>
      <w:r>
        <w:rPr>
          <w:b w:val="0"/>
          <w:i w:val="0"/>
          <w:strike w:val="0"/>
        </w:rPr>
        <w:t xml:space="preserve"> The conclusion the walk-through calls </w:t>
      </w:r>
      <w:r>
        <w:rPr>
          <w:b w:val="0"/>
          <w:i/>
          <w:strike w:val="0"/>
        </w:rPr>
        <w:t>"the strongest honest claim available from this analysis"</w:t>
      </w:r>
      <w:r>
        <w:rPr>
          <w:b w:val="0"/>
          <w:i w:val="0"/>
          <w:strike w:val="0"/>
        </w:rPr>
        <w:t xml:space="preserve"> is true on every single-driver excursion and </w:t>
      </w:r>
      <w:r>
        <w:rPr>
          <w:b/>
          <w:i w:val="0"/>
          <w:strike w:val="0"/>
        </w:rPr>
        <w:t>false on both compound cases the document itself quotes</w:t>
      </w:r>
      <w:r>
        <w:rPr>
          <w:b w:val="0"/>
          <w:i w:val="0"/>
          <w:strike w:val="0"/>
        </w:rPr>
        <w:t xml:space="preserve">. The model's own memorandum says so in terms: </w:t>
      </w:r>
      <w:r>
        <w:rPr>
          <w:b w:val="0"/>
          <w:i/>
          <w:strike w:val="0"/>
        </w:rPr>
        <w:t>"At 1.16 bp a plan's rate does change to the nearest basis point, so this case falsifies the sentence the package quotes most often."</w:t>
      </w:r>
      <w:r>
        <w:rPr>
          <w:b w:val="0"/>
          <w:i w:val="0"/>
          <w:strike w:val="0"/>
        </w:rPr>
        <w:t xml:space="preserve"> The walk-through quotes the 1.16 figure in step 8 and again in step 9, and then asserts the falsified sentence in step 9's next paragraph and again in the closing. That is finding </w:t>
      </w:r>
      <w:r>
        <w:rPr>
          <w:b/>
          <w:i w:val="0"/>
          <w:strike w:val="0"/>
        </w:rPr>
        <w:t>B-02</w:t>
      </w:r>
      <w:r>
        <w:rPr>
          <w:b w:val="0"/>
          <w:i w:val="0"/>
          <w:strike w:val="0"/>
        </w:rPr>
        <w:t>, and it is a framing defect built on a correct number — which is precisely the failure mode the mandate said it cared most about.</w:t>
      </w:r>
    </w:p>
    <w:p>
      <w:r>
        <w:rPr>
          <w:b/>
          <w:i w:val="0"/>
          <w:strike w:val="0"/>
        </w:rPr>
        <w:t>A second challenge, which the walk-through passes.</w:t>
      </w:r>
      <w:r>
        <w:rPr>
          <w:b w:val="0"/>
          <w:i w:val="0"/>
          <w:strike w:val="0"/>
        </w:rPr>
        <w:t xml:space="preserve"> I tested whether the pension figure is genuinely insulated from the workforce controls, since the whole credibility of step 6 rests on it. It is: at 296/104 participants the modeled pension impact is </w:t>
      </w:r>
      <w:r>
        <w:rPr>
          <w:b/>
          <w:i w:val="0"/>
          <w:strike w:val="0"/>
        </w:rPr>
        <w:t>$12,875,500 / 0.3399 bp</w:t>
      </w:r>
      <w:r>
        <w:rPr>
          <w:b w:val="0"/>
          <w:i w:val="0"/>
          <w:strike w:val="0"/>
        </w:rPr>
        <w:t xml:space="preserve"> at ρ = 85% with 5% not replaced, and </w:t>
      </w:r>
      <w:r>
        <w:rPr>
          <w:b/>
          <w:i w:val="0"/>
          <w:strike w:val="0"/>
        </w:rPr>
        <w:t>$12,875,500 / 0.3399 bp</w:t>
      </w:r>
      <w:r>
        <w:rPr>
          <w:b w:val="0"/>
          <w:i w:val="0"/>
          <w:strike w:val="0"/>
        </w:rPr>
        <w:t xml:space="preserve"> at ρ = 100% with 5% not replaced — identical, and the tornado reports the two workforce drivers at a swing of exactly 0.0000 bp. Step 6's claim is accurate and a reader can verify it in one gesture, as the step says.</w:t>
      </w:r>
    </w:p>
    <w:p>
      <w:r>
        <w:rPr>
          <w:b/>
          <w:i w:val="0"/>
          <w:strike w:val="0"/>
        </w:rPr>
        <w:t>A third, which it also passes.</w:t>
      </w:r>
      <w:r>
        <w:rPr>
          <w:b w:val="0"/>
          <w:i w:val="0"/>
          <w:strike w:val="0"/>
        </w:rPr>
        <w:t xml:space="preserve"> Step 5 claims that entering counts </w:t>
      </w:r>
      <w:r>
        <w:rPr>
          <w:b w:val="0"/>
          <w:i/>
          <w:strike w:val="0"/>
        </w:rPr>
        <w:t>"rescales the modeled age, service and salary mix rather than inventing an average member."</w:t>
      </w:r>
      <w:r>
        <w:rPr>
          <w:b w:val="0"/>
          <w:i w:val="0"/>
          <w:strike w:val="0"/>
        </w:rPr>
        <w:t xml:space="preserve"> Re-derived: 400 direct participants return $12.8755M against a strictly proportional $12.891M, the 0.1% difference being the 296/104 split against the model's own 74.06% Plan 1 share. The mix is preserved, not flattened, and the 74% figure quoted in the step is right.</w:t>
      </w:r>
    </w:p>
    <w:p>
      <w:pPr>
        <w:jc w:val="center"/>
      </w:pPr>
      <w:r>
        <w:rPr>
          <w:color w:val="909090"/>
          <w:sz w:val="18"/>
        </w:rPr>
        <w:t>* * *</w:t>
      </w:r>
    </w:p>
    <w:p>
      <w:pPr>
        <w:pStyle w:val="Heading2"/>
      </w:pPr>
      <w:r>
        <w:rPr>
          <w:b w:val="0"/>
          <w:i w:val="0"/>
          <w:strike w:val="0"/>
        </w:rPr>
        <w:t>5 · Walk-through defects, step by step</w:t>
      </w:r>
    </w:p>
    <w:p>
      <w:r>
        <w:rPr>
          <w:b w:val="0"/>
          <w:i w:val="0"/>
          <w:strike w:val="0"/>
        </w:rPr>
        <w:t>Covering every step, including those with nothing to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Step</w:t>
            </w:r>
          </w:p>
        </w:tc>
        <w:tc>
          <w:tcPr>
            <w:tcW w:type="dxa" w:w="2880"/>
          </w:tcPr>
          <w:p>
            <w:r>
              <w:rPr>
                <w:b/>
                <w:i w:val="0"/>
                <w:strike w:val="0"/>
              </w:rPr>
              <w:t>Defects</w:t>
            </w:r>
          </w:p>
        </w:tc>
        <w:tc>
          <w:tcPr>
            <w:tcW w:type="dxa" w:w="2880"/>
          </w:tcPr>
          <w:p>
            <w:r>
              <w:rPr>
                <w:b/>
                <w:i w:val="0"/>
                <w:strike w:val="0"/>
              </w:rPr>
              <w:t>Nothing found</w:t>
            </w:r>
          </w:p>
        </w:tc>
      </w:tr>
      <w:tr>
        <w:tc>
          <w:tcPr>
            <w:tcW w:type="dxa" w:w="2880"/>
          </w:tcPr>
          <w:p>
            <w:r>
              <w:rPr>
                <w:b/>
                <w:i w:val="0"/>
                <w:strike w:val="0"/>
              </w:rPr>
              <w:t>Intro</w:t>
            </w:r>
          </w:p>
        </w:tc>
        <w:tc>
          <w:tcPr>
            <w:tcW w:type="dxa" w:w="2880"/>
          </w:tcPr>
          <w:p>
            <w:r>
              <w:rPr>
                <w:b/>
                <w:i w:val="0"/>
                <w:strike w:val="0"/>
              </w:rPr>
              <w:t>B-01</w:t>
            </w:r>
            <w:r>
              <w:rPr>
                <w:b w:val="0"/>
                <w:i w:val="0"/>
                <w:strike w:val="0"/>
              </w:rPr>
              <w:t xml:space="preserve"> statement of current law and pinpoint cite. </w:t>
            </w:r>
            <w:r>
              <w:rPr>
                <w:b/>
                <w:i w:val="0"/>
                <w:strike w:val="0"/>
              </w:rPr>
              <w:t>S-06</w:t>
            </w:r>
            <w:r>
              <w:rPr>
                <w:b w:val="0"/>
                <w:i w:val="0"/>
                <w:strike w:val="0"/>
              </w:rPr>
              <w:t xml:space="preserve"> no φ. </w:t>
            </w:r>
            <w:r>
              <w:rPr>
                <w:b/>
                <w:i w:val="0"/>
                <w:strike w:val="0"/>
              </w:rPr>
              <w:t>M-01</w:t>
            </w:r>
            <w:r>
              <w:rPr>
                <w:b w:val="0"/>
                <w:i w:val="0"/>
                <w:strike w:val="0"/>
              </w:rPr>
              <w:t xml:space="preserve"> orientation item 3 points to step 7 for the thirty-second test, which is step 6. </w:t>
            </w:r>
            <w:r>
              <w:rPr>
                <w:b/>
                <w:i w:val="0"/>
                <w:strike w:val="0"/>
              </w:rPr>
              <w:t>S-08</w:t>
            </w:r>
            <w:r>
              <w:rPr>
                <w:b w:val="0"/>
                <w:i w:val="0"/>
                <w:strike w:val="0"/>
              </w:rPr>
              <w:t xml:space="preserve"> FY2029–FY2038 stated without the DECISION 14 shift.</w:t>
            </w:r>
          </w:p>
        </w:tc>
        <w:tc>
          <w:tcPr>
            <w:tcW w:type="dxa" w:w="2880"/>
          </w:tcPr>
          <w:p>
            <w:r>
              <w:rPr>
                <w:b w:val="0"/>
                <w:i w:val="0"/>
                <w:strike w:val="0"/>
              </w:rPr>
              <w:t>The proposal statement in one sentence is accurate and well bounded — eligibility only, no formula effect, not creditable service, no increase in the allowance. The § 30-19.1:7 disclaimer in paragraph 4 is complete and survives printing. Orientation items 1 and 2 are accurate and the provenance taxonomy matches the engine's actual labels exactly.</w:t>
            </w:r>
          </w:p>
        </w:tc>
      </w:tr>
      <w:tr>
        <w:tc>
          <w:tcPr>
            <w:tcW w:type="dxa" w:w="2880"/>
          </w:tcPr>
          <w:p>
            <w:r>
              <w:rPr>
                <w:b/>
                <w:i w:val="0"/>
                <w:strike w:val="0"/>
              </w:rPr>
              <w:t>1</w:t>
            </w:r>
          </w:p>
        </w:tc>
        <w:tc>
          <w:tcPr>
            <w:tcW w:type="dxa" w:w="2880"/>
          </w:tcPr>
          <w:p>
            <w:r>
              <w:rPr>
                <w:b/>
                <w:i w:val="0"/>
                <w:strike w:val="0"/>
              </w:rPr>
              <w:t>S-06</w:t>
            </w:r>
            <w:r>
              <w:rPr>
                <w:b w:val="0"/>
                <w:i w:val="0"/>
                <w:strike w:val="0"/>
              </w:rPr>
              <w:t xml:space="preserve"> the central figure arrives without any sign that its sign is undetermined. </w:t>
            </w:r>
            <w:r>
              <w:rPr>
                <w:b/>
                <w:i w:val="0"/>
                <w:strike w:val="0"/>
              </w:rPr>
              <w:t>M-01</w:t>
            </w:r>
            <w:r>
              <w:rPr>
                <w:b w:val="0"/>
                <w:i w:val="0"/>
                <w:strike w:val="0"/>
              </w:rPr>
              <w:t xml:space="preserve"> </w:t>
            </w:r>
            <w:r>
              <w:rPr>
                <w:b w:val="0"/>
                <w:i/>
                <w:strike w:val="0"/>
              </w:rPr>
              <w:t>"(step 8)"</w:t>
            </w:r>
            <w:r>
              <w:rPr>
                <w:b w:val="0"/>
                <w:i w:val="0"/>
                <w:strike w:val="0"/>
              </w:rPr>
              <w:t xml:space="preserve"> should be step 7. </w:t>
            </w:r>
            <w:r>
              <w:rPr>
                <w:b/>
                <w:i w:val="0"/>
                <w:strike w:val="0"/>
              </w:rPr>
              <w:t>S-02</w:t>
            </w:r>
            <w:r>
              <w:rPr>
                <w:b w:val="0"/>
                <w:i w:val="0"/>
                <w:strike w:val="0"/>
              </w:rPr>
              <w:t xml:space="preserve">'s stale version does not appear here — step 1's </w:t>
            </w:r>
            <w:r>
              <w:rPr>
                <w:b w:val="0"/>
                <w:i/>
                <w:strike w:val="0"/>
              </w:rPr>
              <w:t>"complete for bill version 1.1"</w:t>
            </w:r>
            <w:r>
              <w:rPr>
                <w:b w:val="0"/>
                <w:i w:val="0"/>
                <w:strike w:val="0"/>
              </w:rPr>
              <w:t xml:space="preserve"> is correct. </w:t>
            </w:r>
            <w:r>
              <w:rPr>
                <w:b/>
                <w:i w:val="0"/>
                <w:strike w:val="0"/>
              </w:rPr>
              <w:t>m-08</w:t>
            </w:r>
            <w:r>
              <w:rPr>
                <w:b w:val="0"/>
                <w:i w:val="0"/>
                <w:strike w:val="0"/>
              </w:rPr>
              <w:t xml:space="preserve"> the hand-computed rate illustration does not reconcile with the figure it illustrates.</w:t>
            </w:r>
          </w:p>
        </w:tc>
        <w:tc>
          <w:tcPr>
            <w:tcW w:type="dxa" w:w="2880"/>
          </w:tcPr>
          <w:p>
            <w:r>
              <w:rPr>
                <w:b w:val="0"/>
                <w:i w:val="0"/>
                <w:strike w:val="0"/>
              </w:rPr>
              <w:t xml:space="preserve">The required qualifier is present, complete and correctly worded — the only place in the document where it is. The </w:t>
            </w:r>
            <w:r>
              <w:rPr>
                <w:b w:val="0"/>
                <w:i/>
                <w:strike w:val="0"/>
              </w:rPr>
              <w:t>"zero as an identity"</w:t>
            </w:r>
            <w:r>
              <w:rPr>
                <w:b w:val="0"/>
                <w:i w:val="0"/>
                <w:strike w:val="0"/>
              </w:rPr>
              <w:t xml:space="preserve"> claim is exact: re-derived payroll effect at the No Workforce Savings settings is 0.00000, not a rounded zero. The framing reason for starting here is the right one and is well stated.</w:t>
            </w:r>
          </w:p>
        </w:tc>
      </w:tr>
      <w:tr>
        <w:tc>
          <w:tcPr>
            <w:tcW w:type="dxa" w:w="2880"/>
          </w:tcPr>
          <w:p>
            <w:r>
              <w:rPr>
                <w:b/>
                <w:i w:val="0"/>
                <w:strike w:val="0"/>
              </w:rPr>
              <w:t>2</w:t>
            </w:r>
          </w:p>
        </w:tc>
        <w:tc>
          <w:tcPr>
            <w:tcW w:type="dxa" w:w="2880"/>
          </w:tcPr>
          <w:p>
            <w:r>
              <w:rPr>
                <w:b/>
                <w:i w:val="0"/>
                <w:strike w:val="0"/>
              </w:rPr>
              <w:t>S-04</w:t>
            </w:r>
            <w:r>
              <w:rPr>
                <w:b w:val="0"/>
                <w:i w:val="0"/>
                <w:strike w:val="0"/>
              </w:rPr>
              <w:t xml:space="preserve"> group life listed among the protected items, with no mention of the § 51.1-505 B step-down. </w:t>
            </w:r>
            <w:r>
              <w:rPr>
                <w:b/>
                <w:i w:val="0"/>
                <w:strike w:val="0"/>
              </w:rPr>
              <w:t>M-04</w:t>
            </w:r>
            <w:r>
              <w:rPr>
                <w:b w:val="0"/>
                <w:i w:val="0"/>
                <w:strike w:val="0"/>
              </w:rPr>
              <w:t xml:space="preserve"> containment attributed to the carve-out alone.</w:t>
            </w:r>
          </w:p>
        </w:tc>
        <w:tc>
          <w:tcPr>
            <w:tcW w:type="dxa" w:w="2880"/>
          </w:tcPr>
          <w:p>
            <w:r>
              <w:rPr>
                <w:b w:val="0"/>
                <w:i w:val="0"/>
                <w:strike w:val="0"/>
              </w:rPr>
              <w:t xml:space="preserve">The 4-versus-2 asymmetry is correct and correctly explained as arithmetic rather than drafting. The </w:t>
            </w:r>
            <w:r>
              <w:rPr>
                <w:b w:val="0"/>
                <w:i/>
                <w:strike w:val="0"/>
              </w:rPr>
              <w:t>"same years of service, different reduction factor"</w:t>
            </w:r>
            <w:r>
              <w:rPr>
                <w:b w:val="0"/>
                <w:i w:val="0"/>
                <w:strike w:val="0"/>
              </w:rPr>
              <w:t xml:space="preserve"> identity is the right thing to show first. The Plan 2 overpayment figure is exact (−$574,123) and the observation that the entire central-case impact is a Plan 1 result is right (Plan 1 +$7,725,894).</w:t>
            </w:r>
          </w:p>
        </w:tc>
      </w:tr>
      <w:tr>
        <w:tc>
          <w:tcPr>
            <w:tcW w:type="dxa" w:w="2880"/>
          </w:tcPr>
          <w:p>
            <w:r>
              <w:rPr>
                <w:b/>
                <w:i w:val="0"/>
                <w:strike w:val="0"/>
              </w:rPr>
              <w:t>3</w:t>
            </w:r>
          </w:p>
        </w:tc>
        <w:tc>
          <w:tcPr>
            <w:tcW w:type="dxa" w:w="2880"/>
          </w:tcPr>
          <w:p>
            <w:r>
              <w:rPr>
                <w:b/>
                <w:i w:val="0"/>
                <w:strike w:val="0"/>
              </w:rPr>
              <w:t>B-03</w:t>
            </w:r>
            <w:r>
              <w:rPr>
                <w:b w:val="0"/>
                <w:i w:val="0"/>
                <w:strike w:val="0"/>
              </w:rPr>
              <w:t xml:space="preserve"> $341,065 without its qualifier, under a withdrawn label that the document never defines.</w:t>
            </w:r>
          </w:p>
        </w:tc>
        <w:tc>
          <w:tcPr>
            <w:tcW w:type="dxa" w:w="2880"/>
          </w:tcPr>
          <w:p>
            <w:r>
              <w:rPr>
                <w:b w:val="0"/>
                <w:i w:val="0"/>
                <w:strike w:val="0"/>
              </w:rPr>
              <w:t xml:space="preserve">Everything else in this step is the best work in the document. Every figure in the φ table is exact, the zero crossing at 0.8378 is right, the two counterfactuals are correctly described, and the </w:t>
            </w:r>
            <w:r>
              <w:rPr>
                <w:rFonts w:ascii="Consolas" w:hAnsi="Consolas"/>
                <w:b w:val="0"/>
                <w:i w:val="0"/>
                <w:strike w:val="0"/>
                <w:color w:val="303030"/>
                <w:sz w:val="19"/>
              </w:rPr>
              <w:t>significance</w:t>
            </w:r>
            <w:r>
              <w:rPr>
                <w:b w:val="0"/>
                <w:i w:val="0"/>
                <w:strike w:val="0"/>
              </w:rPr>
              <w:t xml:space="preserve"> block states the φ problem — unmeasured, non-exogenous, self-selection running the wrong way, central case to be read as the optimistic end — as plainly and as damagingly as an opponent would. The </w:t>
            </w:r>
            <w:r>
              <w:rPr>
                <w:rFonts w:ascii="Consolas" w:hAnsi="Consolas"/>
                <w:b w:val="0"/>
                <w:i w:val="0"/>
                <w:strike w:val="0"/>
                <w:color w:val="303030"/>
                <w:sz w:val="19"/>
              </w:rPr>
              <w:t>caution</w:t>
            </w:r>
            <w:r>
              <w:rPr>
                <w:b w:val="0"/>
                <w:i w:val="0"/>
                <w:strike w:val="0"/>
              </w:rPr>
              <w:t xml:space="preserve"> is accurate, including its claim that the tool flags out-of-band settings on the panel, which it does.</w:t>
            </w:r>
          </w:p>
        </w:tc>
      </w:tr>
      <w:tr>
        <w:tc>
          <w:tcPr>
            <w:tcW w:type="dxa" w:w="2880"/>
          </w:tcPr>
          <w:p>
            <w:r>
              <w:rPr>
                <w:b/>
                <w:i w:val="0"/>
                <w:strike w:val="0"/>
              </w:rPr>
              <w:t>4</w:t>
            </w:r>
          </w:p>
        </w:tc>
        <w:tc>
          <w:tcPr>
            <w:tcW w:type="dxa" w:w="2880"/>
          </w:tcPr>
          <w:p>
            <w:r>
              <w:rPr>
                <w:b/>
                <w:i w:val="0"/>
                <w:strike w:val="0"/>
              </w:rPr>
              <w:t>m-07</w:t>
            </w:r>
            <w:r>
              <w:rPr>
                <w:b w:val="0"/>
                <w:i w:val="0"/>
                <w:strike w:val="0"/>
              </w:rPr>
              <w:t xml:space="preserve"> anchor dating.</w:t>
            </w:r>
          </w:p>
        </w:tc>
        <w:tc>
          <w:tcPr>
            <w:tcW w:type="dxa" w:w="2880"/>
          </w:tcPr>
          <w:p>
            <w:r>
              <w:rPr>
                <w:b w:val="0"/>
                <w:i w:val="0"/>
                <w:strike w:val="0"/>
              </w:rPr>
              <w:t xml:space="preserve">Strong throughout and I could not fault the numbers. The take-up ladder is exact. The funnel head (366,289) and the </w:t>
            </w:r>
            <w:r>
              <w:rPr>
                <w:b w:val="0"/>
                <w:i/>
                <w:strike w:val="0"/>
              </w:rPr>
              <w:t>"six screens"</w:t>
            </w:r>
            <w:r>
              <w:rPr>
                <w:b w:val="0"/>
                <w:i w:val="0"/>
                <w:strike w:val="0"/>
              </w:rPr>
              <w:t xml:space="preserve"> count are both precisely right — six of the eight panel rows narrow the headcount. The provenance attribution (</w:t>
            </w:r>
            <w:r>
              <w:rPr>
                <w:b w:val="0"/>
                <w:i/>
                <w:strike w:val="0"/>
              </w:rPr>
              <w:t>"Step 1 a Published Fact, Step 2 a Derived Estimate, Steps 3 through 8 Scenario Assumptions"</w:t>
            </w:r>
            <w:r>
              <w:rPr>
                <w:b w:val="0"/>
                <w:i w:val="0"/>
                <w:strike w:val="0"/>
              </w:rPr>
              <w:t xml:space="preserve">) matches the engine row for row. The § 51.1-142.4 B 5 cite is exact. The 18% retired-pay share is volunteered as unsourced, and the corrected § 12736 position is stated accurately and currently. The </w:t>
            </w:r>
            <w:r>
              <w:rPr>
                <w:b w:val="0"/>
                <w:i/>
                <w:strike w:val="0"/>
              </w:rPr>
              <w:t>"22 a year"</w:t>
            </w:r>
            <w:r>
              <w:rPr>
                <w:b w:val="0"/>
                <w:i w:val="0"/>
                <w:strike w:val="0"/>
              </w:rPr>
              <w:t xml:space="preserve"> reframing is the single most useful sentence in the document.</w:t>
            </w:r>
          </w:p>
        </w:tc>
      </w:tr>
      <w:tr>
        <w:tc>
          <w:tcPr>
            <w:tcW w:type="dxa" w:w="2880"/>
          </w:tcPr>
          <w:p>
            <w:r>
              <w:rPr>
                <w:b/>
                <w:i w:val="0"/>
                <w:strike w:val="0"/>
              </w:rPr>
              <w:t>5</w:t>
            </w:r>
          </w:p>
        </w:tc>
        <w:tc>
          <w:tcPr>
            <w:tcW w:type="dxa" w:w="2880"/>
          </w:tcPr>
          <w:p>
            <w:r>
              <w:rPr>
                <w:b/>
                <w:i w:val="0"/>
                <w:strike w:val="0"/>
              </w:rPr>
              <w:t>M-02</w:t>
            </w:r>
            <w:r>
              <w:rPr>
                <w:b w:val="0"/>
                <w:i w:val="0"/>
                <w:strike w:val="0"/>
              </w:rPr>
              <w:t xml:space="preserve"> the table drops Panel D's captions.</w:t>
            </w:r>
          </w:p>
        </w:tc>
        <w:tc>
          <w:tcPr>
            <w:tcW w:type="dxa" w:w="2880"/>
          </w:tcPr>
          <w:p>
            <w:r>
              <w:rPr>
                <w:b w:val="0"/>
                <w:i w:val="0"/>
                <w:strike w:val="0"/>
              </w:rPr>
              <w:t xml:space="preserve">The step the mandate was most worried about, and it holds. </w:t>
            </w:r>
            <w:r>
              <w:rPr>
                <w:b w:val="0"/>
                <w:i/>
                <w:strike w:val="0"/>
              </w:rPr>
              <w:t>"Stop at that third row"</w:t>
            </w:r>
            <w:r>
              <w:rPr>
                <w:b w:val="0"/>
                <w:i w:val="0"/>
                <w:strike w:val="0"/>
              </w:rPr>
              <w:t xml:space="preserve"> is 81 px below the figure, visible without scrolling at every viewport tested down to 1280×800, and on the same printed page on both A4 and Letter. The explanation is correct and complete: it names the error, names both hiring assumptions, states that neither follows from the bill, and gives the counterfactual. The </w:t>
            </w:r>
            <w:r>
              <w:rPr>
                <w:rFonts w:ascii="Consolas" w:hAnsi="Consolas"/>
                <w:b w:val="0"/>
                <w:i w:val="0"/>
                <w:strike w:val="0"/>
                <w:color w:val="303030"/>
                <w:sz w:val="19"/>
              </w:rPr>
              <w:t>caution</w:t>
            </w:r>
            <w:r>
              <w:rPr>
                <w:b w:val="0"/>
                <w:i w:val="0"/>
                <w:strike w:val="0"/>
              </w:rPr>
              <w:t xml:space="preserve"> on full-salary savings is right and is the error most worth pre-empting. The omissions paragraph — recruiting, onboarding, ramp-up, knowledge loss </w:t>
            </w:r>
            <w:r>
              <w:rPr>
                <w:b w:val="0"/>
                <w:i/>
                <w:strike w:val="0"/>
              </w:rPr>
              <w:t>"not valued at zero, not valued at all"</w:t>
            </w:r>
            <w:r>
              <w:rPr>
                <w:b w:val="0"/>
                <w:i w:val="0"/>
                <w:strike w:val="0"/>
              </w:rPr>
              <w:t xml:space="preserve"> — is the correct formulation and all of it runs against the payroll effect.</w:t>
            </w:r>
          </w:p>
        </w:tc>
      </w:tr>
      <w:tr>
        <w:tc>
          <w:tcPr>
            <w:tcW w:type="dxa" w:w="2880"/>
          </w:tcPr>
          <w:p>
            <w:r>
              <w:rPr>
                <w:b/>
                <w:i w:val="0"/>
                <w:strike w:val="0"/>
              </w:rPr>
              <w:t>6</w:t>
            </w:r>
          </w:p>
        </w:tc>
        <w:tc>
          <w:tcPr>
            <w:tcW w:type="dxa" w:w="2880"/>
          </w:tcPr>
          <w:p>
            <w:r>
              <w:rPr>
                <w:b w:val="0"/>
                <w:i w:val="0"/>
                <w:strike w:val="0"/>
              </w:rPr>
              <w:t>None.</w:t>
            </w:r>
          </w:p>
        </w:tc>
        <w:tc>
          <w:tcPr>
            <w:tcW w:type="dxa" w:w="2880"/>
          </w:tcPr>
          <w:p>
            <w:r>
              <w:rPr>
                <w:b w:val="0"/>
                <w:i w:val="0"/>
                <w:strike w:val="0"/>
              </w:rPr>
              <w:t>Verified independently: the pension figure is bit-identical across replacement and non-replacement settings, and the tornado reports both workforce drivers at a swing of exactly zero. The five further guardrails are as described. The step correctly tells the reader to watch Panel B rather than Panel C.</w:t>
            </w:r>
          </w:p>
        </w:tc>
      </w:tr>
      <w:tr>
        <w:tc>
          <w:tcPr>
            <w:tcW w:type="dxa" w:w="2880"/>
          </w:tcPr>
          <w:p>
            <w:r>
              <w:rPr>
                <w:b/>
                <w:i w:val="0"/>
                <w:strike w:val="0"/>
              </w:rPr>
              <w:t>7</w:t>
            </w:r>
          </w:p>
        </w:tc>
        <w:tc>
          <w:tcPr>
            <w:tcW w:type="dxa" w:w="2880"/>
          </w:tcPr>
          <w:p>
            <w:r>
              <w:rPr>
                <w:b/>
                <w:i w:val="0"/>
                <w:strike w:val="0"/>
              </w:rPr>
              <w:t>S-04</w:t>
            </w:r>
            <w:r>
              <w:rPr>
                <w:b w:val="0"/>
                <w:i w:val="0"/>
                <w:strike w:val="0"/>
              </w:rPr>
              <w:t xml:space="preserve"> omits the three separation-date member detriments the bill discloses at clause I 2(viii). </w:t>
            </w:r>
            <w:r>
              <w:rPr>
                <w:b/>
                <w:i w:val="0"/>
                <w:strike w:val="0"/>
              </w:rPr>
              <w:t>m-05</w:t>
            </w:r>
            <w:r>
              <w:rPr>
                <w:b w:val="0"/>
                <w:i w:val="0"/>
                <w:strike w:val="0"/>
              </w:rPr>
              <w:t xml:space="preserve"> omits the political-subdivision upper-bound caveat.</w:t>
            </w:r>
          </w:p>
        </w:tc>
        <w:tc>
          <w:tcPr>
            <w:tcW w:type="dxa" w:w="2880"/>
          </w:tcPr>
          <w:p>
            <w:r>
              <w:rPr>
                <w:b w:val="0"/>
                <w:i w:val="0"/>
                <w:strike w:val="0"/>
              </w:rPr>
              <w:t xml:space="preserve">The HIC figure is exact ($403,803) and correctly labelled illustrative. The COLA treatment is right: </w:t>
            </w:r>
            <w:r>
              <w:rPr>
                <w:b w:val="0"/>
                <w:i/>
                <w:strike w:val="0"/>
              </w:rPr>
              <w:t>"Not quantified"</w:t>
            </w:r>
            <w:r>
              <w:rPr>
                <w:b w:val="0"/>
                <w:i w:val="0"/>
                <w:strike w:val="0"/>
              </w:rPr>
              <w:t xml:space="preserve"> is what the engine returns, and the step says so without softening it. The accurate HIC/COLA formulation is reproduced verbatim from the package. The settled DECISION 9 position is described correctly, including the date and including the point that the § 51.1-166 D 4 amendment is not a cure. Clause 3(vi) is cited correctly. The </w:t>
            </w:r>
            <w:r>
              <w:rPr>
                <w:rFonts w:ascii="Consolas" w:hAnsi="Consolas"/>
                <w:b w:val="0"/>
                <w:i w:val="0"/>
                <w:strike w:val="0"/>
                <w:color w:val="303030"/>
                <w:sz w:val="19"/>
              </w:rPr>
              <w:t>significance</w:t>
            </w:r>
            <w:r>
              <w:rPr>
                <w:b w:val="0"/>
                <w:i w:val="0"/>
                <w:strike w:val="0"/>
              </w:rPr>
              <w:t xml:space="preserve"> block naming the COLA exposure as the single largest disclosed gap, with the reason for disclosing it up front, is exactly right and should be preserved as written.</w:t>
            </w:r>
          </w:p>
        </w:tc>
      </w:tr>
      <w:tr>
        <w:tc>
          <w:tcPr>
            <w:tcW w:type="dxa" w:w="2880"/>
          </w:tcPr>
          <w:p>
            <w:r>
              <w:rPr>
                <w:b/>
                <w:i w:val="0"/>
                <w:strike w:val="0"/>
              </w:rPr>
              <w:t>8</w:t>
            </w:r>
          </w:p>
        </w:tc>
        <w:tc>
          <w:tcPr>
            <w:tcW w:type="dxa" w:w="2880"/>
          </w:tcPr>
          <w:p>
            <w:r>
              <w:rPr>
                <w:b/>
                <w:i w:val="0"/>
                <w:strike w:val="0"/>
              </w:rPr>
              <w:t>S-05</w:t>
            </w:r>
            <w:r>
              <w:rPr>
                <w:b w:val="0"/>
                <w:i w:val="0"/>
                <w:strike w:val="0"/>
              </w:rPr>
              <w:t xml:space="preserve"> the ranking claim without Panel F's guard-band disclosure. </w:t>
            </w:r>
            <w:r>
              <w:rPr>
                <w:b/>
                <w:i w:val="0"/>
                <w:strike w:val="0"/>
              </w:rPr>
              <w:t>M-08</w:t>
            </w:r>
            <w:r>
              <w:rPr>
                <w:b w:val="0"/>
                <w:i w:val="0"/>
                <w:strike w:val="0"/>
              </w:rPr>
              <w:t xml:space="preserve"> mortality improvement named on a panel that does not test it.</w:t>
            </w:r>
          </w:p>
        </w:tc>
        <w:tc>
          <w:tcPr>
            <w:tcW w:type="dxa" w:w="2880"/>
          </w:tcPr>
          <w:p>
            <w:r>
              <w:rPr>
                <w:b w:val="0"/>
                <w:i w:val="0"/>
                <w:strike w:val="0"/>
              </w:rPr>
              <w:t>The faded-not-hidden treatment of the two pension-neutral drivers is the right design and the step explains it correctly (</w:t>
            </w:r>
            <w:r>
              <w:rPr>
                <w:b w:val="0"/>
                <w:i/>
                <w:strike w:val="0"/>
              </w:rPr>
              <w:t>"They were not tested against it; they cannot touch it"</w:t>
            </w:r>
            <w:r>
              <w:rPr>
                <w:b w:val="0"/>
                <w:i w:val="0"/>
                <w:strike w:val="0"/>
              </w:rPr>
              <w:t>). The discount-rate note — measurement against funding policy, and why the Advanced Assumptions box is off by default — is accurate. The one-at-a-time limitation is disclosed, with both compound figures given.</w:t>
            </w:r>
          </w:p>
        </w:tc>
      </w:tr>
      <w:tr>
        <w:tc>
          <w:tcPr>
            <w:tcW w:type="dxa" w:w="2880"/>
          </w:tcPr>
          <w:p>
            <w:r>
              <w:rPr>
                <w:b/>
                <w:i w:val="0"/>
                <w:strike w:val="0"/>
              </w:rPr>
              <w:t>9</w:t>
            </w:r>
          </w:p>
        </w:tc>
        <w:tc>
          <w:tcPr>
            <w:tcW w:type="dxa" w:w="2880"/>
          </w:tcPr>
          <w:p>
            <w:r>
              <w:rPr>
                <w:b/>
                <w:i w:val="0"/>
                <w:strike w:val="0"/>
              </w:rPr>
              <w:t>B-02</w:t>
            </w:r>
            <w:r>
              <w:rPr>
                <w:b w:val="0"/>
                <w:i w:val="0"/>
                <w:strike w:val="0"/>
              </w:rPr>
              <w:t xml:space="preserve"> the no-rate-change claim extended to the top of the range. </w:t>
            </w:r>
            <w:r>
              <w:rPr>
                <w:b/>
                <w:i w:val="0"/>
                <w:strike w:val="0"/>
              </w:rPr>
              <w:t>M-05</w:t>
            </w:r>
            <w:r>
              <w:rPr>
                <w:b w:val="0"/>
                <w:i w:val="0"/>
                <w:strike w:val="0"/>
              </w:rPr>
              <w:t xml:space="preserve"> the hybrid near-universality claim. </w:t>
            </w:r>
            <w:r>
              <w:rPr>
                <w:b/>
                <w:i w:val="0"/>
                <w:strike w:val="0"/>
              </w:rPr>
              <w:t>m-06</w:t>
            </w:r>
            <w:r>
              <w:rPr>
                <w:b w:val="0"/>
                <w:i w:val="0"/>
                <w:strike w:val="0"/>
              </w:rPr>
              <w:t xml:space="preserve"> the Plan 1 rate substitution in the Hybrid Variant.</w:t>
            </w:r>
          </w:p>
        </w:tc>
        <w:tc>
          <w:tcPr>
            <w:tcW w:type="dxa" w:w="2880"/>
          </w:tcPr>
          <w:p>
            <w:r>
              <w:rPr>
                <w:b w:val="0"/>
                <w:i w:val="0"/>
                <w:strike w:val="0"/>
              </w:rPr>
              <w:t xml:space="preserve">All eight figures in the four-preset table are exact. The observation that two presets return an identical pension figure, and that this is step 6's guardrail appearing as a table row, is a genuinely good piece of teaching. </w:t>
            </w:r>
            <w:r>
              <w:rPr>
                <w:b w:val="0"/>
                <w:i/>
                <w:strike w:val="0"/>
              </w:rPr>
              <w:t>"Each preset is a corner, not a forecast"</w:t>
            </w:r>
            <w:r>
              <w:rPr>
                <w:b w:val="0"/>
                <w:i w:val="0"/>
                <w:strike w:val="0"/>
              </w:rPr>
              <w:t xml:space="preserve"> and the explicit warning against presenting Low Participation as the expected case are both correct and necessary. The Hybrid Variant immateriality is verified ($7.06M against $7.15M).</w:t>
            </w:r>
          </w:p>
        </w:tc>
      </w:tr>
      <w:tr>
        <w:tc>
          <w:tcPr>
            <w:tcW w:type="dxa" w:w="2880"/>
          </w:tcPr>
          <w:p>
            <w:r>
              <w:rPr>
                <w:b/>
                <w:i w:val="0"/>
                <w:strike w:val="0"/>
              </w:rPr>
              <w:t>10</w:t>
            </w:r>
          </w:p>
        </w:tc>
        <w:tc>
          <w:tcPr>
            <w:tcW w:type="dxa" w:w="2880"/>
          </w:tcPr>
          <w:p>
            <w:r>
              <w:rPr>
                <w:b/>
                <w:i w:val="0"/>
                <w:strike w:val="0"/>
              </w:rPr>
              <w:t>S-02</w:t>
            </w:r>
            <w:r>
              <w:rPr>
                <w:b w:val="0"/>
                <w:i w:val="0"/>
                <w:strike w:val="0"/>
              </w:rPr>
              <w:t xml:space="preserve"> version 1.3 should be 1.4. </w:t>
            </w:r>
            <w:r>
              <w:rPr>
                <w:b/>
                <w:i w:val="0"/>
                <w:strike w:val="0"/>
              </w:rPr>
              <w:t>M-06</w:t>
            </w:r>
            <w:r>
              <w:rPr>
                <w:b w:val="0"/>
                <w:i w:val="0"/>
                <w:strike w:val="0"/>
              </w:rPr>
              <w:t xml:space="preserve"> one of three VRS items; tax questions not flagged as unsent. </w:t>
            </w:r>
            <w:r>
              <w:rPr>
                <w:b/>
                <w:i w:val="0"/>
                <w:strike w:val="0"/>
              </w:rPr>
              <w:t>M-07</w:t>
            </w:r>
            <w:r>
              <w:rPr>
                <w:b w:val="0"/>
                <w:i w:val="0"/>
                <w:strike w:val="0"/>
              </w:rPr>
              <w:t xml:space="preserve"> the CSV does not carry the attribution line. </w:t>
            </w:r>
            <w:r>
              <w:rPr>
                <w:b/>
                <w:i w:val="0"/>
                <w:strike w:val="0"/>
              </w:rPr>
              <w:t>M-03</w:t>
            </w:r>
            <w:r>
              <w:rPr>
                <w:b w:val="0"/>
                <w:i w:val="0"/>
                <w:strike w:val="0"/>
              </w:rPr>
              <w:t xml:space="preserve"> </w:t>
            </w:r>
            <w:r>
              <w:rPr>
                <w:b w:val="0"/>
                <w:i/>
                <w:strike w:val="0"/>
              </w:rPr>
              <w:t>"provisionally."</w:t>
            </w:r>
          </w:p>
        </w:tc>
        <w:tc>
          <w:tcPr>
            <w:tcW w:type="dxa" w:w="2880"/>
          </w:tcPr>
          <w:p>
            <w:r>
              <w:rPr>
                <w:b w:val="0"/>
                <w:i w:val="0"/>
                <w:strike w:val="0"/>
              </w:rPr>
              <w:t xml:space="preserve">The five pre-patron conditions are all present and all correctly scoped — this is the structurally most important part of the document and the structure is right. The § 415(n)(3)(A) / § 415(c) / 403(b)-457(b) formulation is accurate and the observation that it </w:t>
            </w:r>
            <w:r>
              <w:rPr>
                <w:b w:val="0"/>
                <w:i/>
                <w:strike w:val="0"/>
              </w:rPr>
              <w:t>"decides who can afford the purchase at all"</w:t>
            </w:r>
            <w:r>
              <w:rPr>
                <w:b w:val="0"/>
                <w:i w:val="0"/>
                <w:strike w:val="0"/>
              </w:rPr>
              <w:t xml:space="preserve"> is the right emphasis. The pre-2014 B 4 approximate normal cost item is correctly described, including that the tool currently prices at the ordinary non-hazardous rate. The registry-from-</w:t>
            </w:r>
            <w:r>
              <w:rPr>
                <w:rFonts w:ascii="Consolas" w:hAnsi="Consolas"/>
                <w:b w:val="0"/>
                <w:i w:val="0"/>
                <w:strike w:val="0"/>
                <w:color w:val="303030"/>
                <w:sz w:val="19"/>
              </w:rPr>
              <w:t>inputs.py</w:t>
            </w:r>
            <w:r>
              <w:rPr>
                <w:b w:val="0"/>
                <w:i w:val="0"/>
                <w:strike w:val="0"/>
              </w:rPr>
              <w:t xml:space="preserve"> claim and the ten-row data contract claim both check out. The </w:t>
            </w:r>
            <w:r>
              <w:rPr>
                <w:b w:val="0"/>
                <w:i/>
                <w:strike w:val="0"/>
              </w:rPr>
              <w:t>"not the last input"</w:t>
            </w:r>
            <w:r>
              <w:rPr>
                <w:b w:val="0"/>
                <w:i w:val="0"/>
                <w:strike w:val="0"/>
              </w:rPr>
              <w:t xml:space="preserve"> framing is right.</w:t>
            </w:r>
          </w:p>
        </w:tc>
      </w:tr>
      <w:tr>
        <w:tc>
          <w:tcPr>
            <w:tcW w:type="dxa" w:w="2880"/>
          </w:tcPr>
          <w:p>
            <w:r>
              <w:rPr>
                <w:b/>
                <w:i w:val="0"/>
                <w:strike w:val="0"/>
              </w:rPr>
              <w:t>Closing</w:t>
            </w:r>
          </w:p>
        </w:tc>
        <w:tc>
          <w:tcPr>
            <w:tcW w:type="dxa" w:w="2880"/>
          </w:tcPr>
          <w:p>
            <w:r>
              <w:rPr>
                <w:b/>
                <w:i w:val="0"/>
                <w:strike w:val="0"/>
              </w:rPr>
              <w:t>B-02</w:t>
            </w:r>
            <w:r>
              <w:rPr>
                <w:b w:val="0"/>
                <w:i w:val="0"/>
                <w:strike w:val="0"/>
              </w:rPr>
              <w:t xml:space="preserve"> and </w:t>
            </w:r>
            <w:r>
              <w:rPr>
                <w:b/>
                <w:i w:val="0"/>
                <w:strike w:val="0"/>
              </w:rPr>
              <w:t>S-03</w:t>
            </w:r>
            <w:r>
              <w:rPr>
                <w:b w:val="0"/>
                <w:i w:val="0"/>
                <w:strike w:val="0"/>
              </w:rPr>
              <w:t xml:space="preserve"> in the second of the five points. </w:t>
            </w:r>
            <w:r>
              <w:rPr>
                <w:b/>
                <w:i w:val="0"/>
                <w:strike w:val="0"/>
              </w:rPr>
              <w:t>S-07</w:t>
            </w:r>
            <w:r>
              <w:rPr>
                <w:b w:val="0"/>
                <w:i w:val="0"/>
                <w:strike w:val="0"/>
              </w:rPr>
              <w:t xml:space="preserve"> 0.19 bp bare.</w:t>
            </w:r>
          </w:p>
        </w:tc>
        <w:tc>
          <w:tcPr>
            <w:tcW w:type="dxa" w:w="2880"/>
          </w:tcPr>
          <w:p>
            <w:r>
              <w:rPr>
                <w:b w:val="0"/>
                <w:i w:val="0"/>
                <w:strike w:val="0"/>
              </w:rPr>
              <w:t xml:space="preserve">Points 1, 3, 4 and 5 are accurate and well chosen, and point 5 — COLA unquantified, § 30-19.1:7 not requested, </w:t>
            </w:r>
            <w:r>
              <w:rPr>
                <w:b w:val="0"/>
                <w:i/>
                <w:strike w:val="0"/>
              </w:rPr>
              <w:t>"both belong in front of a committee before this proposal does"</w:t>
            </w:r>
            <w:r>
              <w:rPr>
                <w:b w:val="0"/>
                <w:i w:val="0"/>
                <w:strike w:val="0"/>
              </w:rPr>
              <w:t xml:space="preserve"> — is the right note to end on. The footer carries the full disclaimer and the attribution line, and it is the one place in the printed artifact that does.</w:t>
            </w:r>
          </w:p>
        </w:tc>
      </w:tr>
    </w:tbl>
    <w:p/>
    <w:p>
      <w:pPr>
        <w:jc w:val="center"/>
      </w:pPr>
      <w:r>
        <w:rPr>
          <w:color w:val="909090"/>
          <w:sz w:val="18"/>
        </w:rPr>
        <w:t>* * *</w:t>
      </w:r>
    </w:p>
    <w:p>
      <w:pPr>
        <w:pStyle w:val="Heading2"/>
      </w:pPr>
      <w:r>
        <w:rPr>
          <w:b w:val="0"/>
          <w:i w:val="0"/>
          <w:strike w:val="0"/>
        </w:rPr>
        <w:t>6 · What I checked and found sound</w:t>
      </w:r>
    </w:p>
    <w:p>
      <w:r>
        <w:rPr>
          <w:b w:val="0"/>
          <w:i w:val="0"/>
          <w:strike w:val="0"/>
        </w:rPr>
        <w:t>Stated explicitly, because a review that reports only defects misrepresents the artifact.</w:t>
      </w:r>
    </w:p>
    <w:p>
      <w:pPr>
        <w:pStyle w:val="ListNumber"/>
      </w:pPr>
      <w:r>
        <w:rPr>
          <w:b/>
          <w:i w:val="0"/>
          <w:strike w:val="0"/>
        </w:rPr>
        <w:t>Every quoted figure.</w:t>
      </w:r>
      <w:r>
        <w:rPr>
          <w:b w:val="0"/>
          <w:i w:val="0"/>
          <w:strike w:val="0"/>
        </w:rPr>
        <w:t xml:space="preserve"> I re-derived the model's output independently of the committed harness and checked roughly forty quoted figures. </w:t>
      </w:r>
      <w:r>
        <w:rPr>
          <w:b/>
          <w:i w:val="0"/>
          <w:strike w:val="0"/>
        </w:rPr>
        <w:t>All of them close.</w:t>
      </w:r>
      <w:r>
        <w:rPr>
          <w:b w:val="0"/>
          <w:i w:val="0"/>
          <w:strike w:val="0"/>
        </w:rPr>
        <w:t xml:space="preserve"> The six the mandate named specifically — the compound-adverse 1.16 bp / $43.79M, the 0.1888 bp / $7,151,771 central case, $341,065, and by extension the φ ladder, the take-up ladder and the step-5 worked question — are exact. The only arithmetic defect in the document is the hand-computed rate illustration in step 1 (</w:t>
      </w:r>
      <w:r>
        <w:rPr>
          <w:b/>
          <w:i w:val="0"/>
          <w:strike w:val="0"/>
        </w:rPr>
        <w:t>m-08</w:t>
      </w:r>
      <w:r>
        <w:rPr>
          <w:b w:val="0"/>
          <w:i w:val="0"/>
          <w:strike w:val="0"/>
        </w:rPr>
        <w:t>), which is not a model output.</w:t>
      </w:r>
    </w:p>
    <w:p>
      <w:pPr>
        <w:pStyle w:val="ListNumber"/>
      </w:pPr>
      <w:r>
        <w:rPr>
          <w:b/>
          <w:i w:val="0"/>
          <w:strike w:val="0"/>
        </w:rPr>
        <w:t>Step 5's caveat placement.</w:t>
      </w:r>
      <w:r>
        <w:rPr>
          <w:b w:val="0"/>
          <w:i w:val="0"/>
          <w:strike w:val="0"/>
        </w:rPr>
        <w:t xml:space="preserve"> </w:t>
      </w:r>
      <w:r>
        <w:rPr>
          <w:b w:val="0"/>
          <w:i/>
          <w:strike w:val="0"/>
        </w:rPr>
        <w:t>"Stop at that third row"</w:t>
      </w:r>
      <w:r>
        <w:rPr>
          <w:b w:val="0"/>
          <w:i w:val="0"/>
          <w:strike w:val="0"/>
        </w:rPr>
        <w:t xml:space="preserve"> renders 81 px below the </w:t>
      </w:r>
      <w:r>
        <w:rPr>
          <w:rFonts w:ascii="Consolas" w:hAnsi="Consolas"/>
          <w:b w:val="0"/>
          <w:i w:val="0"/>
          <w:strike w:val="0"/>
          <w:color w:val="303030"/>
          <w:sz w:val="19"/>
        </w:rPr>
        <w:t>+$2.92M</w:t>
      </w:r>
      <w:r>
        <w:rPr>
          <w:b w:val="0"/>
          <w:i w:val="0"/>
          <w:strike w:val="0"/>
        </w:rPr>
        <w:t xml:space="preserve"> row; visible without scrolling in the drawer at 1920×1080, 1512×982, 1440×900 and 1280×800; on the same printed page as the row on both A4 and US Letter, with 304 px and 936 px of page remaining beneath it. The prose explanation is correct and complete. The mandate's first question resolves in the document's favour.</w:t>
      </w:r>
    </w:p>
    <w:p>
      <w:pPr>
        <w:pStyle w:val="ListNumber"/>
      </w:pPr>
      <w:r>
        <w:rPr>
          <w:b/>
          <w:i w:val="0"/>
          <w:strike w:val="0"/>
        </w:rPr>
        <w:t>No reachable free-looking screen in the tool.</w:t>
      </w:r>
      <w:r>
        <w:rPr>
          <w:b w:val="0"/>
          <w:i w:val="0"/>
          <w:strike w:val="0"/>
        </w:rPr>
        <w:t xml:space="preserve"> Panel D cannot print a favourable headline: three separately-provenanced tiles, tile 2 captioned </w:t>
      </w:r>
      <w:r>
        <w:rPr>
          <w:b w:val="0"/>
          <w:i/>
          <w:strike w:val="0"/>
        </w:rPr>
        <w:t>not a pension saving</w:t>
      </w:r>
      <w:r>
        <w:rPr>
          <w:b w:val="0"/>
          <w:i w:val="0"/>
          <w:strike w:val="0"/>
        </w:rPr>
        <w:t xml:space="preserve">, tile 3 captioned </w:t>
      </w:r>
      <w:r>
        <w:rPr>
          <w:b w:val="0"/>
          <w:i/>
          <w:strike w:val="0"/>
        </w:rPr>
        <w:t>least reliable of the three</w:t>
      </w:r>
      <w:r>
        <w:rPr>
          <w:b w:val="0"/>
          <w:i w:val="0"/>
          <w:strike w:val="0"/>
        </w:rPr>
        <w:t xml:space="preserve">, and a standing note stating that the payroll figure depends entirely on a hiring assumption the model cannot observe. Step 3's instruction to drag φ to 100% does produce a positive combined effect of +$3.43M, and step 3 names it, explains it and the panel flags the setting as outside the documented band. Step 9's apply path lands on the Low Participation corner at 0.0245 bp with the </w:t>
      </w:r>
      <w:r>
        <w:rPr>
          <w:b w:val="0"/>
          <w:i/>
          <w:strike w:val="0"/>
        </w:rPr>
        <w:t>"low-cost corner, not a prudence case"</w:t>
      </w:r>
      <w:r>
        <w:rPr>
          <w:b w:val="0"/>
          <w:i w:val="0"/>
          <w:strike w:val="0"/>
        </w:rPr>
        <w:t xml:space="preserve"> description on screen. I could not construct a path through the walk-through's own instructions to a favourable screen without the caveat on it.</w:t>
      </w:r>
    </w:p>
    <w:p>
      <w:pPr>
        <w:pStyle w:val="ListNumber"/>
      </w:pPr>
      <w:r>
        <w:rPr>
          <w:b/>
          <w:i w:val="0"/>
          <w:strike w:val="0"/>
        </w:rPr>
        <w:t>The pension/payroll guardrail.</w:t>
      </w:r>
      <w:r>
        <w:rPr>
          <w:b w:val="0"/>
          <w:i w:val="0"/>
          <w:strike w:val="0"/>
        </w:rPr>
        <w:t xml:space="preserve"> Verified independently, not taken from the harness: $12,875,500 / 0.3399 bp at both ρ = 85% and ρ = 100%, and a tornado swing of exactly 0.0000 bp on both workforce drivers. Step 6's central claim is true and a reader can check it in thirty seconds, as the step says.</w:t>
      </w:r>
    </w:p>
    <w:p>
      <w:pPr>
        <w:pStyle w:val="ListNumber"/>
      </w:pPr>
      <w:r>
        <w:rPr>
          <w:b/>
          <w:i w:val="0"/>
          <w:strike w:val="0"/>
        </w:rPr>
        <w:t>The standalone build.</w:t>
      </w:r>
      <w:r>
        <w:rPr>
          <w:b w:val="0"/>
          <w:i w:val="0"/>
          <w:strike w:val="0"/>
        </w:rPr>
        <w:t xml:space="preserve"> A copy of </w:t>
      </w:r>
      <w:r>
        <w:rPr>
          <w:rFonts w:ascii="Consolas" w:hAnsi="Consolas"/>
          <w:b w:val="0"/>
          <w:i w:val="0"/>
          <w:strike w:val="0"/>
          <w:color w:val="303030"/>
          <w:sz w:val="19"/>
        </w:rPr>
        <w:t>dist/walkthrough-standalone.html</w:t>
      </w:r>
      <w:r>
        <w:rPr>
          <w:b w:val="0"/>
          <w:i w:val="0"/>
          <w:strike w:val="0"/>
        </w:rPr>
        <w:t xml:space="preserve"> </w:t>
      </w:r>
      <w:r>
        <w:rPr>
          <w:b/>
          <w:i w:val="0"/>
          <w:strike w:val="0"/>
        </w:rPr>
        <w:t>alone in an empty directory</w:t>
      </w:r>
      <w:r>
        <w:rPr>
          <w:b w:val="0"/>
          <w:i w:val="0"/>
          <w:strike w:val="0"/>
        </w:rPr>
        <w:t xml:space="preserve"> renders all twelve sections with no console errors, and all six cross-links resolve: every one is rewritten to </w:t>
      </w:r>
      <w:r>
        <w:rPr>
          <w:rFonts w:ascii="Consolas" w:hAnsi="Consolas"/>
          <w:b w:val="0"/>
          <w:i w:val="0"/>
          <w:strike w:val="0"/>
          <w:color w:val="303030"/>
          <w:sz w:val="19"/>
        </w:rPr>
        <w:t>href="#"</w:t>
      </w:r>
      <w:r>
        <w:rPr>
          <w:b w:val="0"/>
          <w:i w:val="0"/>
          <w:strike w:val="0"/>
        </w:rPr>
        <w:t xml:space="preserve"> with </w:t>
      </w:r>
      <w:r>
        <w:rPr>
          <w:rFonts w:ascii="Consolas" w:hAnsi="Consolas"/>
          <w:b w:val="0"/>
          <w:i w:val="0"/>
          <w:strike w:val="0"/>
          <w:color w:val="303030"/>
          <w:sz w:val="19"/>
        </w:rPr>
        <w:t>data-xpage</w:t>
      </w:r>
      <w:r>
        <w:rPr>
          <w:b w:val="0"/>
          <w:i w:val="0"/>
          <w:strike w:val="0"/>
        </w:rPr>
        <w:t xml:space="preserve">, including the one created at runtime inside the drawer's closing screen, and clicking </w:t>
      </w:r>
      <w:r>
        <w:rPr>
          <w:b/>
          <w:i w:val="0"/>
          <w:strike w:val="0"/>
        </w:rPr>
        <w:t>Open the dashboard →</w:t>
      </w:r>
      <w:r>
        <w:rPr>
          <w:b w:val="0"/>
          <w:i w:val="0"/>
          <w:strike w:val="0"/>
        </w:rPr>
        <w:t xml:space="preserve"> navigates to a </w:t>
      </w:r>
      <w:r>
        <w:rPr>
          <w:rFonts w:ascii="Consolas" w:hAnsi="Consolas"/>
          <w:b w:val="0"/>
          <w:i w:val="0"/>
          <w:strike w:val="0"/>
          <w:color w:val="303030"/>
          <w:sz w:val="19"/>
        </w:rPr>
        <w:t>blob:</w:t>
      </w:r>
      <w:r>
        <w:rPr>
          <w:b w:val="0"/>
          <w:i w:val="0"/>
          <w:strike w:val="0"/>
        </w:rPr>
        <w:t xml:space="preserve"> URL carrying a fully operable dashboard (Panel D present, drawer operable, step navigation working). The embedded copy's own cross-links are correctly disabled with an explanatory </w:t>
      </w:r>
      <w:r>
        <w:rPr>
          <w:rFonts w:ascii="Consolas" w:hAnsi="Consolas"/>
          <w:b w:val="0"/>
          <w:i w:val="0"/>
          <w:strike w:val="0"/>
          <w:color w:val="303030"/>
          <w:sz w:val="19"/>
        </w:rPr>
        <w:t>title</w:t>
      </w:r>
      <w:r>
        <w:rPr>
          <w:b w:val="0"/>
          <w:i w:val="0"/>
          <w:strike w:val="0"/>
        </w:rPr>
        <w:t>. The mandate's question 9 resolves in the build's favour; only the absence of a visible route back is worth noting (</w:t>
      </w:r>
      <w:r>
        <w:rPr>
          <w:b/>
          <w:i w:val="0"/>
          <w:strike w:val="0"/>
        </w:rPr>
        <w:t>m-04</w:t>
      </w:r>
      <w:r>
        <w:rPr>
          <w:b w:val="0"/>
          <w:i w:val="0"/>
          <w:strike w:val="0"/>
        </w:rPr>
        <w:t>).</w:t>
      </w:r>
    </w:p>
    <w:p>
      <w:pPr>
        <w:pStyle w:val="ListNumber"/>
      </w:pPr>
      <w:r>
        <w:rPr>
          <w:b/>
          <w:i w:val="0"/>
          <w:strike w:val="0"/>
        </w:rPr>
        <w:t>Currency against version 1.4 / 1.5, item by item.</w:t>
      </w:r>
      <w:r>
        <w:rPr>
          <w:b w:val="0"/>
          <w:i w:val="0"/>
          <w:strike w:val="0"/>
        </w:rPr>
        <w:t xml:space="preserve"> The July 1, 2029 effective date is correct. The corrected § 12736 reading is stated accurately and the withdrawn misquotation does not appear — neither the inserted </w:t>
      </w:r>
      <w:r>
        <w:rPr>
          <w:b w:val="0"/>
          <w:i/>
          <w:strike w:val="0"/>
        </w:rPr>
        <w:t>"State or Federal"</w:t>
      </w:r>
      <w:r>
        <w:rPr>
          <w:b w:val="0"/>
          <w:i w:val="0"/>
          <w:strike w:val="0"/>
        </w:rPr>
        <w:t xml:space="preserve"> nor the omission of </w:t>
      </w:r>
      <w:r>
        <w:rPr>
          <w:b w:val="0"/>
          <w:i/>
          <w:strike w:val="0"/>
        </w:rPr>
        <w:t>"if that service is otherwise properly credited under it."</w:t>
      </w:r>
      <w:r>
        <w:rPr>
          <w:b w:val="0"/>
          <w:i w:val="0"/>
          <w:strike w:val="0"/>
        </w:rPr>
        <w:t xml:space="preserve"> The introducible-form text is correctly described. The settled HIC/COLA acceptance, its date, and the point that § 51.1-166 D 4 is not a cure are all accurate. The pre-2014 B 4 scope and the approximate-normal-cost confirmation item are accurate. </w:t>
      </w:r>
      <w:r>
        <w:rPr>
          <w:b/>
          <w:i w:val="0"/>
          <w:strike w:val="0"/>
        </w:rPr>
        <w:t>Two currency defects only:</w:t>
      </w:r>
      <w:r>
        <w:rPr>
          <w:b w:val="0"/>
          <w:i w:val="0"/>
          <w:strike w:val="0"/>
        </w:rPr>
        <w:t xml:space="preserve"> the stale version 1.3 at </w:t>
      </w:r>
      <w:r>
        <w:rPr>
          <w:b/>
          <w:i w:val="0"/>
          <w:strike w:val="0"/>
        </w:rPr>
        <w:t>S-02</w:t>
      </w:r>
      <w:r>
        <w:rPr>
          <w:b w:val="0"/>
          <w:i w:val="0"/>
          <w:strike w:val="0"/>
        </w:rPr>
        <w:t xml:space="preserve"> and the withdrawn </w:t>
      </w:r>
      <w:r>
        <w:rPr>
          <w:b w:val="0"/>
          <w:i/>
          <w:strike w:val="0"/>
        </w:rPr>
        <w:t>"closed and shrinking"</w:t>
      </w:r>
      <w:r>
        <w:rPr>
          <w:b w:val="0"/>
          <w:i w:val="0"/>
          <w:strike w:val="0"/>
        </w:rPr>
        <w:t xml:space="preserve"> framing surviving in softened form at </w:t>
      </w:r>
      <w:r>
        <w:rPr>
          <w:b/>
          <w:i w:val="0"/>
          <w:strike w:val="0"/>
        </w:rPr>
        <w:t>M-05</w:t>
      </w:r>
      <w:r>
        <w:rPr>
          <w:b w:val="0"/>
          <w:i w:val="0"/>
          <w:strike w:val="0"/>
        </w:rPr>
        <w:t>.</w:t>
      </w:r>
    </w:p>
    <w:p>
      <w:pPr>
        <w:pStyle w:val="ListNumber"/>
      </w:pPr>
      <w:r>
        <w:rPr>
          <w:b/>
          <w:i w:val="0"/>
          <w:strike w:val="0"/>
        </w:rPr>
        <w:t>The seven settled policy decisions.</w:t>
      </w:r>
      <w:r>
        <w:rPr>
          <w:b w:val="0"/>
          <w:i w:val="0"/>
          <w:strike w:val="0"/>
        </w:rPr>
        <w:t xml:space="preserve"> Each is described accurately where the walk-through describes it: hybrid exclusion (step 9, subject to </w:t>
      </w:r>
      <w:r>
        <w:rPr>
          <w:b/>
          <w:i w:val="0"/>
          <w:strike w:val="0"/>
        </w:rPr>
        <w:t>M-05</w:t>
      </w:r>
      <w:r>
        <w:rPr>
          <w:b w:val="0"/>
          <w:i w:val="0"/>
          <w:strike w:val="0"/>
        </w:rPr>
        <w:t xml:space="preserve">'s missing qualifier); the inherited military-retired-pay bar (step 4, with the 18% share volunteered as unsourced); the frozen PLOP eligibility date (step 10, and correctly in the registry); partial purchase capped at the shortfall (step 4, § 51.1-142.4 B 5 and C); in-service status at retirement (step 10 item 4, subject to </w:t>
      </w:r>
      <w:r>
        <w:rPr>
          <w:b/>
          <w:i w:val="0"/>
          <w:strike w:val="0"/>
        </w:rPr>
        <w:t>M-03</w:t>
      </w:r>
      <w:r>
        <w:rPr>
          <w:b w:val="0"/>
          <w:i w:val="0"/>
          <w:strike w:val="0"/>
        </w:rPr>
        <w:t xml:space="preserve">'s characterisation); HIC and COLA costs accepted and disclosed (step 7, accurately and in the package's own words); post-2013 B 4 entrants excluded (step 10). </w:t>
      </w:r>
      <w:r>
        <w:rPr>
          <w:b/>
          <w:i w:val="0"/>
          <w:strike w:val="0"/>
        </w:rPr>
        <w:t>I did not reopen any of them and none is described inaccurately on its substance.</w:t>
      </w:r>
    </w:p>
    <w:p>
      <w:pPr>
        <w:pStyle w:val="ListNumber"/>
      </w:pPr>
      <w:r>
        <w:rPr>
          <w:b/>
          <w:i w:val="0"/>
          <w:strike w:val="0"/>
        </w:rPr>
        <w:t>The disclaimer discipline in body text.</w:t>
      </w:r>
      <w:r>
        <w:rPr>
          <w:b w:val="0"/>
          <w:i w:val="0"/>
          <w:strike w:val="0"/>
        </w:rPr>
        <w:t xml:space="preserve"> The walk-through does not read as an actuarial certification, a § 30-19.1:7 Board statement or a General Assembly fiscal impact statement. The disclaimer appears in the intro's fourth paragraph, in step 7, twice in step 10 and twice in the closing footer, and all of those survive printing. The footer also carries the attribution line. What printing loses is the masthead block, the provenance legend and the version stamp — </w:t>
      </w:r>
      <w:r>
        <w:rPr>
          <w:b/>
          <w:i w:val="0"/>
          <w:strike w:val="0"/>
        </w:rPr>
        <w:t>S-01</w:t>
      </w:r>
      <w:r>
        <w:rPr>
          <w:b w:val="0"/>
          <w:i w:val="0"/>
          <w:strike w:val="0"/>
        </w:rPr>
        <w:t>, which is why that finding is Material and not a repeat of MOO-265's blocker.</w:t>
      </w:r>
    </w:p>
    <w:p>
      <w:pPr>
        <w:pStyle w:val="ListNumber"/>
      </w:pPr>
      <w:r>
        <w:rPr>
          <w:b/>
          <w:i w:val="0"/>
          <w:strike w:val="0"/>
        </w:rPr>
        <w:t>What the harnesses do not test, which the mandate asked for.</w:t>
      </w:r>
      <w:r>
        <w:rPr>
          <w:b w:val="0"/>
          <w:i w:val="0"/>
          <w:strike w:val="0"/>
        </w:rPr>
        <w:t xml:space="preserve"> Group 20 proves that each quoted token is rendered on the panels at the step's stated settings. It cannot detect: a figure quoted without a qualifier the package requires (</w:t>
      </w:r>
      <w:r>
        <w:rPr>
          <w:b/>
          <w:i w:val="0"/>
          <w:strike w:val="0"/>
        </w:rPr>
        <w:t>B-03</w:t>
      </w:r>
      <w:r>
        <w:rPr>
          <w:b w:val="0"/>
          <w:i w:val="0"/>
          <w:strike w:val="0"/>
        </w:rPr>
        <w:t xml:space="preserve">, </w:t>
      </w:r>
      <w:r>
        <w:rPr>
          <w:b/>
          <w:i w:val="0"/>
          <w:strike w:val="0"/>
        </w:rPr>
        <w:t>S-07</w:t>
      </w:r>
      <w:r>
        <w:rPr>
          <w:b w:val="0"/>
          <w:i w:val="0"/>
          <w:strike w:val="0"/>
        </w:rPr>
        <w:t>); a conclusion that contradicts a companion document (</w:t>
      </w:r>
      <w:r>
        <w:rPr>
          <w:b/>
          <w:i w:val="0"/>
          <w:strike w:val="0"/>
        </w:rPr>
        <w:t>B-02</w:t>
      </w:r>
      <w:r>
        <w:rPr>
          <w:b w:val="0"/>
          <w:i w:val="0"/>
          <w:strike w:val="0"/>
        </w:rPr>
        <w:t>); a statement of law (</w:t>
      </w:r>
      <w:r>
        <w:rPr>
          <w:b/>
          <w:i w:val="0"/>
          <w:strike w:val="0"/>
        </w:rPr>
        <w:t>B-01</w:t>
      </w:r>
      <w:r>
        <w:rPr>
          <w:b w:val="0"/>
          <w:i w:val="0"/>
          <w:strike w:val="0"/>
        </w:rPr>
        <w:t>); a stale version number or a stale fiscal-year window (</w:t>
      </w:r>
      <w:r>
        <w:rPr>
          <w:b/>
          <w:i w:val="0"/>
          <w:strike w:val="0"/>
        </w:rPr>
        <w:t>S-02</w:t>
      </w:r>
      <w:r>
        <w:rPr>
          <w:b w:val="0"/>
          <w:i w:val="0"/>
          <w:strike w:val="0"/>
        </w:rPr>
        <w:t xml:space="preserve">, </w:t>
      </w:r>
      <w:r>
        <w:rPr>
          <w:b/>
          <w:i w:val="0"/>
          <w:strike w:val="0"/>
        </w:rPr>
        <w:t>S-08</w:t>
      </w:r>
      <w:r>
        <w:rPr>
          <w:b w:val="0"/>
          <w:i w:val="0"/>
          <w:strike w:val="0"/>
        </w:rPr>
        <w:t>); a cross-reference pointing at the wrong step (</w:t>
      </w:r>
      <w:r>
        <w:rPr>
          <w:b/>
          <w:i w:val="0"/>
          <w:strike w:val="0"/>
        </w:rPr>
        <w:t>M-01</w:t>
      </w:r>
      <w:r>
        <w:rPr>
          <w:b w:val="0"/>
          <w:i w:val="0"/>
          <w:strike w:val="0"/>
        </w:rPr>
        <w:t>); a claim about a panel's contents that the panel does not support (</w:t>
      </w:r>
      <w:r>
        <w:rPr>
          <w:b/>
          <w:i w:val="0"/>
          <w:strike w:val="0"/>
        </w:rPr>
        <w:t>M-08</w:t>
      </w:r>
      <w:r>
        <w:rPr>
          <w:b w:val="0"/>
          <w:i w:val="0"/>
          <w:strike w:val="0"/>
        </w:rPr>
        <w:t>); an element lost to the print stylesheet (</w:t>
      </w:r>
      <w:r>
        <w:rPr>
          <w:b/>
          <w:i w:val="0"/>
          <w:strike w:val="0"/>
        </w:rPr>
        <w:t>S-01</w:t>
      </w:r>
      <w:r>
        <w:rPr>
          <w:b w:val="0"/>
          <w:i w:val="0"/>
          <w:strike w:val="0"/>
        </w:rPr>
        <w:t>); or a qualifier that exists on the panel and was dropped from the narration (</w:t>
      </w:r>
      <w:r>
        <w:rPr>
          <w:b/>
          <w:i w:val="0"/>
          <w:strike w:val="0"/>
        </w:rPr>
        <w:t>B-03</w:t>
      </w:r>
      <w:r>
        <w:rPr>
          <w:b w:val="0"/>
          <w:i w:val="0"/>
          <w:strike w:val="0"/>
        </w:rPr>
        <w:t xml:space="preserve">, </w:t>
      </w:r>
      <w:r>
        <w:rPr>
          <w:b/>
          <w:i w:val="0"/>
          <w:strike w:val="0"/>
        </w:rPr>
        <w:t>S-05</w:t>
      </w:r>
      <w:r>
        <w:rPr>
          <w:b w:val="0"/>
          <w:i w:val="0"/>
          <w:strike w:val="0"/>
        </w:rPr>
        <w:t xml:space="preserve">, </w:t>
      </w:r>
      <w:r>
        <w:rPr>
          <w:b/>
          <w:i w:val="0"/>
          <w:strike w:val="0"/>
        </w:rPr>
        <w:t>M-02</w:t>
      </w:r>
      <w:r>
        <w:rPr>
          <w:b w:val="0"/>
          <w:i w:val="0"/>
          <w:strike w:val="0"/>
        </w:rPr>
        <w:t>) — which is this artifact's characteristic failure and the one no token assertion can reach. A test that would catch the last class is cheap and worth having: for each figure on a list of qualifier-bound figures, assert that the step quoting it also contains the required qualifier string.</w:t>
      </w:r>
    </w:p>
    <w:p>
      <w:pPr>
        <w:jc w:val="center"/>
      </w:pPr>
      <w:r>
        <w:rPr>
          <w:color w:val="909090"/>
          <w:sz w:val="18"/>
        </w:rPr>
        <w:t>* * *</w:t>
      </w:r>
    </w:p>
    <w:p>
      <w:pPr>
        <w:pStyle w:val="Heading2"/>
      </w:pPr>
      <w:r>
        <w:rPr>
          <w:b w:val="0"/>
          <w:i w:val="0"/>
          <w:strike w:val="0"/>
        </w:rPr>
        <w:t>7 · Disposition</w:t>
      </w:r>
    </w:p>
    <w:p>
      <w:r>
        <w:rPr>
          <w:b/>
          <w:i w:val="0"/>
          <w:strike w:val="0"/>
        </w:rPr>
        <w:t>Three blockers, eight material, eight moderate, eight minor.</w:t>
      </w:r>
    </w:p>
    <w:p>
      <w:r>
        <w:rPr>
          <w:b/>
          <w:i w:val="0"/>
          <w:strike w:val="0"/>
        </w:rPr>
        <w:t>The single most serious finding is B-01</w:t>
      </w:r>
      <w:r>
        <w:rPr>
          <w:b w:val="0"/>
          <w:i w:val="0"/>
          <w:strike w:val="0"/>
        </w:rPr>
        <w:t xml:space="preserve">, because it is the only one that is wrong about the world rather than wrong about emphasis. The document's statement of the gap the bill fills — in paragraph three, in the one sentence every reader reads, and in the direction that helps the bill — says a veteran </w:t>
      </w:r>
      <w:r>
        <w:rPr>
          <w:b w:val="0"/>
          <w:i/>
          <w:strike w:val="0"/>
        </w:rPr>
        <w:t>cannot buy</w:t>
      </w:r>
      <w:r>
        <w:rPr>
          <w:b w:val="0"/>
          <w:i w:val="0"/>
          <w:strike w:val="0"/>
        </w:rPr>
        <w:t xml:space="preserve"> her military service after twenty-four months. She can. What she loses is the price. The proponents' own legal memorandum says so in a table, and a VRS reviewer will reach that table before lunch. The fix is five words and a corrected pinpoint.</w:t>
      </w:r>
    </w:p>
    <w:p>
      <w:r>
        <w:rPr>
          <w:b/>
          <w:i w:val="0"/>
          <w:strike w:val="0"/>
        </w:rPr>
        <w:t>B-02 is the one that would lose a hearing.</w:t>
      </w:r>
      <w:r>
        <w:rPr>
          <w:b w:val="0"/>
          <w:i w:val="0"/>
          <w:strike w:val="0"/>
        </w:rPr>
        <w:t xml:space="preserve"> The sentence the document calls the strongest honest claim available is a sentence the package's own fiscal model says is falsified by a case the document quotes two paragraphs earlier. It is then repeated in the five things the reader is asked to remember. Nothing about this is hidden — both documents are in the package and both say what they say. That is why it is dangerous: an opponent does not have to find anything, only to put two pages side by side.</w:t>
      </w:r>
    </w:p>
    <w:p>
      <w:r>
        <w:rPr>
          <w:b/>
          <w:i w:val="0"/>
          <w:strike w:val="0"/>
        </w:rPr>
        <w:t>B-03 is the one that produces a wrong number in someone else's mouth.</w:t>
      </w:r>
      <w:r>
        <w:rPr>
          <w:b w:val="0"/>
          <w:i w:val="0"/>
          <w:strike w:val="0"/>
        </w:rPr>
        <w:t xml:space="preserve"> $341,065 appears once, on page 4 of the printed artifact, with every component of a ten-fold error available and the one preventing sentence removed — a sentence the dashboard already prints.</w:t>
      </w:r>
    </w:p>
    <w:p>
      <w:r>
        <w:rPr>
          <w:b w:val="0"/>
          <w:i w:val="0"/>
          <w:strike w:val="0"/>
        </w:rPr>
        <w:t xml:space="preserve">Thirteen of the twenty-seven findings are a single recurring defect in two forms: a qualifier that lives on a panel and not in the narration, or a figure that travels further than its caveat. The document is unusually honest about its own weaknesses — step 3's φ disclosure and step 7's COLA disclosure are better than anything I expected to find, and I would not change a word of either. The problem is placement and transit, not candour. Everything in section 2 is fixable in prose, inside </w:t>
      </w:r>
      <w:r>
        <w:rPr>
          <w:rFonts w:ascii="Consolas" w:hAnsi="Consolas"/>
          <w:b w:val="0"/>
          <w:i w:val="0"/>
          <w:strike w:val="0"/>
          <w:color w:val="303030"/>
          <w:sz w:val="19"/>
        </w:rPr>
        <w:t>js/walkthrough.js</w:t>
      </w:r>
      <w:r>
        <w:rPr>
          <w:b w:val="0"/>
          <w:i w:val="0"/>
          <w:strike w:val="0"/>
        </w:rPr>
        <w:t>, with no change to the engine and no reopening of any settled policy decision. Two findings (</w:t>
      </w:r>
      <w:r>
        <w:rPr>
          <w:b/>
          <w:i w:val="0"/>
          <w:strike w:val="0"/>
        </w:rPr>
        <w:t>M-07</w:t>
      </w:r>
      <w:r>
        <w:rPr>
          <w:b w:val="0"/>
          <w:i w:val="0"/>
          <w:strike w:val="0"/>
        </w:rPr>
        <w:t xml:space="preserve">, </w:t>
      </w:r>
      <w:r>
        <w:rPr>
          <w:b/>
          <w:i w:val="0"/>
          <w:strike w:val="0"/>
        </w:rPr>
        <w:t>M-08</w:t>
      </w:r>
      <w:r>
        <w:rPr>
          <w:b w:val="0"/>
          <w:i w:val="0"/>
          <w:strike w:val="0"/>
        </w:rPr>
        <w:t xml:space="preserve">) touch </w:t>
      </w:r>
      <w:r>
        <w:rPr>
          <w:rFonts w:ascii="Consolas" w:hAnsi="Consolas"/>
          <w:b w:val="0"/>
          <w:i w:val="0"/>
          <w:strike w:val="0"/>
          <w:color w:val="303030"/>
          <w:sz w:val="19"/>
        </w:rPr>
        <w:t>js/ui.js</w:t>
      </w:r>
      <w:r>
        <w:rPr>
          <w:b w:val="0"/>
          <w:i w:val="0"/>
          <w:strike w:val="0"/>
        </w:rPr>
        <w:t xml:space="preserve"> and belong to Drafting rather than to this document.</w:t>
      </w:r>
    </w:p>
    <w:p>
      <w:r>
        <w:rPr>
          <w:b/>
          <w:i w:val="0"/>
          <w:strike w:val="0"/>
        </w:rPr>
        <w:t>For the memo's risk section, explicitly:</w:t>
      </w:r>
      <w:r>
        <w:rPr>
          <w:b w:val="0"/>
          <w:i w:val="0"/>
          <w:strike w:val="0"/>
        </w:rPr>
        <w:t xml:space="preserve"> </w:t>
      </w:r>
      <w:r>
        <w:rPr>
          <w:b/>
          <w:i w:val="0"/>
          <w:strike w:val="0"/>
        </w:rPr>
        <w:t>B-01</w:t>
      </w:r>
      <w:r>
        <w:rPr>
          <w:b w:val="0"/>
          <w:i w:val="0"/>
          <w:strike w:val="0"/>
        </w:rPr>
        <w:t xml:space="preserve">, </w:t>
      </w:r>
      <w:r>
        <w:rPr>
          <w:b/>
          <w:i w:val="0"/>
          <w:strike w:val="0"/>
        </w:rPr>
        <w:t>B-02</w:t>
      </w:r>
      <w:r>
        <w:rPr>
          <w:b w:val="0"/>
          <w:i w:val="0"/>
          <w:strike w:val="0"/>
        </w:rPr>
        <w:t xml:space="preserve">, </w:t>
      </w:r>
      <w:r>
        <w:rPr>
          <w:b/>
          <w:i w:val="0"/>
          <w:strike w:val="0"/>
        </w:rPr>
        <w:t>B-03</w:t>
      </w:r>
      <w:r>
        <w:rPr>
          <w:b w:val="0"/>
          <w:i w:val="0"/>
          <w:strike w:val="0"/>
        </w:rPr>
        <w:t xml:space="preserve">, </w:t>
      </w:r>
      <w:r>
        <w:rPr>
          <w:b/>
          <w:i w:val="0"/>
          <w:strike w:val="0"/>
        </w:rPr>
        <w:t>S-04</w:t>
      </w:r>
      <w:r>
        <w:rPr>
          <w:b w:val="0"/>
          <w:i w:val="0"/>
          <w:strike w:val="0"/>
        </w:rPr>
        <w:t xml:space="preserve"> and </w:t>
      </w:r>
      <w:r>
        <w:rPr>
          <w:b/>
          <w:i w:val="0"/>
          <w:strike w:val="0"/>
        </w:rPr>
        <w:t>S-08</w:t>
      </w:r>
      <w:r>
        <w:rPr>
          <w:b w:val="0"/>
          <w:i w:val="0"/>
          <w:strike w:val="0"/>
        </w:rPr>
        <w:t xml:space="preserve">. The first three because they are what an opponent uses; </w:t>
      </w:r>
      <w:r>
        <w:rPr>
          <w:b/>
          <w:i w:val="0"/>
          <w:strike w:val="0"/>
        </w:rPr>
        <w:t>S-04</w:t>
      </w:r>
      <w:r>
        <w:rPr>
          <w:b w:val="0"/>
          <w:i w:val="0"/>
          <w:strike w:val="0"/>
        </w:rPr>
        <w:t xml:space="preserve"> because the bill discloses three member detriments that the stakeholder-facing document does not; </w:t>
      </w:r>
      <w:r>
        <w:rPr>
          <w:b/>
          <w:i w:val="0"/>
          <w:strike w:val="0"/>
        </w:rPr>
        <w:t>S-08</w:t>
      </w:r>
      <w:r>
        <w:rPr>
          <w:b w:val="0"/>
          <w:i w:val="0"/>
          <w:strike w:val="0"/>
        </w:rPr>
        <w:t xml:space="preserve"> because an actuary will find the fiscal-year window and it should be disclosed rather than discovered.</w:t>
      </w:r>
    </w:p>
    <w:p>
      <w:r>
        <w:rPr>
          <w:b/>
          <w:i w:val="0"/>
          <w:strike w:val="0"/>
        </w:rPr>
        <w:t>This document should not go outside until B-01, B-02 and B-03 are fixed.</w:t>
      </w:r>
      <w:r>
        <w:rPr>
          <w:b w:val="0"/>
          <w:i w:val="0"/>
          <w:strike w:val="0"/>
        </w:rPr>
        <w:t xml:space="preserve"> That is a recommendation, not a hold — whether to proceed is the Policy Director's call, and I hold none of this work.</w:t>
      </w:r>
    </w:p>
    <w:p>
      <w:pPr>
        <w:jc w:val="center"/>
      </w:pPr>
      <w:r>
        <w:rPr>
          <w:color w:val="909090"/>
          <w:sz w:val="18"/>
        </w:rPr>
        <w:t>* * *</w:t>
      </w:r>
    </w:p>
    <w:p>
      <w:r>
        <w:rPr>
          <w:b/>
          <w:i w:val="0"/>
          <w:strike w:val="0"/>
        </w:rPr>
        <w:t>Prepared by Policy Development Team using legal, policy, and financial analysis tools, pending review by veterans' legal counsel.</w:t>
      </w:r>
    </w:p>
    <w:p>
      <w:r>
        <w:rPr>
          <w:b w:val="0"/>
          <w:i/>
          <w:strike w:val="0"/>
        </w:rPr>
        <w:t>Internal risk analysis. Not legal advice, not an actuarial opinion, and not a clearance by counsel. Pre-decisional and internal.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