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Military Service Retirement Bridge — Legislative Package</w:t>
      </w:r>
    </w:p>
    <w:p>
      <w:r>
        <w:rPr>
          <w:b/>
          <w:i w:val="0"/>
          <w:strike w:val="0"/>
        </w:rPr>
        <w:t>Issue:</w:t>
      </w:r>
      <w:r>
        <w:rPr>
          <w:b w:val="0"/>
          <w:i w:val="0"/>
          <w:strike w:val="0"/>
        </w:rPr>
        <w:t xml:space="preserve"> MOO-257 · </w:t>
      </w:r>
      <w:r>
        <w:rPr>
          <w:b/>
          <w:i w:val="0"/>
          <w:strike w:val="0"/>
        </w:rPr>
        <w:t>Package version 1.6 — Walk-Through Review Closeout, October 20, 2026</w:t>
      </w:r>
      <w:r>
        <w:rPr>
          <w:b w:val="0"/>
          <w:i w:val="0"/>
          <w:strike w:val="0"/>
        </w:rPr>
        <w:t xml:space="preserve"> · operative bill text at </w:t>
      </w:r>
      <w:r>
        <w:rPr>
          <w:b/>
          <w:i w:val="0"/>
          <w:strike w:val="0"/>
        </w:rPr>
        <w:t>version 1.4</w:t>
      </w:r>
    </w:p>
    <w:p>
      <w:r>
        <w:rPr>
          <w:b/>
          <w:i w:val="0"/>
          <w:strike w:val="0"/>
        </w:rPr>
        <w:t>Prepared by Policy Development Team using legal, policy, and financial analysis tools, pending review by veterans' legal counsel.</w:t>
      </w:r>
    </w:p>
    <w:p>
      <w:pPr>
        <w:spacing w:after="80"/>
        <w:ind w:left="480"/>
      </w:pPr>
      <w:r>
        <w:rPr>
          <w:b/>
          <w:i w:val="0"/>
          <w:strike w:val="0"/>
          <w:sz w:val="20"/>
        </w:rPr>
        <w:t>Read this first.</w:t>
      </w:r>
      <w:r>
        <w:rPr>
          <w:b w:val="0"/>
          <w:i w:val="0"/>
          <w:strike w:val="0"/>
          <w:sz w:val="20"/>
        </w:rPr>
        <w:t xml:space="preserve"> </w:t>
      </w:r>
      <w:r>
        <w:rPr>
          <w:b/>
          <w:i w:val="0"/>
          <w:strike w:val="0"/>
          <w:sz w:val="20"/>
        </w:rPr>
        <w:t>All principal policy questions are settled.</w:t>
      </w:r>
      <w:r>
        <w:rPr>
          <w:b w:val="0"/>
          <w:i w:val="0"/>
          <w:strike w:val="0"/>
          <w:sz w:val="20"/>
        </w:rPr>
        <w:t xml:space="preserve"> Four decisions were resolved on October 19, 2026 and the three blockers from internal adversarial review were resolved on October 20; version 1.2 drafts all seven. The October 20 decisions were: </w:t>
      </w:r>
      <w:r>
        <w:rPr>
          <w:b/>
          <w:i w:val="0"/>
          <w:strike w:val="0"/>
          <w:sz w:val="20"/>
        </w:rPr>
        <w:t>require member-in-service status at retirement</w:t>
      </w:r>
      <w:r>
        <w:rPr>
          <w:b w:val="0"/>
          <w:i w:val="0"/>
          <w:strike w:val="0"/>
          <w:sz w:val="20"/>
        </w:rPr>
        <w:t xml:space="preserve"> (closing a buy-resign-defer path worth roughly 15 years of acceleration rather than four); </w:t>
      </w:r>
      <w:r>
        <w:rPr>
          <w:b/>
          <w:i w:val="0"/>
          <w:strike w:val="0"/>
          <w:sz w:val="20"/>
        </w:rPr>
        <w:t>accept, price and disclose</w:t>
      </w:r>
      <w:r>
        <w:rPr>
          <w:b w:val="0"/>
          <w:i w:val="0"/>
          <w:strike w:val="0"/>
          <w:sz w:val="20"/>
        </w:rPr>
        <w:t xml:space="preserve"> the earlier commencement of the health insurance credit and COLA — both follow the retirement date, so preventing earlier commencement would require separate statutory changes outside the bridge; and </w:t>
      </w:r>
      <w:r>
        <w:rPr>
          <w:b/>
          <w:i w:val="0"/>
          <w:strike w:val="0"/>
          <w:sz w:val="20"/>
        </w:rPr>
        <w:t>exclude qualifying § 51.1-153 B 4 public-safety employees who first entered the VRS-administered retirement system on or after the January 1, 2014 Hybrid transition</w:t>
      </w:r>
      <w:r>
        <w:rPr>
          <w:b w:val="0"/>
          <w:i w:val="0"/>
          <w:strike w:val="0"/>
          <w:sz w:val="20"/>
        </w:rPr>
        <w:t xml:space="preserve"> — narrower than the policy-development team recommended, and better targeted, since it removes the one population that was permanent and growing. Two claims in the version 1.0 briefs were wrong and were corrected in version 1.1: the health insurance credit and COLA are </w:t>
      </w:r>
      <w:r>
        <w:rPr>
          <w:b/>
          <w:i w:val="0"/>
          <w:strike w:val="0"/>
          <w:sz w:val="20"/>
        </w:rPr>
        <w:t>not</w:t>
      </w:r>
      <w:r>
        <w:rPr>
          <w:b w:val="0"/>
          <w:i w:val="0"/>
          <w:strike w:val="0"/>
          <w:sz w:val="20"/>
        </w:rPr>
        <w:t xml:space="preserve"> protected, and hazardous-duty members are </w:t>
      </w:r>
      <w:r>
        <w:rPr>
          <w:b/>
          <w:i w:val="0"/>
          <w:strike w:val="0"/>
          <w:sz w:val="20"/>
        </w:rPr>
        <w:t>not</w:t>
      </w:r>
      <w:r>
        <w:rPr>
          <w:b w:val="0"/>
          <w:i w:val="0"/>
          <w:strike w:val="0"/>
          <w:sz w:val="20"/>
        </w:rPr>
        <w:t xml:space="preserve"> uniformly excluded.</w:t>
      </w:r>
    </w:p>
    <w:p>
      <w:pPr>
        <w:spacing w:after="80"/>
        <w:ind w:left="480"/>
      </w:pPr>
      <w:r>
        <w:rPr>
          <w:b/>
          <w:i w:val="0"/>
          <w:strike w:val="0"/>
          <w:sz w:val="20"/>
        </w:rPr>
        <w:t>Independent review has now been completed, and it changed the bill.</w:t>
      </w:r>
      <w:r>
        <w:rPr>
          <w:b w:val="0"/>
          <w:i w:val="0"/>
          <w:strike w:val="0"/>
          <w:sz w:val="20"/>
        </w:rPr>
        <w:t xml:space="preserve"> Three reviewers who did not draft this package reviewed the bill text (MOO-264), the Scenario Explorer (MOO-265) and the political case (MOO-266) on October 20, 2026, producing </w:t>
      </w:r>
      <w:r>
        <w:rPr>
          <w:b/>
          <w:i w:val="0"/>
          <w:strike w:val="0"/>
          <w:sz w:val="20"/>
        </w:rPr>
        <w:t>79 findings and 9 blockers</w:t>
      </w:r>
      <w:r>
        <w:rPr>
          <w:b w:val="0"/>
          <w:i w:val="0"/>
          <w:strike w:val="0"/>
          <w:sz w:val="20"/>
        </w:rPr>
        <w:t xml:space="preserve">. Version 1.3 of the operative text fixes the three bill blockers — all three of which were in the version 1.2 additions. See the </w:t>
      </w:r>
      <w:r>
        <w:rPr>
          <w:b/>
          <w:i w:val="0"/>
          <w:strike w:val="0"/>
          <w:sz w:val="20"/>
        </w:rPr>
        <w:t>version 1.4 change log</w:t>
      </w:r>
      <w:r>
        <w:rPr>
          <w:b w:val="0"/>
          <w:i w:val="0"/>
          <w:strike w:val="0"/>
          <w:sz w:val="20"/>
        </w:rPr>
        <w:t xml:space="preserve"> below. Two statements the package had been making to money committees are </w:t>
      </w:r>
      <w:r>
        <w:rPr>
          <w:b/>
          <w:i w:val="0"/>
          <w:strike w:val="0"/>
          <w:sz w:val="20"/>
        </w:rPr>
        <w:t>withdrawn</w:t>
      </w:r>
      <w:r>
        <w:rPr>
          <w:b w:val="0"/>
          <w:i w:val="0"/>
          <w:strike w:val="0"/>
          <w:sz w:val="20"/>
        </w:rPr>
        <w:t xml:space="preserve">: that the beneficiary class is "closed and shrinking," and the quotation of 10 U.S.C. § 12736. </w:t>
      </w:r>
      <w:r>
        <w:rPr>
          <w:b/>
          <w:i w:val="0"/>
          <w:strike w:val="0"/>
          <w:sz w:val="20"/>
        </w:rPr>
        <w:t>Explorer defect remediation is complete (MOO-267): all 26 MOO-265 findings and all 9 explorer-facing MOO-266 findings are fixed.</w:t>
      </w:r>
      <w:r>
        <w:rPr>
          <w:b w:val="0"/>
          <w:i w:val="0"/>
          <w:strike w:val="0"/>
          <w:sz w:val="20"/>
        </w:rPr>
        <w:t xml:space="preserve"> A fourth independent review then covered the </w:t>
      </w:r>
      <w:r>
        <w:rPr>
          <w:b/>
          <w:i w:val="0"/>
          <w:strike w:val="0"/>
          <w:sz w:val="20"/>
        </w:rPr>
        <w:t>guided walk-through</w:t>
      </w:r>
      <w:r>
        <w:rPr>
          <w:b w:val="0"/>
          <w:i w:val="0"/>
          <w:strike w:val="0"/>
          <w:sz w:val="20"/>
        </w:rPr>
        <w:t xml:space="preserve"> (MOO-271) — 27 findings, 3 blockers, 23 of them framing defects — and </w:t>
      </w:r>
      <w:r>
        <w:rPr>
          <w:b/>
          <w:i w:val="0"/>
          <w:strike w:val="0"/>
          <w:sz w:val="20"/>
        </w:rPr>
        <w:t>all 27 are closed in package version 1.6</w:t>
      </w:r>
      <w:r>
        <w:rPr>
          <w:b w:val="0"/>
          <w:i w:val="0"/>
          <w:strike w:val="0"/>
          <w:sz w:val="20"/>
        </w:rPr>
        <w:t>. That review found no arithmetic error in any model figure; what it found was qualifiers that lived on a dashboard panel and had been dropped from the narration that travels.</w:t>
      </w:r>
    </w:p>
    <w:p>
      <w:pPr>
        <w:spacing w:after="80"/>
        <w:ind w:left="480"/>
      </w:pPr>
      <w:r>
        <w:rPr>
          <w:b/>
          <w:i w:val="0"/>
          <w:strike w:val="0"/>
          <w:sz w:val="20"/>
        </w:rPr>
        <w:t>One narrow policy question remains unresolved, and it is narrower than it was:</w:t>
      </w:r>
      <w:r>
        <w:rPr>
          <w:b w:val="0"/>
          <w:i w:val="0"/>
          <w:strike w:val="0"/>
          <w:sz w:val="20"/>
        </w:rPr>
        <w:t xml:space="preserve"> whether a member on an </w:t>
      </w:r>
      <w:r>
        <w:rPr>
          <w:b/>
          <w:i w:val="0"/>
          <w:strike w:val="0"/>
          <w:sz w:val="20"/>
        </w:rPr>
        <w:t>approved leave of absence without pay</w:t>
      </w:r>
      <w:r>
        <w:rPr>
          <w:b w:val="0"/>
          <w:i w:val="0"/>
          <w:strike w:val="0"/>
          <w:sz w:val="20"/>
        </w:rPr>
        <w:t xml:space="preserve"> counts as remaining in service under subdivision E 3. The bill currently says yes — deliberately, because version 1.3's continuity requirement would otherwise have created a new trap — and reversing it is a one-clause change. The </w:t>
      </w:r>
      <w:r>
        <w:rPr>
          <w:b/>
          <w:i w:val="0"/>
          <w:strike w:val="0"/>
          <w:sz w:val="20"/>
        </w:rPr>
        <w:t>long-term-disability half is withdrawn as a policy question</w:t>
      </w:r>
      <w:r>
        <w:rPr>
          <w:b w:val="0"/>
          <w:i w:val="0"/>
          <w:strike w:val="0"/>
          <w:sz w:val="20"/>
        </w:rPr>
        <w:t>: §§ 51.1-1110 H, 51.1-1117 C and 51.1-1117 A appear to answer it already, so it is now a one-line VRS confirmation item. See drafting note 10 of the bill.</w:t>
      </w:r>
    </w:p>
    <w:p>
      <w:pPr>
        <w:spacing w:after="80"/>
        <w:ind w:left="480"/>
      </w:pPr>
      <w:r>
        <w:rPr>
          <w:b/>
          <w:i w:val="0"/>
          <w:strike w:val="0"/>
          <w:sz w:val="20"/>
        </w:rPr>
        <w:t>The bill is not cost neutral</w:t>
      </w:r>
      <w:r>
        <w:rPr>
          <w:b w:val="0"/>
          <w:i w:val="0"/>
          <w:strike w:val="0"/>
          <w:sz w:val="20"/>
        </w:rPr>
        <w:t xml:space="preserve">, and the package says so deliberately. </w:t>
      </w:r>
      <w:r>
        <w:rPr>
          <w:b/>
          <w:i w:val="0"/>
          <w:strike w:val="0"/>
          <w:sz w:val="20"/>
        </w:rPr>
        <w:t>$341,065</w:t>
      </w:r>
      <w:r>
        <w:rPr>
          <w:b w:val="0"/>
          <w:i w:val="0"/>
          <w:strike w:val="0"/>
          <w:sz w:val="20"/>
        </w:rPr>
        <w:t xml:space="preserve"> is the </w:t>
      </w:r>
      <w:r>
        <w:rPr>
          <w:b/>
          <w:i w:val="0"/>
          <w:strike w:val="0"/>
          <w:sz w:val="20"/>
        </w:rPr>
        <w:t>modeled net value above the member purchase price in the single most favorable published profile</w:t>
      </w:r>
      <w:r>
        <w:rPr>
          <w:b w:val="0"/>
          <w:i w:val="0"/>
          <w:strike w:val="0"/>
          <w:sz w:val="20"/>
        </w:rPr>
        <w:t xml:space="preserve"> — a Plan 1 state employee retiring at age 50 with 26 years at $85,000, measured against the counterfactual that she retires on </w:t>
      </w:r>
      <w:r>
        <w:rPr>
          <w:b/>
          <w:i w:val="0"/>
          <w:strike w:val="0"/>
          <w:sz w:val="20"/>
        </w:rPr>
        <w:t>the same date with the same service</w:t>
      </w:r>
      <w:r>
        <w:rPr>
          <w:b w:val="0"/>
          <w:i w:val="0"/>
          <w:strike w:val="0"/>
          <w:sz w:val="20"/>
        </w:rPr>
        <w:t xml:space="preserve"> under the § 51.1-153 D reduced allowance. It is </w:t>
      </w:r>
      <w:r>
        <w:rPr>
          <w:b/>
          <w:i w:val="0"/>
          <w:strike w:val="0"/>
          <w:sz w:val="20"/>
        </w:rPr>
        <w:t>not</w:t>
      </w:r>
      <w:r>
        <w:rPr>
          <w:b w:val="0"/>
          <w:i w:val="0"/>
          <w:strike w:val="0"/>
          <w:sz w:val="20"/>
        </w:rPr>
        <w:t xml:space="preserve"> a cost per veteran and must not be multiplied by a participant count; a member who would otherwise have worked on to unreduced eligibility </w:t>
      </w:r>
      <w:r>
        <w:rPr>
          <w:b/>
          <w:i w:val="0"/>
          <w:strike w:val="0"/>
          <w:sz w:val="20"/>
        </w:rPr>
        <w:t>overpays</w:t>
      </w:r>
      <w:r>
        <w:rPr>
          <w:b w:val="0"/>
          <w:i w:val="0"/>
          <w:strike w:val="0"/>
          <w:sz w:val="20"/>
        </w:rPr>
        <w:t xml:space="preserve"> in every modeled work-to-eligibility scenario. </w:t>
      </w:r>
      <w:r>
        <w:rPr>
          <w:b/>
          <w:i w:val="0"/>
          <w:strike w:val="0"/>
          <w:sz w:val="20"/>
        </w:rPr>
        <w:t>Two corrections, October 20, 2026:</w:t>
      </w:r>
      <w:r>
        <w:rPr>
          <w:b w:val="0"/>
          <w:i w:val="0"/>
          <w:strike w:val="0"/>
          <w:sz w:val="20"/>
        </w:rPr>
        <w:t xml:space="preserve"> this figure was previously labeled a "frozen-service" scenario, which it is not — "frozen service" is the deferred-member concept the model expressly does </w:t>
      </w:r>
      <w:r>
        <w:rPr>
          <w:b/>
          <w:i w:val="0"/>
          <w:strike w:val="0"/>
          <w:sz w:val="20"/>
        </w:rPr>
        <w:t>not</w:t>
      </w:r>
      <w:r>
        <w:rPr>
          <w:b w:val="0"/>
          <w:i w:val="0"/>
          <w:strike w:val="0"/>
          <w:sz w:val="20"/>
        </w:rPr>
        <w:t xml:space="preserve"> price. And it is the highest of the </w:t>
      </w:r>
      <w:r>
        <w:rPr>
          <w:b/>
          <w:i w:val="0"/>
          <w:strike w:val="0"/>
          <w:sz w:val="20"/>
        </w:rPr>
        <w:t>seven published profiles</w:t>
      </w:r>
      <w:r>
        <w:rPr>
          <w:b w:val="0"/>
          <w:i w:val="0"/>
          <w:strike w:val="0"/>
          <w:sz w:val="20"/>
        </w:rPr>
        <w:t xml:space="preserve">, not a maximum over the model: the underlying 1,025-cell exposure grid reaches approximately </w:t>
      </w:r>
      <w:r>
        <w:rPr>
          <w:b/>
          <w:i w:val="0"/>
          <w:strike w:val="0"/>
          <w:sz w:val="20"/>
        </w:rPr>
        <w:t>$419,000</w:t>
      </w:r>
      <w:r>
        <w:rPr>
          <w:b w:val="0"/>
          <w:i w:val="0"/>
          <w:strike w:val="0"/>
          <w:sz w:val="20"/>
        </w:rPr>
        <w:t xml:space="preserve"> in its most favorable single cell, and exceeds $341,065 in all ten projection years. The combined employer contribution rate impact is </w:t>
      </w:r>
      <w:r>
        <w:rPr>
          <w:b/>
          <w:i w:val="0"/>
          <w:strike w:val="0"/>
          <w:sz w:val="20"/>
        </w:rPr>
        <w:t>0.19 basis points</w:t>
      </w:r>
      <w:r>
        <w:rPr>
          <w:b w:val="0"/>
          <w:i w:val="0"/>
          <w:strike w:val="0"/>
          <w:sz w:val="20"/>
        </w:rPr>
        <w:t xml:space="preserve">, which is the </w:t>
      </w:r>
      <w:r>
        <w:rPr>
          <w:b/>
          <w:i w:val="0"/>
          <w:strike w:val="0"/>
          <w:sz w:val="20"/>
        </w:rPr>
        <w:t>modeled retirement-plan employer contribution impact and excludes the separately funded health insurance credit and COLA effects, including unquantified COLA exposure</w:t>
      </w:r>
      <w:r>
        <w:rPr>
          <w:b w:val="0"/>
          <w:i w:val="0"/>
          <w:strike w:val="0"/>
          <w:sz w:val="20"/>
        </w:rPr>
        <w:t xml:space="preserve">. </w:t>
      </w:r>
      <w:r>
        <w:rPr>
          <w:b/>
          <w:i w:val="0"/>
          <w:strike w:val="0"/>
          <w:sz w:val="20"/>
        </w:rPr>
        <w:t>What still stands between this and a patron is not JLCVSO's to decide</w:t>
      </w:r>
      <w:r>
        <w:rPr>
          <w:b w:val="0"/>
          <w:i w:val="0"/>
          <w:strike w:val="0"/>
          <w:sz w:val="20"/>
        </w:rPr>
        <w:t xml:space="preserve"> — the VRS Board statement under § 30-19.1:7 has not been requested, the federal tax questions have not gone to counsel, and the cost model should be re-run against the bill as introduced.</w:t>
      </w:r>
    </w:p>
    <w:p>
      <w:r>
        <w:rPr>
          <w:b/>
          <w:i w:val="0"/>
          <w:strike w:val="0"/>
        </w:rPr>
        <w:t>Target:</w:t>
      </w:r>
      <w:r>
        <w:rPr>
          <w:b w:val="0"/>
          <w:i w:val="0"/>
          <w:strike w:val="0"/>
        </w:rPr>
        <w:t xml:space="preserve"> 2028 Virginia General Assembly (the Council's 2027 gates closed in June 2026 — see the two-page brief, §5) · </w:t>
      </w:r>
      <w:r>
        <w:rPr>
          <w:b/>
          <w:i w:val="0"/>
          <w:strike w:val="0"/>
        </w:rPr>
        <w:t>Client:</w:t>
      </w:r>
      <w:r>
        <w:rPr>
          <w:b w:val="0"/>
          <w:i w:val="0"/>
          <w:strike w:val="0"/>
        </w:rPr>
        <w:t xml:space="preserve"> Joint Leadership Council of Veterans Service Organizations (JLCVSO)</w:t>
      </w:r>
    </w:p>
    <w:p>
      <w:r>
        <w:rPr>
          <w:b/>
          <w:i w:val="0"/>
          <w:strike w:val="0"/>
        </w:rPr>
        <w:t>Format:</w:t>
      </w:r>
      <w:r>
        <w:rPr>
          <w:b w:val="0"/>
          <w:i w:val="0"/>
          <w:strike w:val="0"/>
        </w:rPr>
        <w:t xml:space="preserve"> every document is provided as an editable Microsoft Word file (</w:t>
      </w:r>
      <w:r>
        <w:rPr>
          <w:rFonts w:ascii="Consolas" w:hAnsi="Consolas"/>
          <w:b w:val="0"/>
          <w:i w:val="0"/>
          <w:strike w:val="0"/>
          <w:color w:val="303030"/>
          <w:sz w:val="19"/>
        </w:rPr>
        <w:t>.docx</w:t>
      </w:r>
      <w:r>
        <w:rPr>
          <w:b w:val="0"/>
          <w:i w:val="0"/>
          <w:strike w:val="0"/>
        </w:rPr>
        <w:t xml:space="preserve">) at the root of this folder. The Markdown sources used to generate them are kept in </w:t>
      </w:r>
      <w:r>
        <w:rPr>
          <w:rFonts w:ascii="Consolas" w:hAnsi="Consolas"/>
          <w:b w:val="0"/>
          <w:i w:val="0"/>
          <w:strike w:val="0"/>
          <w:color w:val="303030"/>
          <w:sz w:val="19"/>
        </w:rPr>
        <w:t>source-markdown/</w:t>
      </w:r>
      <w:r>
        <w:rPr>
          <w:b w:val="0"/>
          <w:i w:val="0"/>
          <w:strike w:val="0"/>
        </w:rPr>
        <w:t xml:space="preserve"> for version history and diffing; edit the </w:t>
      </w:r>
      <w:r>
        <w:rPr>
          <w:rFonts w:ascii="Consolas" w:hAnsi="Consolas"/>
          <w:b w:val="0"/>
          <w:i w:val="0"/>
          <w:strike w:val="0"/>
          <w:color w:val="303030"/>
          <w:sz w:val="19"/>
        </w:rPr>
        <w:t>.docx</w:t>
      </w:r>
      <w:r>
        <w:rPr>
          <w:b w:val="0"/>
          <w:i w:val="0"/>
          <w:strike w:val="0"/>
        </w:rPr>
        <w:t xml:space="preserve"> files.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File</w:t>
            </w:r>
          </w:p>
        </w:tc>
        <w:tc>
          <w:tcPr>
            <w:tcW w:type="dxa" w:w="2160"/>
          </w:tcPr>
          <w:p>
            <w:r>
              <w:rPr>
                <w:b/>
                <w:i w:val="0"/>
                <w:strike w:val="0"/>
              </w:rPr>
              <w:t>Component</w:t>
            </w:r>
          </w:p>
        </w:tc>
        <w:tc>
          <w:tcPr>
            <w:tcW w:type="dxa" w:w="2160"/>
          </w:tcPr>
          <w:p>
            <w:r>
              <w:rPr>
                <w:b/>
                <w:i w:val="0"/>
                <w:strike w:val="0"/>
              </w:rPr>
              <w:t>Audience</w:t>
            </w:r>
          </w:p>
        </w:tc>
        <w:tc>
          <w:tcPr>
            <w:tcW w:type="dxa" w:w="2160"/>
          </w:tcPr>
          <w:p>
            <w:r>
              <w:rPr>
                <w:b/>
                <w:i w:val="0"/>
                <w:strike w:val="0"/>
              </w:rPr>
              <w:t>Status</w:t>
            </w:r>
          </w:p>
        </w:tc>
      </w:tr>
      <w:tr>
        <w:tc>
          <w:tcPr>
            <w:tcW w:type="dxa" w:w="2160"/>
          </w:tcPr>
          <w:p>
            <w:r>
              <w:rPr>
                <w:rFonts w:ascii="Consolas" w:hAnsi="Consolas"/>
                <w:b w:val="0"/>
                <w:i w:val="0"/>
                <w:strike w:val="0"/>
                <w:color w:val="303030"/>
                <w:sz w:val="19"/>
              </w:rPr>
              <w:t>01-bill-draft.docx</w:t>
            </w:r>
          </w:p>
        </w:tc>
        <w:tc>
          <w:tcPr>
            <w:tcW w:type="dxa" w:w="2160"/>
          </w:tcPr>
          <w:p>
            <w:r>
              <w:rPr>
                <w:b w:val="0"/>
                <w:i w:val="0"/>
                <w:strike w:val="0"/>
              </w:rPr>
              <w:t xml:space="preserve">Draft bill text </w:t>
            </w:r>
            <w:r>
              <w:rPr>
                <w:b/>
                <w:i w:val="0"/>
                <w:strike w:val="0"/>
              </w:rPr>
              <w:t>with the reasons</w:t>
            </w:r>
            <w:r>
              <w:rPr>
                <w:b w:val="0"/>
                <w:i w:val="0"/>
                <w:strike w:val="0"/>
              </w:rPr>
              <w:t xml:space="preserve">: new § 51.1-142.4 plus conforming amendments to </w:t>
            </w:r>
            <w:r>
              <w:rPr>
                <w:b/>
                <w:i w:val="0"/>
                <w:strike w:val="0"/>
              </w:rPr>
              <w:t>§ 2.2-3204</w:t>
            </w:r>
            <w:r>
              <w:rPr>
                <w:b w:val="0"/>
                <w:i w:val="0"/>
                <w:strike w:val="0"/>
              </w:rPr>
              <w:t xml:space="preserve"> and §§ 51.1-124.3, 51.1-142.2, 51.1-153, 51.1-155, 51.1-162, 51.1-165.01, 51.1-166, and eighteen drafting notes</w:t>
            </w:r>
          </w:p>
        </w:tc>
        <w:tc>
          <w:tcPr>
            <w:tcW w:type="dxa" w:w="2160"/>
          </w:tcPr>
          <w:p>
            <w:r>
              <w:rPr>
                <w:b w:val="0"/>
                <w:i w:val="0"/>
                <w:strike w:val="0"/>
              </w:rPr>
              <w:t>Patron, Division of Legislative Services</w:t>
            </w:r>
          </w:p>
        </w:tc>
        <w:tc>
          <w:tcPr>
            <w:tcW w:type="dxa" w:w="2160"/>
          </w:tcPr>
          <w:p>
            <w:r>
              <w:rPr>
                <w:b/>
                <w:i w:val="0"/>
                <w:strike w:val="0"/>
              </w:rPr>
              <w:t>Version 1.4 — every MOO-264 finding closed. A drafting handoff, not a bill: the introducible version is `12`</w:t>
            </w:r>
          </w:p>
        </w:tc>
      </w:tr>
      <w:tr>
        <w:tc>
          <w:tcPr>
            <w:tcW w:type="dxa" w:w="2160"/>
          </w:tcPr>
          <w:p>
            <w:r>
              <w:rPr>
                <w:rFonts w:ascii="Consolas" w:hAnsi="Consolas"/>
                <w:b w:val="0"/>
                <w:i w:val="0"/>
                <w:strike w:val="0"/>
                <w:color w:val="303030"/>
                <w:sz w:val="19"/>
              </w:rPr>
              <w:t>12-bill-introducible-form.docx</w:t>
            </w:r>
          </w:p>
        </w:tc>
        <w:tc>
          <w:tcPr>
            <w:tcW w:type="dxa" w:w="2160"/>
          </w:tcPr>
          <w:p>
            <w:r>
              <w:rPr>
                <w:b/>
                <w:i w:val="0"/>
                <w:strike w:val="0"/>
              </w:rPr>
              <w:t>The bill as it would be introduced</w:t>
            </w:r>
            <w:r>
              <w:rPr>
                <w:b w:val="0"/>
                <w:i w:val="0"/>
                <w:strike w:val="0"/>
              </w:rPr>
              <w:t xml:space="preserve"> — all nine sections set out </w:t>
            </w:r>
            <w:r>
              <w:rPr>
                <w:b/>
                <w:i w:val="0"/>
                <w:strike w:val="0"/>
              </w:rPr>
              <w:t>at length</w:t>
            </w:r>
            <w:r>
              <w:rPr>
                <w:b w:val="0"/>
                <w:i w:val="0"/>
                <w:strike w:val="0"/>
              </w:rPr>
              <w:t xml:space="preserve"> as Va. Const. art. IV, § 12 requires, generated from the official text of each section read October 20, 2026, with changes marked</w:t>
            </w:r>
          </w:p>
        </w:tc>
        <w:tc>
          <w:tcPr>
            <w:tcW w:type="dxa" w:w="2160"/>
          </w:tcPr>
          <w:p>
            <w:r>
              <w:rPr>
                <w:b w:val="0"/>
                <w:i w:val="0"/>
                <w:strike w:val="0"/>
              </w:rPr>
              <w:t>Patron, Division of Legislative Services</w:t>
            </w:r>
          </w:p>
        </w:tc>
        <w:tc>
          <w:tcPr>
            <w:tcW w:type="dxa" w:w="2160"/>
          </w:tcPr>
          <w:p>
            <w:r>
              <w:rPr>
                <w:b/>
                <w:i w:val="0"/>
                <w:strike w:val="0"/>
              </w:rPr>
              <w:t>New in version 1.5 — closes finding M-10.</w:t>
            </w:r>
            <w:r>
              <w:rPr>
                <w:b w:val="0"/>
                <w:i w:val="0"/>
                <w:strike w:val="0"/>
              </w:rPr>
              <w:t xml:space="preserve"> Carries text only; </w:t>
            </w:r>
            <w:r>
              <w:rPr>
                <w:rFonts w:ascii="Consolas" w:hAnsi="Consolas"/>
                <w:b w:val="0"/>
                <w:i w:val="0"/>
                <w:strike w:val="0"/>
                <w:color w:val="303030"/>
                <w:sz w:val="19"/>
              </w:rPr>
              <w:t>01</w:t>
            </w:r>
            <w:r>
              <w:rPr>
                <w:b w:val="0"/>
                <w:i w:val="0"/>
                <w:strike w:val="0"/>
              </w:rPr>
              <w:t xml:space="preserve"> carries the reasons. Amend the two together</w:t>
            </w:r>
          </w:p>
        </w:tc>
      </w:tr>
      <w:tr>
        <w:tc>
          <w:tcPr>
            <w:tcW w:type="dxa" w:w="2160"/>
          </w:tcPr>
          <w:p>
            <w:r>
              <w:rPr>
                <w:rFonts w:ascii="Consolas" w:hAnsi="Consolas"/>
                <w:b w:val="0"/>
                <w:i w:val="0"/>
                <w:strike w:val="0"/>
                <w:color w:val="303030"/>
                <w:sz w:val="19"/>
              </w:rPr>
              <w:t>13-council-engagement-answers.docx</w:t>
            </w:r>
          </w:p>
        </w:tc>
        <w:tc>
          <w:tcPr>
            <w:tcW w:type="dxa" w:w="2160"/>
          </w:tcPr>
          <w:p>
            <w:r>
              <w:rPr>
                <w:b/>
                <w:i w:val="0"/>
                <w:strike w:val="0"/>
              </w:rPr>
              <w:t>What to say in the room</w:t>
            </w:r>
            <w:r>
              <w:rPr>
                <w:b w:val="0"/>
                <w:i w:val="0"/>
                <w:strike w:val="0"/>
              </w:rPr>
              <w:t xml:space="preserve"> — the answers to the seven stakeholder findings that are not drafting problems: the leadership-exclusion concession, the DVS strategic-plan test, § 2.2-2682 C, the committee path and patron shortlist, what to tell a post-2014 hire, the Guard/Reserve § 12736 position, and the two numbers we do not have</w:t>
            </w:r>
          </w:p>
        </w:tc>
        <w:tc>
          <w:tcPr>
            <w:tcW w:type="dxa" w:w="2160"/>
          </w:tcPr>
          <w:p>
            <w:r>
              <w:rPr>
                <w:b w:val="0"/>
                <w:i w:val="0"/>
                <w:strike w:val="0"/>
              </w:rPr>
              <w:t>JLCVSO leadership, whoever carries the proposal</w:t>
            </w:r>
          </w:p>
        </w:tc>
        <w:tc>
          <w:tcPr>
            <w:tcW w:type="dxa" w:w="2160"/>
          </w:tcPr>
          <w:p>
            <w:r>
              <w:rPr>
                <w:b/>
                <w:i w:val="0"/>
                <w:strike w:val="0"/>
              </w:rPr>
              <w:t>New in version 1.5</w:t>
            </w:r>
            <w:r>
              <w:rPr>
                <w:b w:val="0"/>
                <w:i w:val="0"/>
                <w:strike w:val="0"/>
              </w:rPr>
              <w:t xml:space="preserve"> — not for distribution to legislators</w:t>
            </w:r>
          </w:p>
        </w:tc>
      </w:tr>
      <w:tr>
        <w:tc>
          <w:tcPr>
            <w:tcW w:type="dxa" w:w="2160"/>
          </w:tcPr>
          <w:p>
            <w:r>
              <w:rPr>
                <w:rFonts w:ascii="Consolas" w:hAnsi="Consolas"/>
                <w:b w:val="0"/>
                <w:i w:val="0"/>
                <w:strike w:val="0"/>
                <w:color w:val="303030"/>
                <w:sz w:val="19"/>
              </w:rPr>
              <w:t>02-legal-analysis-memo.docx</w:t>
            </w:r>
          </w:p>
        </w:tc>
        <w:tc>
          <w:tcPr>
            <w:tcW w:type="dxa" w:w="2160"/>
          </w:tcPr>
          <w:p>
            <w:r>
              <w:rPr>
                <w:b w:val="0"/>
                <w:i w:val="0"/>
                <w:strike w:val="0"/>
              </w:rPr>
              <w:t>Current-law baseline, terminology discipline, statutory conflicts and conforming amendments, unintended-effects review, risks, open questions (DECISION / ACTUARY / COUNSEL items)</w:t>
            </w:r>
          </w:p>
        </w:tc>
        <w:tc>
          <w:tcPr>
            <w:tcW w:type="dxa" w:w="2160"/>
          </w:tcPr>
          <w:p>
            <w:r>
              <w:rPr>
                <w:b w:val="0"/>
                <w:i w:val="0"/>
                <w:strike w:val="0"/>
              </w:rPr>
              <w:t>Counsel, VRS, JLCVSO leadership</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03-jlc-one-page-brief.docx</w:t>
            </w:r>
          </w:p>
        </w:tc>
        <w:tc>
          <w:tcPr>
            <w:tcW w:type="dxa" w:w="2160"/>
          </w:tcPr>
          <w:p>
            <w:r>
              <w:rPr>
                <w:b w:val="0"/>
                <w:i w:val="0"/>
                <w:strike w:val="0"/>
              </w:rPr>
              <w:t>One-page brief: the proposal and the gap it fills</w:t>
            </w:r>
          </w:p>
        </w:tc>
        <w:tc>
          <w:tcPr>
            <w:tcW w:type="dxa" w:w="2160"/>
          </w:tcPr>
          <w:p>
            <w:r>
              <w:rPr>
                <w:b w:val="0"/>
                <w:i w:val="0"/>
                <w:strike w:val="0"/>
              </w:rPr>
              <w:t>JLCVSO members, legislators</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04-jlc-two-page-brief.docx</w:t>
            </w:r>
          </w:p>
        </w:tc>
        <w:tc>
          <w:tcPr>
            <w:tcW w:type="dxa" w:w="2160"/>
          </w:tcPr>
          <w:p>
            <w:r>
              <w:rPr>
                <w:b w:val="0"/>
                <w:i w:val="0"/>
                <w:strike w:val="0"/>
              </w:rPr>
              <w:t>Two-page brief: fuller explanation, examples, all seven recorded decisions including the three resolved blockers, and what a member gives up by retiring earlier</w:t>
            </w:r>
          </w:p>
        </w:tc>
        <w:tc>
          <w:tcPr>
            <w:tcW w:type="dxa" w:w="2160"/>
          </w:tcPr>
          <w:p>
            <w:r>
              <w:rPr>
                <w:b w:val="0"/>
                <w:i w:val="0"/>
                <w:strike w:val="0"/>
              </w:rPr>
              <w:t>JLCVSO members, legislators</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05-source-appendix.docx</w:t>
            </w:r>
          </w:p>
        </w:tc>
        <w:tc>
          <w:tcPr>
            <w:tcW w:type="dxa" w:w="2160"/>
          </w:tcPr>
          <w:p>
            <w:r>
              <w:rPr>
                <w:b w:val="0"/>
                <w:i w:val="0"/>
                <w:strike w:val="0"/>
              </w:rPr>
              <w:t>Claim/evidence table, pinpoint citations, source links, amendment histories, a corrections log for the fourteen citation defects found on re-verification, and what is deliberately unsourced</w:t>
            </w:r>
          </w:p>
        </w:tc>
        <w:tc>
          <w:tcPr>
            <w:tcW w:type="dxa" w:w="2160"/>
          </w:tcPr>
          <w:p>
            <w:r>
              <w:rPr>
                <w:b w:val="0"/>
                <w:i w:val="0"/>
                <w:strike w:val="0"/>
              </w:rPr>
              <w:t>All</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06-red-team-review.docx</w:t>
            </w:r>
          </w:p>
        </w:tc>
        <w:tc>
          <w:tcPr>
            <w:tcW w:type="dxa" w:w="2160"/>
          </w:tcPr>
          <w:p>
            <w:r>
              <w:rPr>
                <w:b w:val="0"/>
                <w:i w:val="0"/>
                <w:strike w:val="0"/>
              </w:rPr>
              <w:t>Internal adversarial review: twelve findings ranked, five blockers, citation verification results, over-reach analysis, political and messaging exposure, member-detriment disclosures</w:t>
            </w:r>
          </w:p>
        </w:tc>
        <w:tc>
          <w:tcPr>
            <w:tcW w:type="dxa" w:w="2160"/>
          </w:tcPr>
          <w:p>
            <w:r>
              <w:rPr>
                <w:b w:val="0"/>
                <w:i w:val="0"/>
                <w:strike w:val="0"/>
              </w:rPr>
              <w:t>Counsel, JLCVSO leadership</w:t>
            </w:r>
          </w:p>
        </w:tc>
        <w:tc>
          <w:tcPr>
            <w:tcW w:type="dxa" w:w="2160"/>
          </w:tcPr>
          <w:p>
            <w:r>
              <w:rPr>
                <w:b w:val="0"/>
                <w:i w:val="0"/>
                <w:strike w:val="0"/>
              </w:rPr>
              <w:t>Complete (MOO-260)</w:t>
            </w:r>
          </w:p>
        </w:tc>
      </w:tr>
      <w:tr>
        <w:tc>
          <w:tcPr>
            <w:tcW w:type="dxa" w:w="2160"/>
          </w:tcPr>
          <w:p>
            <w:r>
              <w:rPr>
                <w:rFonts w:ascii="Consolas" w:hAnsi="Consolas"/>
                <w:b w:val="0"/>
                <w:i w:val="0"/>
                <w:strike w:val="0"/>
                <w:color w:val="303030"/>
                <w:sz w:val="19"/>
              </w:rPr>
              <w:t>07-precedent-and-stakeholder-scan.docx</w:t>
            </w:r>
          </w:p>
        </w:tc>
        <w:tc>
          <w:tcPr>
            <w:tcW w:type="dxa" w:w="2160"/>
          </w:tcPr>
          <w:p>
            <w:r>
              <w:rPr>
                <w:b w:val="0"/>
                <w:i w:val="0"/>
                <w:strike w:val="0"/>
              </w:rPr>
              <w:t>Prior Virginia bills, VRS Board posture, money-committee history, JLCVSO package fit, comparative state scan</w:t>
            </w:r>
          </w:p>
        </w:tc>
        <w:tc>
          <w:tcPr>
            <w:tcW w:type="dxa" w:w="2160"/>
          </w:tcPr>
          <w:p>
            <w:r>
              <w:rPr>
                <w:b w:val="0"/>
                <w:i w:val="0"/>
                <w:strike w:val="0"/>
              </w:rPr>
              <w:t>JLCVSO leadership, patron</w:t>
            </w:r>
          </w:p>
        </w:tc>
        <w:tc>
          <w:tcPr>
            <w:tcW w:type="dxa" w:w="2160"/>
          </w:tcPr>
          <w:p>
            <w:r>
              <w:rPr>
                <w:b w:val="0"/>
                <w:i w:val="0"/>
                <w:strike w:val="0"/>
              </w:rPr>
              <w:t>Complete (MOO-261)</w:t>
            </w:r>
          </w:p>
        </w:tc>
      </w:tr>
      <w:tr>
        <w:tc>
          <w:tcPr>
            <w:tcW w:type="dxa" w:w="2160"/>
          </w:tcPr>
          <w:p>
            <w:r>
              <w:rPr>
                <w:rFonts w:ascii="Consolas" w:hAnsi="Consolas"/>
                <w:b w:val="0"/>
                <w:i w:val="0"/>
                <w:strike w:val="0"/>
                <w:color w:val="303030"/>
                <w:sz w:val="19"/>
              </w:rPr>
              <w:t>08-fiscal-model-memo.docx</w:t>
            </w:r>
          </w:p>
        </w:tc>
        <w:tc>
          <w:tcPr>
            <w:tcW w:type="dxa" w:w="2160"/>
          </w:tcPr>
          <w:p>
            <w:r>
              <w:rPr>
                <w:b w:val="0"/>
                <w:i w:val="0"/>
                <w:strike w:val="0"/>
              </w:rPr>
              <w:t xml:space="preserve">Cost model: per-member price versus value, affected population FY2029–FY2038, employer contribution rate impact, sensitivities, hybrid-inclusion variant, workforce effects, data VRS must supply. Reproducible code and tables in </w:t>
            </w:r>
            <w:r>
              <w:rPr>
                <w:rFonts w:ascii="Consolas" w:hAnsi="Consolas"/>
                <w:b w:val="0"/>
                <w:i w:val="0"/>
                <w:strike w:val="0"/>
                <w:color w:val="303030"/>
                <w:sz w:val="19"/>
              </w:rPr>
              <w:t>fiscal-model/</w:t>
            </w:r>
          </w:p>
        </w:tc>
        <w:tc>
          <w:tcPr>
            <w:tcW w:type="dxa" w:w="2160"/>
          </w:tcPr>
          <w:p>
            <w:r>
              <w:rPr>
                <w:b w:val="0"/>
                <w:i w:val="0"/>
                <w:strike w:val="0"/>
              </w:rPr>
              <w:t>Money committees, VRS, JLCVSO leadership, patron</w:t>
            </w:r>
          </w:p>
        </w:tc>
        <w:tc>
          <w:tcPr>
            <w:tcW w:type="dxa" w:w="2160"/>
          </w:tcPr>
          <w:p>
            <w:r>
              <w:rPr>
                <w:b/>
                <w:i w:val="0"/>
                <w:strike w:val="0"/>
              </w:rPr>
              <w:t>Complete for version 1.1; refresh against the bill as introduced required before external use</w:t>
            </w:r>
            <w:r>
              <w:rPr>
                <w:b w:val="0"/>
                <w:i w:val="0"/>
                <w:strike w:val="0"/>
              </w:rPr>
              <w:t xml:space="preserve"> (MOO-259) — illustrative, </w:t>
            </w:r>
            <w:r>
              <w:rPr>
                <w:b/>
                <w:i w:val="0"/>
                <w:strike w:val="0"/>
              </w:rPr>
              <w:t>not</w:t>
            </w:r>
            <w:r>
              <w:rPr>
                <w:b w:val="0"/>
                <w:i w:val="0"/>
                <w:strike w:val="0"/>
              </w:rPr>
              <w:t xml:space="preserve"> the Board's § 30-19.1:7 statement</w:t>
            </w:r>
          </w:p>
        </w:tc>
      </w:tr>
      <w:tr>
        <w:tc>
          <w:tcPr>
            <w:tcW w:type="dxa" w:w="2160"/>
          </w:tcPr>
          <w:p>
            <w:r>
              <w:rPr>
                <w:rFonts w:ascii="Consolas" w:hAnsi="Consolas"/>
                <w:b w:val="0"/>
                <w:i w:val="0"/>
                <w:strike w:val="0"/>
                <w:color w:val="303030"/>
                <w:sz w:val="19"/>
              </w:rPr>
              <w:t>09-counsel-review-bill.docx</w:t>
            </w:r>
          </w:p>
        </w:tc>
        <w:tc>
          <w:tcPr>
            <w:tcW w:type="dxa" w:w="2160"/>
          </w:tcPr>
          <w:p>
            <w:r>
              <w:rPr>
                <w:b/>
                <w:i w:val="0"/>
                <w:strike w:val="0"/>
              </w:rPr>
              <w:t>Independent</w:t>
            </w:r>
            <w:r>
              <w:rPr>
                <w:b w:val="0"/>
                <w:i w:val="0"/>
                <w:strike w:val="0"/>
              </w:rPr>
              <w:t xml:space="preserve"> counsel review of bill text version 1.2 by a reviewer who did not draft it: 3 blockers, 15 material, 12 minor, with redlines; citation verification; fiscal assumption challenge; where it disagrees with the sign-off analysis</w:t>
            </w:r>
          </w:p>
        </w:tc>
        <w:tc>
          <w:tcPr>
            <w:tcW w:type="dxa" w:w="2160"/>
          </w:tcPr>
          <w:p>
            <w:r>
              <w:rPr>
                <w:b w:val="0"/>
                <w:i w:val="0"/>
                <w:strike w:val="0"/>
              </w:rPr>
              <w:t>Counsel, JLCVSO leadership, patron</w:t>
            </w:r>
          </w:p>
        </w:tc>
        <w:tc>
          <w:tcPr>
            <w:tcW w:type="dxa" w:w="2160"/>
          </w:tcPr>
          <w:p>
            <w:r>
              <w:rPr>
                <w:b w:val="0"/>
                <w:i w:val="0"/>
                <w:strike w:val="0"/>
              </w:rPr>
              <w:t xml:space="preserve">Complete (MOO-264) — </w:t>
            </w:r>
            <w:r>
              <w:rPr>
                <w:b/>
                <w:i w:val="0"/>
                <w:strike w:val="0"/>
              </w:rPr>
              <w:t>all 3 blockers fixed in version 1.3</w:t>
            </w:r>
          </w:p>
        </w:tc>
      </w:tr>
      <w:tr>
        <w:tc>
          <w:tcPr>
            <w:tcW w:type="dxa" w:w="2160"/>
          </w:tcPr>
          <w:p>
            <w:r>
              <w:rPr>
                <w:rFonts w:ascii="Consolas" w:hAnsi="Consolas"/>
                <w:b w:val="0"/>
                <w:i w:val="0"/>
                <w:strike w:val="0"/>
                <w:color w:val="303030"/>
                <w:sz w:val="19"/>
              </w:rPr>
              <w:t>10-counsel-review-explorer.docx</w:t>
            </w:r>
          </w:p>
        </w:tc>
        <w:tc>
          <w:tcPr>
            <w:tcW w:type="dxa" w:w="2160"/>
          </w:tcPr>
          <w:p>
            <w:r>
              <w:rPr>
                <w:b/>
                <w:i w:val="0"/>
                <w:strike w:val="0"/>
              </w:rPr>
              <w:t>Independent</w:t>
            </w:r>
            <w:r>
              <w:rPr>
                <w:b w:val="0"/>
                <w:i w:val="0"/>
                <w:strike w:val="0"/>
              </w:rPr>
              <w:t xml:space="preserve"> review of the Scenario Explorer: 26 findings (4 blockers), 21 of them framing rather than arithmetic; three hand re-derivations of the published formulas; provenance audit</w:t>
            </w:r>
          </w:p>
        </w:tc>
        <w:tc>
          <w:tcPr>
            <w:tcW w:type="dxa" w:w="2160"/>
          </w:tcPr>
          <w:p>
            <w:r>
              <w:rPr>
                <w:b w:val="0"/>
                <w:i w:val="0"/>
                <w:strike w:val="0"/>
              </w:rPr>
              <w:t>Policy staff, VRS reviewers</w:t>
            </w:r>
          </w:p>
        </w:tc>
        <w:tc>
          <w:tcPr>
            <w:tcW w:type="dxa" w:w="2160"/>
          </w:tcPr>
          <w:p>
            <w:r>
              <w:rPr>
                <w:b w:val="0"/>
                <w:i w:val="0"/>
                <w:strike w:val="0"/>
              </w:rPr>
              <w:t xml:space="preserve">Complete (MOO-265) — </w:t>
            </w:r>
            <w:r>
              <w:rPr>
                <w:b/>
                <w:i w:val="0"/>
                <w:strike w:val="0"/>
              </w:rPr>
              <w:t>all 26 findings fixed</w:t>
            </w:r>
            <w:r>
              <w:rPr>
                <w:b w:val="0"/>
                <w:i w:val="0"/>
                <w:strike w:val="0"/>
              </w:rPr>
              <w:t xml:space="preserve"> (MOO-267)</w:t>
            </w:r>
          </w:p>
        </w:tc>
      </w:tr>
      <w:tr>
        <w:tc>
          <w:tcPr>
            <w:tcW w:type="dxa" w:w="2160"/>
          </w:tcPr>
          <w:p>
            <w:r>
              <w:rPr>
                <w:rFonts w:ascii="Consolas" w:hAnsi="Consolas"/>
                <w:b w:val="0"/>
                <w:i w:val="0"/>
                <w:strike w:val="0"/>
                <w:color w:val="303030"/>
                <w:sz w:val="19"/>
              </w:rPr>
              <w:t>11-stakeholder-review.docx</w:t>
            </w:r>
          </w:p>
        </w:tc>
        <w:tc>
          <w:tcPr>
            <w:tcW w:type="dxa" w:w="2160"/>
          </w:tcPr>
          <w:p>
            <w:r>
              <w:rPr>
                <w:b/>
                <w:i w:val="0"/>
                <w:strike w:val="0"/>
              </w:rPr>
              <w:t>Independent</w:t>
            </w:r>
            <w:r>
              <w:rPr>
                <w:b w:val="0"/>
                <w:i w:val="0"/>
                <w:strike w:val="0"/>
              </w:rPr>
              <w:t xml:space="preserve"> stakeholder and political-viability review: 2 blockers, 23 findings; Council adoption gates, committee path, coalition map, patron candidates, hostile-driving probes of the explorer</w:t>
            </w:r>
          </w:p>
        </w:tc>
        <w:tc>
          <w:tcPr>
            <w:tcW w:type="dxa" w:w="2160"/>
          </w:tcPr>
          <w:p>
            <w:r>
              <w:rPr>
                <w:b w:val="0"/>
                <w:i w:val="0"/>
                <w:strike w:val="0"/>
              </w:rPr>
              <w:t>JLCVSO leadership, patron</w:t>
            </w:r>
          </w:p>
        </w:tc>
        <w:tc>
          <w:tcPr>
            <w:tcW w:type="dxa" w:w="2160"/>
          </w:tcPr>
          <w:p>
            <w:r>
              <w:rPr>
                <w:b w:val="0"/>
                <w:i w:val="0"/>
                <w:strike w:val="0"/>
              </w:rPr>
              <w:t>Complete (MOO-266)</w:t>
            </w:r>
          </w:p>
        </w:tc>
      </w:tr>
      <w:tr>
        <w:tc>
          <w:tcPr>
            <w:tcW w:type="dxa" w:w="2160"/>
          </w:tcPr>
          <w:p>
            <w:r>
              <w:rPr>
                <w:rFonts w:ascii="Consolas" w:hAnsi="Consolas"/>
                <w:b w:val="0"/>
                <w:i w:val="0"/>
                <w:strike w:val="0"/>
                <w:color w:val="303030"/>
                <w:sz w:val="19"/>
              </w:rPr>
              <w:t>14-counsel-review-walkthrough.docx</w:t>
            </w:r>
          </w:p>
        </w:tc>
        <w:tc>
          <w:tcPr>
            <w:tcW w:type="dxa" w:w="2160"/>
          </w:tcPr>
          <w:p>
            <w:r>
              <w:rPr>
                <w:b/>
                <w:i w:val="0"/>
                <w:strike w:val="0"/>
              </w:rPr>
              <w:t>Independent</w:t>
            </w:r>
            <w:r>
              <w:rPr>
                <w:b w:val="0"/>
                <w:i w:val="0"/>
                <w:strike w:val="0"/>
              </w:rPr>
              <w:t xml:space="preserve"> review of the </w:t>
            </w:r>
            <w:r>
              <w:rPr>
                <w:b/>
                <w:i w:val="0"/>
                <w:strike w:val="0"/>
              </w:rPr>
              <w:t>guided walk-through</w:t>
            </w:r>
            <w:r>
              <w:rPr>
                <w:b w:val="0"/>
                <w:i w:val="0"/>
                <w:strike w:val="0"/>
              </w:rPr>
              <w:t>: 27 findings (3 blockers), 23 of them framing defects; independent re-derivation of ~40 quoted figures; print-media measurement; the opposition's own brief, written out</w:t>
            </w:r>
          </w:p>
        </w:tc>
        <w:tc>
          <w:tcPr>
            <w:tcW w:type="dxa" w:w="2160"/>
          </w:tcPr>
          <w:p>
            <w:r>
              <w:rPr>
                <w:b w:val="0"/>
                <w:i w:val="0"/>
                <w:strike w:val="0"/>
              </w:rPr>
              <w:t>Policy staff, JLCVSO leadership, patron</w:t>
            </w:r>
          </w:p>
        </w:tc>
        <w:tc>
          <w:tcPr>
            <w:tcW w:type="dxa" w:w="2160"/>
          </w:tcPr>
          <w:p>
            <w:r>
              <w:rPr>
                <w:b w:val="0"/>
                <w:i w:val="0"/>
                <w:strike w:val="0"/>
              </w:rPr>
              <w:t xml:space="preserve">Complete (MOO-271) — </w:t>
            </w:r>
            <w:r>
              <w:rPr>
                <w:b/>
                <w:i w:val="0"/>
                <w:strike w:val="0"/>
              </w:rPr>
              <w:t>all 27 findings closed in package version 1.6</w:t>
            </w:r>
          </w:p>
        </w:tc>
      </w:tr>
      <w:tr>
        <w:tc>
          <w:tcPr>
            <w:tcW w:type="dxa" w:w="2160"/>
          </w:tcPr>
          <w:p>
            <w:r>
              <w:rPr>
                <w:rFonts w:ascii="Consolas" w:hAnsi="Consolas"/>
                <w:b w:val="0"/>
                <w:i w:val="0"/>
                <w:strike w:val="0"/>
                <w:color w:val="303030"/>
                <w:sz w:val="19"/>
              </w:rPr>
              <w:t>explorer/</w:t>
            </w:r>
          </w:p>
        </w:tc>
        <w:tc>
          <w:tcPr>
            <w:tcW w:type="dxa" w:w="2160"/>
          </w:tcPr>
          <w:p>
            <w:r>
              <w:rPr>
                <w:b w:val="0"/>
                <w:i w:val="0"/>
                <w:strike w:val="0"/>
              </w:rPr>
              <w:t xml:space="preserve">Interactive Legislative Scenario Explorer (HTML), </w:t>
            </w:r>
            <w:r>
              <w:rPr>
                <w:b/>
                <w:i w:val="0"/>
                <w:strike w:val="0"/>
              </w:rPr>
              <w:t>guided walk-through</w:t>
            </w:r>
            <w:r>
              <w:rPr>
                <w:b w:val="0"/>
                <w:i w:val="0"/>
                <w:strike w:val="0"/>
              </w:rPr>
              <w:t xml:space="preserve"> and methodology page — calculation engine separate from presentation, source-and-assumption registry, downloadable handout, Official VRS Data mode</w:t>
            </w:r>
          </w:p>
        </w:tc>
        <w:tc>
          <w:tcPr>
            <w:tcW w:type="dxa" w:w="2160"/>
          </w:tcPr>
          <w:p>
            <w:r>
              <w:rPr>
                <w:b w:val="0"/>
                <w:i w:val="0"/>
                <w:strike w:val="0"/>
              </w:rPr>
              <w:t>Legislators, money-committee staff, VRS reviewers, policy staff</w:t>
            </w:r>
          </w:p>
        </w:tc>
        <w:tc>
          <w:tcPr>
            <w:tcW w:type="dxa" w:w="2160"/>
          </w:tcPr>
          <w:p>
            <w:r>
              <w:rPr>
                <w:b/>
                <w:i w:val="0"/>
                <w:strike w:val="0"/>
              </w:rPr>
              <w:t>All MOO-265, MOO-266 and MOO-271 findings closed.</w:t>
            </w:r>
            <w:r>
              <w:rPr>
                <w:b w:val="0"/>
                <w:i w:val="0"/>
                <w:strike w:val="0"/>
              </w:rPr>
              <w:t xml:space="preserve"> 2,284 assertions across three harnesses, all passing — illustrative model, not an actuarial certification</w:t>
            </w:r>
          </w:p>
        </w:tc>
      </w:tr>
    </w:tbl>
    <w:p/>
    <w:p>
      <w:r>
        <w:rPr>
          <w:b w:val="0"/>
          <w:i w:val="0"/>
          <w:strike w:val="0"/>
        </w:rPr>
        <w:t xml:space="preserve">In the bill draft, </w:t>
      </w:r>
      <w:r>
        <w:rPr>
          <w:b/>
          <w:i w:val="0"/>
          <w:strike w:val="0"/>
        </w:rPr>
        <w:t>bold</w:t>
      </w:r>
      <w:r>
        <w:rPr>
          <w:b w:val="0"/>
          <w:i w:val="0"/>
          <w:strike w:val="0"/>
        </w:rPr>
        <w:t xml:space="preserve"> marks language proposed to be added and </w:t>
      </w:r>
      <w:r>
        <w:rPr>
          <w:b w:val="0"/>
          <w:i w:val="0"/>
          <w:strike/>
        </w:rPr>
        <w:t>strikethrough</w:t>
      </w:r>
      <w:r>
        <w:rPr>
          <w:b w:val="0"/>
          <w:i w:val="0"/>
          <w:strike w:val="0"/>
        </w:rPr>
        <w:t xml:space="preserve"> marks language proposed to be struck. DLS will convert to the underscore/strikethrough convention used in introduced bills.</w:t>
      </w:r>
    </w:p>
    <w:p>
      <w:pPr>
        <w:pStyle w:val="Heading2"/>
      </w:pPr>
      <w:r>
        <w:rPr>
          <w:b w:val="0"/>
          <w:i w:val="0"/>
          <w:strike w:val="0"/>
        </w:rPr>
        <w:t>Core policy principle</w:t>
      </w:r>
    </w:p>
    <w:p>
      <w:r>
        <w:rPr>
          <w:b w:val="0"/>
          <w:i w:val="0"/>
          <w:strike w:val="0"/>
        </w:rPr>
        <w:t xml:space="preserve">The bridge is an </w:t>
      </w:r>
      <w:r>
        <w:rPr>
          <w:b/>
          <w:i w:val="0"/>
          <w:strike w:val="0"/>
        </w:rPr>
        <w:t>eligibility benefit, not a pension-accrual benefit</w:t>
      </w:r>
      <w:r>
        <w:rPr>
          <w:b w:val="0"/>
          <w:i w:val="0"/>
          <w:strike w:val="0"/>
        </w:rPr>
        <w:t xml:space="preserve">. It lets a vested VRS Plan 1 or Plan 2 member use up to four years of prior active duty military service, at approximate normal cost after the existing 24-month window has closed, </w:t>
      </w:r>
      <w:r>
        <w:rPr>
          <w:b/>
          <w:i w:val="0"/>
          <w:strike w:val="0"/>
        </w:rPr>
        <w:t>solely</w:t>
      </w:r>
      <w:r>
        <w:rPr>
          <w:b w:val="0"/>
          <w:i w:val="0"/>
          <w:strike w:val="0"/>
        </w:rPr>
        <w:t xml:space="preserve"> to reach the threshold for an unreduced retirement allowance. It does </w:t>
      </w:r>
      <w:r>
        <w:rPr>
          <w:b/>
          <w:i w:val="0"/>
          <w:strike w:val="0"/>
        </w:rPr>
        <w:t>not</w:t>
      </w:r>
      <w:r>
        <w:rPr>
          <w:b w:val="0"/>
          <w:i w:val="0"/>
          <w:strike w:val="0"/>
        </w:rPr>
        <w:t xml:space="preserve"> increase benefit-calculation service, the pension formula, or any benefit calculated by reference to service credit. </w:t>
      </w:r>
      <w:r>
        <w:rPr>
          <w:b/>
          <w:i w:val="0"/>
          <w:strike w:val="0"/>
        </w:rPr>
        <w:t>The ordinary consequences of an earlier retirement date remain applicable</w:t>
      </w:r>
      <w:r>
        <w:rPr>
          <w:b w:val="0"/>
          <w:i w:val="0"/>
          <w:strike w:val="0"/>
        </w:rPr>
        <w:t xml:space="preserve"> — see "What the three moves do not reach" below.</w:t>
      </w:r>
    </w:p>
    <w:p>
      <w:pPr>
        <w:pStyle w:val="Heading2"/>
      </w:pPr>
      <w:r>
        <w:rPr>
          <w:b w:val="0"/>
          <w:i w:val="0"/>
          <w:strike w:val="0"/>
        </w:rPr>
        <w:t>The three moves that make it work</w:t>
      </w:r>
    </w:p>
    <w:p>
      <w:pPr>
        <w:pStyle w:val="ListNumber"/>
      </w:pPr>
      <w:r>
        <w:rPr>
          <w:b/>
          <w:i w:val="0"/>
          <w:strike w:val="0"/>
        </w:rPr>
        <w:t>New § 51.1-142.4</w:t>
      </w:r>
      <w:r>
        <w:rPr>
          <w:b w:val="0"/>
          <w:i w:val="0"/>
          <w:strike w:val="0"/>
        </w:rPr>
        <w:t xml:space="preserve">, not an amendment inside § 51.1-142.2 — because "creditable service" is defined as "prior service as set forth in § 51.1-142.2 plus membership service," so anything added there becomes creditable service automatically. </w:t>
      </w:r>
      <w:r>
        <w:rPr>
          <w:b/>
          <w:i w:val="0"/>
          <w:strike w:val="0"/>
        </w:rPr>
        <w:t>This is the move that does the work.</w:t>
      </w:r>
      <w:r>
        <w:rPr>
          <w:b w:val="0"/>
          <w:i w:val="0"/>
          <w:strike w:val="0"/>
        </w:rPr>
        <w:t xml:space="preserve"> Independent counsel review established that eligibility credit granted under § 51.1-142.4 is outside the definition by the definition's own terms, so move 1 alone is safe on the text.</w:t>
      </w:r>
    </w:p>
    <w:p>
      <w:pPr>
        <w:pStyle w:val="ListNumber"/>
      </w:pPr>
      <w:r>
        <w:rPr>
          <w:b/>
          <w:i w:val="0"/>
          <w:strike w:val="0"/>
        </w:rPr>
        <w:t>Express carve-out from the "creditable service" definition</w:t>
      </w:r>
      <w:r>
        <w:rPr>
          <w:b w:val="0"/>
          <w:i w:val="0"/>
          <w:strike w:val="0"/>
        </w:rPr>
        <w:t xml:space="preserve"> in § 51.1-124.3, which confirms that the benefit formula, AFC, the health insurance credit's </w:t>
      </w:r>
      <w:r>
        <w:rPr>
          <w:b/>
          <w:i w:val="0"/>
          <w:strike w:val="0"/>
        </w:rPr>
        <w:t>threshold and amount</w:t>
      </w:r>
      <w:r>
        <w:rPr>
          <w:b w:val="0"/>
          <w:i w:val="0"/>
          <w:strike w:val="0"/>
        </w:rPr>
        <w:t xml:space="preserve"> (not its commencement date — see below), group life </w:t>
      </w:r>
      <w:r>
        <w:rPr>
          <w:b/>
          <w:i w:val="0"/>
          <w:strike w:val="0"/>
        </w:rPr>
        <w:t>thresholds and amounts</w:t>
      </w:r>
      <w:r>
        <w:rPr>
          <w:b w:val="0"/>
          <w:i w:val="0"/>
          <w:strike w:val="0"/>
        </w:rPr>
        <w:t xml:space="preserve"> (not its reduction schedule — see below), disability allowances, and the five-year vesting analogue are all unaffected. </w:t>
      </w:r>
      <w:r>
        <w:rPr>
          <w:b/>
          <w:i w:val="0"/>
          <w:strike w:val="0"/>
        </w:rPr>
        <w:t>Corrected October 20, 2026:</w:t>
      </w:r>
      <w:r>
        <w:rPr>
          <w:b w:val="0"/>
          <w:i w:val="0"/>
          <w:strike w:val="0"/>
        </w:rPr>
        <w:t xml:space="preserve"> earlier versions called this "the single most important protective move" and said "neither alone is safe." That overstates it — the carve-out forecloses argument and costs nothing, and should be retained, but it is litigation insurance rather than the load-bearing provision, and the </w:t>
      </w:r>
      <w:r>
        <w:rPr>
          <w:b/>
          <w:i w:val="0"/>
          <w:strike w:val="0"/>
        </w:rPr>
        <w:t>5.7×</w:t>
      </w:r>
      <w:r>
        <w:rPr>
          <w:b w:val="0"/>
          <w:i w:val="0"/>
          <w:strike w:val="0"/>
        </w:rPr>
        <w:t xml:space="preserve"> figure prices the bill move 1 avoids rather than the value of the carve-out.</w:t>
      </w:r>
    </w:p>
    <w:p>
      <w:pPr>
        <w:pStyle w:val="ListNumber"/>
      </w:pPr>
      <w:r>
        <w:rPr>
          <w:b/>
          <w:i w:val="0"/>
          <w:strike w:val="0"/>
        </w:rPr>
        <w:t>Five conforming amendments across five sections, within a bill that amends and reenacts eight sections and adds one</w:t>
      </w:r>
      <w:r>
        <w:rPr>
          <w:b w:val="0"/>
          <w:i w:val="0"/>
          <w:strike w:val="0"/>
        </w:rPr>
        <w:t xml:space="preserve"> (corrected in version 1.5; the earlier "six" counted the § 2.2-3204 subsection C sentence struck in version 1.4 as redundant) — to §§ 51.1-162, 51.1-165.01 and 51.1-166, which key off the </w:t>
      </w:r>
      <w:r>
        <w:rPr>
          <w:b w:val="0"/>
          <w:i/>
          <w:strike w:val="0"/>
        </w:rPr>
        <w:t>date of unreduced-retirement eligibility</w:t>
      </w:r>
      <w:r>
        <w:rPr>
          <w:b w:val="0"/>
          <w:i w:val="0"/>
          <w:strike w:val="0"/>
        </w:rPr>
        <w:t xml:space="preserve"> rather than off creditable service; to </w:t>
      </w:r>
      <w:r>
        <w:rPr>
          <w:b/>
          <w:i w:val="0"/>
          <w:strike w:val="0"/>
        </w:rPr>
        <w:t>subsection A of § 2.2-3204 in Title 2.2</w:t>
      </w:r>
      <w:r>
        <w:rPr>
          <w:b w:val="0"/>
          <w:i w:val="0"/>
          <w:strike w:val="0"/>
        </w:rPr>
        <w:t xml:space="preserve"> (version 1.1), under which Workforce Transition Act severance years convert from </w:t>
      </w:r>
      <w:r>
        <w:rPr>
          <w:b w:val="0"/>
          <w:i/>
          <w:strike w:val="0"/>
        </w:rPr>
        <w:t>age</w:t>
      </w:r>
      <w:r>
        <w:rPr>
          <w:b w:val="0"/>
          <w:i w:val="0"/>
          <w:strike w:val="0"/>
        </w:rPr>
        <w:t xml:space="preserve"> into </w:t>
      </w:r>
      <w:r>
        <w:rPr>
          <w:b w:val="0"/>
          <w:i/>
          <w:strike w:val="0"/>
        </w:rPr>
        <w:t>creditable service</w:t>
      </w:r>
      <w:r>
        <w:rPr>
          <w:b w:val="0"/>
          <w:i w:val="0"/>
          <w:strike w:val="0"/>
        </w:rPr>
        <w:t xml:space="preserve"> once an employee is eligible for unreduced retirement; and to </w:t>
      </w:r>
      <w:r>
        <w:rPr>
          <w:b/>
          <w:i w:val="0"/>
          <w:strike w:val="0"/>
        </w:rPr>
        <w:t>§ 51.1-153 C</w:t>
      </w:r>
      <w:r>
        <w:rPr>
          <w:b w:val="0"/>
          <w:i w:val="0"/>
          <w:strike w:val="0"/>
        </w:rPr>
        <w:t xml:space="preserve"> (version 1.2), the deferred-retirement subsection, which expressly waives in-service requirements and would otherwise have swallowed the new in-service-at-retirement condition. </w:t>
      </w:r>
      <w:r>
        <w:rPr>
          <w:b/>
          <w:i w:val="0"/>
          <w:strike w:val="0"/>
        </w:rPr>
        <w:t>Version 1.4 adds two further amendments that are not conforming but enabling</w:t>
      </w:r>
      <w:r>
        <w:rPr>
          <w:b w:val="0"/>
          <w:i w:val="0"/>
          <w:strike w:val="0"/>
        </w:rPr>
        <w:t xml:space="preserve"> — subdivision B 4 of § 51.1-153 and the parallel paragraph of subdivision A 3 of § 51.1-155, which add subdivision B 2 to the resolution purposes list under DECISION 13. Without these, the credit leaks into PLOP, the death-in-service benefit, deferred retirement, and an employer-funded increase in the allowance itself, even though it is not creditable service.</w:t>
      </w:r>
    </w:p>
    <w:p>
      <w:r>
        <w:rPr>
          <w:b/>
          <w:i w:val="0"/>
          <w:strike w:val="0"/>
        </w:rPr>
        <w:t>What the three moves do not reach.</w:t>
      </w:r>
      <w:r>
        <w:rPr>
          <w:b w:val="0"/>
          <w:i w:val="0"/>
          <w:strike w:val="0"/>
        </w:rPr>
        <w:t xml:space="preserve"> They control what the credit </w:t>
      </w:r>
      <w:r>
        <w:rPr>
          <w:b w:val="0"/>
          <w:i/>
          <w:strike w:val="0"/>
        </w:rPr>
        <w:t>is</w:t>
      </w:r>
      <w:r>
        <w:rPr>
          <w:b w:val="0"/>
          <w:i w:val="0"/>
          <w:strike w:val="0"/>
        </w:rPr>
        <w:t xml:space="preserve">. They do not control what an </w:t>
      </w:r>
      <w:r>
        <w:rPr>
          <w:b/>
          <w:i w:val="0"/>
          <w:strike w:val="0"/>
        </w:rPr>
        <w:t>earlier retirement date</w:t>
      </w:r>
      <w:r>
        <w:rPr>
          <w:b w:val="0"/>
          <w:i w:val="0"/>
          <w:strike w:val="0"/>
        </w:rPr>
        <w:t xml:space="preserve"> does. </w:t>
      </w:r>
      <w:r>
        <w:rPr>
          <w:b/>
          <w:i w:val="0"/>
          <w:strike w:val="0"/>
        </w:rPr>
        <w:t>HIC and COLA follow the retirement date, so preventing earlier commencement would require separate statutory changes outside the bridge</w:t>
      </w:r>
      <w:r>
        <w:rPr>
          <w:b w:val="0"/>
          <w:i w:val="0"/>
          <w:strike w:val="0"/>
        </w:rPr>
        <w:t xml:space="preserve"> — to Chapter 14 and to § 51.1-166. Both therefore start up to four years earlier. </w:t>
      </w:r>
      <w:r>
        <w:rPr>
          <w:b/>
          <w:i w:val="0"/>
          <w:strike w:val="0"/>
        </w:rPr>
        <w:t>Per DECISION 9 the proposal deliberately accepts and discloses that earlier commencement rather than adding separate delay provisions</w:t>
      </w:r>
      <w:r>
        <w:rPr>
          <w:b w:val="0"/>
          <w:i w:val="0"/>
          <w:strike w:val="0"/>
        </w:rPr>
        <w:t>, and the savings paragraph at the end of § 51.1-142.4 F says so affirmatively so no one misreads subdivision F 8 as delaying commencement.</w:t>
      </w:r>
    </w:p>
    <w:p>
      <w:pPr>
        <w:pStyle w:val="Heading2"/>
      </w:pPr>
      <w:r>
        <w:rPr>
          <w:b w:val="0"/>
          <w:i w:val="0"/>
          <w:strike w:val="0"/>
        </w:rPr>
        <w:t>Policy decisions — all principal policy questions settled</w:t>
      </w:r>
    </w:p>
    <w:p>
      <w:r>
        <w:rPr>
          <w:b w:val="0"/>
          <w:i w:val="0"/>
          <w:strike w:val="0"/>
        </w:rPr>
        <w:t xml:space="preserve">See </w:t>
      </w:r>
      <w:r>
        <w:rPr>
          <w:rFonts w:ascii="Consolas" w:hAnsi="Consolas"/>
          <w:b w:val="0"/>
          <w:i w:val="0"/>
          <w:strike w:val="0"/>
          <w:color w:val="303030"/>
          <w:sz w:val="19"/>
        </w:rPr>
        <w:t>02-legal-analysis-memo.docx</w:t>
      </w:r>
      <w:r>
        <w:rPr>
          <w:b w:val="0"/>
          <w:i w:val="0"/>
          <w:strike w:val="0"/>
        </w:rPr>
        <w:t>, Part 6.</w:t>
      </w:r>
    </w:p>
    <w:p>
      <w:r>
        <w:rPr>
          <w:b/>
          <w:i w:val="0"/>
          <w:strike w:val="0"/>
        </w:rPr>
        <w:t>Settled October 19, 2026:</w:t>
      </w:r>
      <w:r>
        <w:rPr>
          <w:b w:val="0"/>
          <w:i w:val="0"/>
          <w:strike w:val="0"/>
        </w:rPr>
        <w:t xml:space="preserve"> hybrid plan participants excluded (Plan 1 / Plan 2 only); the military retired pay bar inherited without exception; the PLOP eligibility date frozen, with the trade-off disclosed in both briefs; partial purchase capped at the shortfall permitted.</w:t>
      </w:r>
    </w:p>
    <w:p>
      <w:r>
        <w:rPr>
          <w:b/>
          <w:i w:val="0"/>
          <w:strike w:val="0"/>
        </w:rPr>
        <w:t>Settled October 20, 2026 — the three blockers from internal adversarial review:</w:t>
      </w:r>
    </w:p>
    <w:p>
      <w:pPr>
        <w:pStyle w:val="ListBullet"/>
      </w:pPr>
      <w:r>
        <w:rPr>
          <w:b/>
          <w:i w:val="0"/>
          <w:strike w:val="0"/>
        </w:rPr>
        <w:t>DECISION 8 — deferred-member acceleration.</w:t>
      </w:r>
      <w:r>
        <w:rPr>
          <w:b w:val="0"/>
          <w:i w:val="0"/>
          <w:strike w:val="0"/>
        </w:rPr>
        <w:t xml:space="preserve"> </w:t>
      </w:r>
      <w:r>
        <w:rPr>
          <w:b w:val="0"/>
          <w:i/>
          <w:strike w:val="0"/>
        </w:rPr>
        <w:t>Require member-in-service status at retirement, not only at purchase.</w:t>
      </w:r>
      <w:r>
        <w:rPr>
          <w:b w:val="0"/>
          <w:i w:val="0"/>
          <w:strike w:val="0"/>
        </w:rPr>
        <w:t xml:space="preserve"> </w:t>
      </w:r>
      <w:r>
        <w:rPr>
          <w:b/>
          <w:i w:val="0"/>
          <w:strike w:val="0"/>
        </w:rPr>
        <w:t>Version 1.3 note:</w:t>
      </w:r>
      <w:r>
        <w:rPr>
          <w:b w:val="0"/>
          <w:i w:val="0"/>
          <w:strike w:val="0"/>
        </w:rPr>
        <w:t xml:space="preserve"> the version 1.2 drafting of this decision did </w:t>
      </w:r>
      <w:r>
        <w:rPr>
          <w:b/>
          <w:i w:val="0"/>
          <w:strike w:val="0"/>
        </w:rPr>
        <w:t>not</w:t>
      </w:r>
      <w:r>
        <w:rPr>
          <w:b w:val="0"/>
          <w:i w:val="0"/>
          <w:strike w:val="0"/>
        </w:rPr>
        <w:t xml:space="preserve"> achieve it — the condition tested a status on one named calendar day and the status was purchasable with one day of rehire. Version 1.3 requires continuity of service from the grant date and makes termination of service a refund trigger. Implemented in new § 51.1-142.4 E 3 </w:t>
      </w:r>
      <w:r>
        <w:rPr>
          <w:b/>
          <w:i w:val="0"/>
          <w:strike w:val="0"/>
        </w:rPr>
        <w:t>and</w:t>
      </w:r>
      <w:r>
        <w:rPr>
          <w:b w:val="0"/>
          <w:i w:val="0"/>
          <w:strike w:val="0"/>
        </w:rPr>
        <w:t xml:space="preserve"> in an amendment to § 51.1-153 C — both were necessary, because that subsection's general waiver of in-service requirements would otherwise have consumed the new condition. A member who leaves before retiring is refunded with interest (K 1 c, K 1 d) and must be told so in writing before purchase (I 2(vii)).</w:t>
      </w:r>
    </w:p>
    <w:p>
      <w:pPr>
        <w:pStyle w:val="ListBullet"/>
      </w:pPr>
      <w:r>
        <w:rPr>
          <w:b/>
          <w:i w:val="0"/>
          <w:strike w:val="0"/>
        </w:rPr>
        <w:t>DECISION 9 — health insurance credit and COLA commencement.</w:t>
      </w:r>
      <w:r>
        <w:rPr>
          <w:b w:val="0"/>
          <w:i w:val="0"/>
          <w:strike w:val="0"/>
        </w:rPr>
        <w:t xml:space="preserve"> </w:t>
      </w:r>
      <w:r>
        <w:rPr>
          <w:b w:val="0"/>
          <w:i/>
          <w:strike w:val="0"/>
        </w:rPr>
        <w:t>Accept and price both; disclose them in the briefs and to the money committees.</w:t>
      </w:r>
      <w:r>
        <w:rPr>
          <w:b w:val="0"/>
          <w:i w:val="0"/>
          <w:strike w:val="0"/>
        </w:rPr>
        <w:t xml:space="preserve"> </w:t>
      </w:r>
      <w:r>
        <w:rPr>
          <w:b/>
          <w:i w:val="0"/>
          <w:strike w:val="0"/>
        </w:rPr>
        <w:t>HIC and COLA follow the retirement date, so preventing earlier commencement would require separate statutory changes outside the bridge.</w:t>
      </w:r>
      <w:r>
        <w:rPr>
          <w:b w:val="0"/>
          <w:i w:val="0"/>
          <w:strike w:val="0"/>
        </w:rPr>
        <w:t xml:space="preserve"> No exclusion is attempted: the proposal deliberately accepts and discloses the earlier commencement rather than adding separate delay provisions. Clause 3(vi) of the enactment requires the Board to report both by trust. The COLA exposure is the one figure the cost model does not quantify.</w:t>
      </w:r>
    </w:p>
    <w:p>
      <w:pPr>
        <w:pStyle w:val="ListBullet"/>
      </w:pPr>
      <w:r>
        <w:rPr>
          <w:b/>
          <w:i w:val="0"/>
          <w:strike w:val="0"/>
        </w:rPr>
        <w:t>DECISION 10 — § 51.1-153 B 4 public-safety scope.</w:t>
      </w:r>
      <w:r>
        <w:rPr>
          <w:b w:val="0"/>
          <w:i w:val="0"/>
          <w:strike w:val="0"/>
        </w:rPr>
        <w:t xml:space="preserve"> </w:t>
      </w:r>
      <w:r>
        <w:rPr>
          <w:b w:val="0"/>
          <w:i/>
          <w:strike w:val="0"/>
        </w:rPr>
        <w:t>Exclude only those qualifying B 4 employees who first entered the VRS-administered retirement system on or after the January 1, 2014 Hybrid transition.</w:t>
      </w:r>
      <w:r>
        <w:rPr>
          <w:b w:val="0"/>
          <w:i w:val="0"/>
          <w:strike w:val="0"/>
        </w:rPr>
        <w:t xml:space="preserve"> Clause B 1(iv) tracks the § 51.1-169 A membership test, so a member already in a VRS-administered plan before that date remains potentially eligible even if rehired later. Implemented in new clause B 1(iv) and subsection J, with new subdivision C 1 c resolving which deficit formula applies to the still-eligible pre-2014 class. Narrower than the policy-development team recommended and adopted without reservation: the defect was that the class was permanent and growing, and this removes exactly that while keeping the bridge for pre-2014 public-safety veterans. </w:t>
      </w:r>
      <w:r>
        <w:rPr>
          <w:b/>
          <w:i w:val="0"/>
          <w:strike w:val="0"/>
        </w:rPr>
        <w:t>The beneficiary class is now substantially closing (see the version 1.4 change log, item 4) across the entire bill.</w:t>
      </w:r>
      <w:r>
        <w:rPr>
          <w:b w:val="0"/>
          <w:i w:val="0"/>
          <w:strike w:val="0"/>
        </w:rPr>
        <w:t xml:space="preserve"> The resolved wording was conformed to the statute without changing its substance; its verbatim text is recorded in Part 6.1 of the memorandum.</w:t>
      </w:r>
    </w:p>
    <w:p>
      <w:r>
        <w:rPr>
          <w:b/>
          <w:i w:val="0"/>
          <w:strike w:val="0"/>
        </w:rPr>
        <w:t>Remaining open items are not JLCVSO policy questions:</w:t>
      </w:r>
      <w:r>
        <w:rPr>
          <w:b w:val="0"/>
          <w:i w:val="0"/>
          <w:strike w:val="0"/>
        </w:rPr>
        <w:t xml:space="preserve"> the VRS Board's § 30-19.1:7 statement, the federal tax questions in Part 5.2 of the memorandum, a re-run of the cost model against version 1.2, and the two verification items in Part 7.5. Drafting note 10 also flags one sub-question the Council has not been asked — whether a member on approved leave or long-term disability at retirement should count as in service for DECISION 8 purposes.</w:t>
      </w:r>
    </w:p>
    <w:p>
      <w:pPr>
        <w:pStyle w:val="Heading2"/>
      </w:pPr>
      <w:r>
        <w:rPr>
          <w:b w:val="0"/>
          <w:i w:val="0"/>
          <w:strike w:val="0"/>
        </w:rPr>
        <w:t>What it costs</w:t>
      </w:r>
    </w:p>
    <w:p>
      <w:r>
        <w:rPr>
          <w:b w:val="0"/>
          <w:i w:val="0"/>
          <w:strike w:val="0"/>
        </w:rPr>
        <w:t xml:space="preserve">ACTUARY 1 and ACTUARY 2 are </w:t>
      </w:r>
      <w:r>
        <w:rPr>
          <w:b/>
          <w:i w:val="0"/>
          <w:strike w:val="0"/>
        </w:rPr>
        <w:t>answered</w:t>
      </w:r>
      <w:r>
        <w:rPr>
          <w:b w:val="0"/>
          <w:i w:val="0"/>
          <w:strike w:val="0"/>
        </w:rPr>
        <w:t xml:space="preserve"> (MOO-259) — the model being </w:t>
      </w:r>
      <w:r>
        <w:rPr>
          <w:b/>
          <w:i w:val="0"/>
          <w:strike w:val="0"/>
        </w:rPr>
        <w:t>complete for version 1.1, with a refresh against the bill as introduced required before external use</w:t>
      </w:r>
      <w:r>
        <w:rPr>
          <w:b w:val="0"/>
          <w:i w:val="0"/>
          <w:strike w:val="0"/>
        </w:rPr>
        <w:t>. Two numbers, and the package must always carry both:</w:t>
      </w:r>
    </w:p>
    <w:p>
      <w:pPr>
        <w:pStyle w:val="ListBullet"/>
      </w:pPr>
      <w:r>
        <w:rPr>
          <w:b/>
          <w:i w:val="0"/>
          <w:strike w:val="0"/>
        </w:rPr>
        <w:t>Per member, the price does not cover the value.</w:t>
      </w:r>
      <w:r>
        <w:rPr>
          <w:b w:val="0"/>
          <w:i w:val="0"/>
          <w:strike w:val="0"/>
        </w:rPr>
        <w:t xml:space="preserve"> Approximate normal cost recovers </w:t>
      </w:r>
      <w:r>
        <w:rPr>
          <w:b/>
          <w:i w:val="0"/>
          <w:strike w:val="0"/>
        </w:rPr>
        <w:t>11% to 78%</w:t>
      </w:r>
      <w:r>
        <w:rPr>
          <w:b w:val="0"/>
          <w:i w:val="0"/>
          <w:strike w:val="0"/>
        </w:rPr>
        <w:t xml:space="preserve"> of the value of the acceleration. In the maximum-acceleration Plan 1 profile the member pays </w:t>
      </w:r>
      <w:r>
        <w:rPr>
          <w:b/>
          <w:i w:val="0"/>
          <w:strike w:val="0"/>
        </w:rPr>
        <w:t>$42,500</w:t>
      </w:r>
      <w:r>
        <w:rPr>
          <w:b w:val="0"/>
          <w:i w:val="0"/>
          <w:strike w:val="0"/>
        </w:rPr>
        <w:t xml:space="preserve"> for </w:t>
      </w:r>
      <w:r>
        <w:rPr>
          <w:b/>
          <w:i w:val="0"/>
          <w:strike w:val="0"/>
        </w:rPr>
        <w:t>$383,565</w:t>
      </w:r>
      <w:r>
        <w:rPr>
          <w:b w:val="0"/>
          <w:i w:val="0"/>
          <w:strike w:val="0"/>
        </w:rPr>
        <w:t xml:space="preserve">; </w:t>
      </w:r>
      <w:r>
        <w:rPr>
          <w:b/>
          <w:i w:val="0"/>
          <w:strike w:val="0"/>
        </w:rPr>
        <w:t>$341,065</w:t>
      </w:r>
      <w:r>
        <w:rPr>
          <w:b w:val="0"/>
          <w:i w:val="0"/>
          <w:strike w:val="0"/>
        </w:rPr>
        <w:t xml:space="preserve"> is the </w:t>
      </w:r>
      <w:r>
        <w:rPr>
          <w:b/>
          <w:i w:val="0"/>
          <w:strike w:val="0"/>
        </w:rPr>
        <w:t>modeled net value above the member purchase price in the single most favorable published profile</w:t>
      </w:r>
      <w:r>
        <w:rPr>
          <w:b w:val="0"/>
          <w:i w:val="0"/>
          <w:strike w:val="0"/>
        </w:rPr>
        <w:t xml:space="preserve"> — the single most favorable modeled profile, </w:t>
      </w:r>
      <w:r>
        <w:rPr>
          <w:b/>
          <w:i w:val="0"/>
          <w:strike w:val="0"/>
        </w:rPr>
        <w:t>not</w:t>
      </w:r>
      <w:r>
        <w:rPr>
          <w:b w:val="0"/>
          <w:i w:val="0"/>
          <w:strike w:val="0"/>
        </w:rPr>
        <w:t xml:space="preserve"> a cost per veteran. A member who would otherwise have worked on to unreduced eligibility </w:t>
      </w:r>
      <w:r>
        <w:rPr>
          <w:b/>
          <w:i w:val="0"/>
          <w:strike w:val="0"/>
        </w:rPr>
        <w:t>overpays</w:t>
      </w:r>
      <w:r>
        <w:rPr>
          <w:b w:val="0"/>
          <w:i w:val="0"/>
          <w:strike w:val="0"/>
        </w:rPr>
        <w:t xml:space="preserve"> in every modeled work-to-eligibility scenario. The bill is </w:t>
      </w:r>
      <w:r>
        <w:rPr>
          <w:b/>
          <w:i w:val="0"/>
          <w:strike w:val="0"/>
        </w:rPr>
        <w:t>not cost neutral and must not be presented as cost neutral.</w:t>
      </w:r>
    </w:p>
    <w:p>
      <w:pPr>
        <w:pStyle w:val="ListBullet"/>
      </w:pPr>
      <w:r>
        <w:rPr>
          <w:b/>
          <w:i w:val="0"/>
          <w:strike w:val="0"/>
        </w:rPr>
        <w:t>In aggregate it is very small.</w:t>
      </w:r>
      <w:r>
        <w:rPr>
          <w:b w:val="0"/>
          <w:i w:val="0"/>
          <w:strike w:val="0"/>
        </w:rPr>
        <w:t xml:space="preserve"> Employer contribution rate impact over FY2029–FY2038: </w:t>
      </w:r>
      <w:r>
        <w:rPr>
          <w:b/>
          <w:i w:val="0"/>
          <w:strike w:val="0"/>
        </w:rPr>
        <w:t>0.22 bp</w:t>
      </w:r>
      <w:r>
        <w:rPr>
          <w:b w:val="0"/>
          <w:i w:val="0"/>
          <w:strike w:val="0"/>
        </w:rPr>
        <w:t xml:space="preserve"> state, </w:t>
      </w:r>
      <w:r>
        <w:rPr>
          <w:b/>
          <w:i w:val="0"/>
          <w:strike w:val="0"/>
        </w:rPr>
        <w:t>0.20 bp</w:t>
      </w:r>
      <w:r>
        <w:rPr>
          <w:b w:val="0"/>
          <w:i w:val="0"/>
          <w:strike w:val="0"/>
        </w:rPr>
        <w:t xml:space="preserve"> teacher, </w:t>
      </w:r>
      <w:r>
        <w:rPr>
          <w:b/>
          <w:i w:val="0"/>
          <w:strike w:val="0"/>
        </w:rPr>
        <w:t>0.14 bp</w:t>
      </w:r>
      <w:r>
        <w:rPr>
          <w:b w:val="0"/>
          <w:i w:val="0"/>
          <w:strike w:val="0"/>
        </w:rPr>
        <w:t xml:space="preserve"> political subdivisions, </w:t>
      </w:r>
      <w:r>
        <w:rPr>
          <w:b/>
          <w:i w:val="0"/>
          <w:strike w:val="0"/>
        </w:rPr>
        <w:t>0.19 bp</w:t>
      </w:r>
      <w:r>
        <w:rPr>
          <w:b w:val="0"/>
          <w:i w:val="0"/>
          <w:strike w:val="0"/>
        </w:rPr>
        <w:t xml:space="preserve"> combined — about </w:t>
      </w:r>
      <w:r>
        <w:rPr>
          <w:b/>
          <w:i w:val="0"/>
          <w:strike w:val="0"/>
        </w:rPr>
        <w:t>222 purchasers</w:t>
      </w:r>
      <w:r>
        <w:rPr>
          <w:b w:val="0"/>
          <w:i w:val="0"/>
          <w:strike w:val="0"/>
        </w:rPr>
        <w:t xml:space="preserve"> against </w:t>
      </w:r>
      <w:r>
        <w:rPr>
          <w:b/>
          <w:i w:val="0"/>
          <w:strike w:val="0"/>
        </w:rPr>
        <w:t>$26.05 billion</w:t>
      </w:r>
      <w:r>
        <w:rPr>
          <w:b w:val="0"/>
          <w:i w:val="0"/>
          <w:strike w:val="0"/>
        </w:rPr>
        <w:t xml:space="preserve"> of covered payroll. To the nearest basis point, no plan's rate changes. Across every sensitivity tested the aggregate stays between </w:t>
      </w:r>
      <w:r>
        <w:rPr>
          <w:b/>
          <w:i w:val="0"/>
          <w:strike w:val="0"/>
        </w:rPr>
        <w:t>0.05 and 0.44 bp</w:t>
      </w:r>
      <w:r>
        <w:rPr>
          <w:b w:val="0"/>
          <w:i w:val="0"/>
          <w:strike w:val="0"/>
        </w:rPr>
        <w:t xml:space="preserve">. Every public use of the 0.19 bp figure must state that it is the </w:t>
      </w:r>
      <w:r>
        <w:rPr>
          <w:b/>
          <w:i w:val="0"/>
          <w:strike w:val="0"/>
        </w:rPr>
        <w:t>modeled retirement-plan employer contribution impact and excludes the separately funded health insurance credit and COLA effects, including unquantified COLA exposure.</w:t>
      </w:r>
    </w:p>
    <w:p>
      <w:r>
        <w:rPr>
          <w:b w:val="0"/>
          <w:i w:val="0"/>
          <w:strike w:val="0"/>
        </w:rPr>
        <w:t xml:space="preserve">The </w:t>
      </w:r>
      <w:r>
        <w:rPr>
          <w:b/>
          <w:i w:val="0"/>
          <w:strike w:val="0"/>
        </w:rPr>
        <w:t>12.50% Plan 1 / 10.74% Plan 2</w:t>
      </w:r>
      <w:r>
        <w:rPr>
          <w:b w:val="0"/>
          <w:i w:val="0"/>
          <w:strike w:val="0"/>
        </w:rPr>
        <w:t xml:space="preserve"> approximate normal cost rates are the rates for </w:t>
      </w:r>
      <w:r>
        <w:rPr>
          <w:b/>
          <w:i w:val="0"/>
          <w:strike w:val="0"/>
        </w:rPr>
        <w:t>ordinary non-hazardous members</w:t>
      </w:r>
      <w:r>
        <w:rPr>
          <w:b w:val="0"/>
          <w:i w:val="0"/>
          <w:strike w:val="0"/>
        </w:rPr>
        <w:t xml:space="preserve">. The applicable approximate-normal-cost rate for eligible pre-2014 § 51.1-153 B 4 public-safety members </w:t>
      </w:r>
      <w:r>
        <w:rPr>
          <w:b/>
          <w:i w:val="0"/>
          <w:strike w:val="0"/>
        </w:rPr>
        <w:t>requires VRS confirmation</w:t>
      </w:r>
      <w:r>
        <w:rPr>
          <w:b w:val="0"/>
          <w:i w:val="0"/>
          <w:strike w:val="0"/>
        </w:rPr>
        <w:t>.</w:t>
      </w:r>
    </w:p>
    <w:p>
      <w:r>
        <w:rPr>
          <w:b w:val="0"/>
          <w:i w:val="0"/>
          <w:strike w:val="0"/>
        </w:rPr>
        <w:t xml:space="preserve">Three things that follow. </w:t>
      </w:r>
      <w:r>
        <w:rPr>
          <w:b/>
          <w:i w:val="0"/>
          <w:strike w:val="0"/>
        </w:rPr>
        <w:t>Placing the credit in a new section</w:t>
      </w:r>
      <w:r>
        <w:rPr>
          <w:b w:val="0"/>
          <w:i w:val="0"/>
          <w:strike w:val="0"/>
        </w:rPr>
        <w:t xml:space="preserve"> — not the § 51.1-124.3 carve-out — is what keeps it outside "creditable service," which by its own terms reaches only prior service as set forth in § 51.1-142.2 plus membership service; the carve-out forecloses argument and costs nothing, and should be retained as litigation insurance. The </w:t>
      </w:r>
      <w:r>
        <w:rPr>
          <w:b/>
          <w:i w:val="0"/>
          <w:strike w:val="0"/>
        </w:rPr>
        <w:t>5.7×</w:t>
      </w:r>
      <w:r>
        <w:rPr>
          <w:b w:val="0"/>
          <w:i w:val="0"/>
          <w:strike w:val="0"/>
        </w:rPr>
        <w:t xml:space="preserve"> figure prices the bill that move avoids, not the carve-out (corrected October 20, 2026 — see memorandum Part 5.1). A member who would have worked on to unreduced eligibility </w:t>
      </w:r>
      <w:r>
        <w:rPr>
          <w:b/>
          <w:i w:val="0"/>
          <w:strike w:val="0"/>
        </w:rPr>
        <w:t>overpays</w:t>
      </w:r>
      <w:r>
        <w:rPr>
          <w:b w:val="0"/>
          <w:i w:val="0"/>
          <w:strike w:val="0"/>
        </w:rPr>
        <w:t xml:space="preserve"> in every profile modeled, so the subsidy exists only for members who were leaving anyway. And hybrid inclusion would change the ten-year number by </w:t>
      </w:r>
      <w:r>
        <w:rPr>
          <w:b/>
          <w:i w:val="0"/>
          <w:strike w:val="0"/>
        </w:rPr>
        <w:t>less than one hundredth of a basis point</w:t>
      </w:r>
      <w:r>
        <w:rPr>
          <w:b w:val="0"/>
          <w:i w:val="0"/>
          <w:strike w:val="0"/>
        </w:rPr>
        <w:t>, so DECISION 2 stands on equity and precedent, not on near-term cost.</w:t>
      </w:r>
    </w:p>
    <w:p>
      <w:r>
        <w:rPr>
          <w:b/>
          <w:i w:val="0"/>
          <w:strike w:val="0"/>
        </w:rPr>
        <w:t>Three limits on that model, stated plainly.</w:t>
      </w:r>
      <w:r>
        <w:rPr>
          <w:b w:val="0"/>
          <w:i w:val="0"/>
          <w:strike w:val="0"/>
        </w:rPr>
        <w:t xml:space="preserve"> It is an illustrative public-finance model, </w:t>
      </w:r>
      <w:r>
        <w:rPr>
          <w:b/>
          <w:i w:val="0"/>
          <w:strike w:val="0"/>
        </w:rPr>
        <w:t>not</w:t>
      </w:r>
      <w:r>
        <w:rPr>
          <w:b w:val="0"/>
          <w:i w:val="0"/>
          <w:strike w:val="0"/>
        </w:rPr>
        <w:t xml:space="preserve"> an actuarial certification and </w:t>
      </w:r>
      <w:r>
        <w:rPr>
          <w:b/>
          <w:i w:val="0"/>
          <w:strike w:val="0"/>
        </w:rPr>
        <w:t>not</w:t>
      </w:r>
      <w:r>
        <w:rPr>
          <w:b w:val="0"/>
          <w:i w:val="0"/>
          <w:strike w:val="0"/>
        </w:rPr>
        <w:t xml:space="preserve"> the VRS Board's mandatory statement under § 30-19.1:7, which has not been requested. Its weakest input is the veteran-population funnel — one published anchor and four assumed filters — which alone moves the aggregate from 0.07 to 0.44 bp. And it was built against </w:t>
      </w:r>
      <w:r>
        <w:rPr>
          <w:b/>
          <w:i w:val="0"/>
          <w:strike w:val="0"/>
        </w:rPr>
        <w:t>version 1.1</w:t>
      </w:r>
      <w:r>
        <w:rPr>
          <w:b w:val="0"/>
          <w:i w:val="0"/>
          <w:strike w:val="0"/>
        </w:rPr>
        <w:t xml:space="preserve">, so it should be re-run: it does not price the DECISION 8 deferred path, which version 1.2 has now </w:t>
      </w:r>
      <w:r>
        <w:rPr>
          <w:b/>
          <w:i w:val="0"/>
          <w:strike w:val="0"/>
        </w:rPr>
        <w:t>closed</w:t>
      </w:r>
      <w:r>
        <w:rPr>
          <w:b w:val="0"/>
          <w:i w:val="0"/>
          <w:strike w:val="0"/>
        </w:rPr>
        <w:t xml:space="preserve">, and its population includes the B 4 public-safety employees who first entered the VRS-administered retirement system on or after the January 1, 2014 Hybrid transition, whom clause B 1(iv) now </w:t>
      </w:r>
      <w:r>
        <w:rPr>
          <w:b/>
          <w:i w:val="0"/>
          <w:strike w:val="0"/>
        </w:rPr>
        <w:t>excludes</w:t>
      </w:r>
      <w:r>
        <w:rPr>
          <w:b w:val="0"/>
          <w:i w:val="0"/>
          <w:strike w:val="0"/>
        </w:rPr>
        <w:t>. Both corrections run downward, so no figure above is an understatement on their account.</w:t>
      </w:r>
    </w:p>
    <w:p>
      <w:pPr>
        <w:pStyle w:val="Heading2"/>
      </w:pPr>
      <w:r>
        <w:rPr>
          <w:b w:val="0"/>
          <w:i w:val="0"/>
          <w:strike w:val="0"/>
        </w:rPr>
        <w:t>Verification note</w:t>
      </w:r>
    </w:p>
    <w:p>
      <w:r>
        <w:rPr>
          <w:b w:val="0"/>
          <w:i w:val="0"/>
          <w:strike w:val="0"/>
        </w:rPr>
        <w:t>All statutory text was read in the official Code of Virginia at law.lis.virginia.gov on October 19–20, 2026, including the 2026 amendments to § 51.1-142.2 and, for version 1.2, the full text of § 51.1-153 C, § 51.1-153 B 4 and § 51.1-169 A. § 51.1-142.4 was confirmed unoccupied. No Code section was inferred. "Plan 1," "Plan 2," "vesting," "earned service," and "benefit-calculation service" are not operative terms in Title 51.1 and are not used in the bill.</w:t>
      </w:r>
    </w:p>
    <w:p>
      <w:pPr>
        <w:pStyle w:val="Heading2"/>
      </w:pPr>
      <w:r>
        <w:rPr>
          <w:b w:val="0"/>
          <w:i w:val="0"/>
          <w:strike w:val="0"/>
        </w:rPr>
        <w:t>Final sign-off record (version 1.1, October 19, 2026)</w:t>
      </w:r>
    </w:p>
    <w:p>
      <w:r>
        <w:rPr>
          <w:b w:val="0"/>
          <w:i w:val="0"/>
          <w:strike w:val="0"/>
        </w:rPr>
        <w:t>Title 51.1 sign-off review of the integrated package found no defect in the operative bill text and three cross-document inconsistencies, all corrected:</w:t>
      </w:r>
    </w:p>
    <w:p>
      <w:pPr>
        <w:pStyle w:val="ListNumber"/>
      </w:pPr>
      <w:r>
        <w:rPr>
          <w:b/>
          <w:i w:val="0"/>
          <w:strike w:val="0"/>
        </w:rPr>
        <w:t>Drafting note 4 of the bill</w:t>
      </w:r>
      <w:r>
        <w:rPr>
          <w:b w:val="0"/>
          <w:i w:val="0"/>
          <w:strike w:val="0"/>
        </w:rPr>
        <w:t xml:space="preserve"> still described "four express conforming amendments to §§ 51.1-162, 51.1-165.01, and 51.1-166," omitting the § 2.2-3204 amendment that version 1.1 added. Corrected to five amendments across four sections, with the Workforce Transition Act leak named and the "what these moves do not reach" caveat carried into the note DLS will read.</w:t>
      </w:r>
    </w:p>
    <w:p>
      <w:pPr>
        <w:pStyle w:val="ListNumber"/>
      </w:pPr>
      <w:r>
        <w:rPr>
          <w:b/>
          <w:i w:val="0"/>
          <w:strike w:val="0"/>
        </w:rPr>
        <w:t>This README's three-moves list</w:t>
      </w:r>
      <w:r>
        <w:rPr>
          <w:b w:val="0"/>
          <w:i w:val="0"/>
          <w:strike w:val="0"/>
        </w:rPr>
        <w:t xml:space="preserve"> said the § 51.1-124.3 carve-out protects "the health insurance credit," contradicting the correction recorded above it. Narrowed to the credit's threshold and amount, which is all the carve-out reaches.</w:t>
      </w:r>
    </w:p>
    <w:p>
      <w:pPr>
        <w:pStyle w:val="ListNumber"/>
      </w:pPr>
      <w:r>
        <w:rPr>
          <w:b/>
          <w:i w:val="0"/>
          <w:strike w:val="0"/>
        </w:rPr>
        <w:t>The comparison table in the fiscal model memorandum</w:t>
      </w:r>
      <w:r>
        <w:rPr>
          <w:b w:val="0"/>
          <w:i w:val="0"/>
          <w:strike w:val="0"/>
        </w:rPr>
        <w:t xml:space="preserve"> (§ 4) listed the health insurance credit and post-retirement supplement commencement among items "all expressly excluded or frozen." Split into its own row stating that neither is reached by the bill and that both sit outside the 0.19 bp figure.</w:t>
      </w:r>
    </w:p>
    <w:p>
      <w:r>
        <w:rPr>
          <w:b w:val="0"/>
          <w:i w:val="0"/>
          <w:strike w:val="0"/>
        </w:rPr>
        <w:t xml:space="preserve">Sign-off is limited to internal consistency and Title 51.1 correctness of the text as drafted. </w:t>
      </w:r>
      <w:r>
        <w:rPr>
          <w:b/>
          <w:i w:val="0"/>
          <w:strike w:val="0"/>
        </w:rPr>
        <w:t>It is not an authorization to introduce.</w:t>
      </w:r>
    </w:p>
    <w:p>
      <w:pPr>
        <w:pStyle w:val="Heading2"/>
      </w:pPr>
      <w:r>
        <w:rPr>
          <w:b w:val="0"/>
          <w:i w:val="0"/>
          <w:strike w:val="0"/>
        </w:rPr>
        <w:t>Version 1.2 record (October 20, 2026)</w:t>
      </w:r>
    </w:p>
    <w:p>
      <w:r>
        <w:rPr>
          <w:b w:val="0"/>
          <w:i w:val="0"/>
          <w:strike w:val="0"/>
        </w:rPr>
        <w:t>The three blockers were resolved on October 20, 2026 and drafted. Changes to the operative text: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Change</w:t>
            </w:r>
          </w:p>
        </w:tc>
        <w:tc>
          <w:tcPr>
            <w:tcW w:type="dxa" w:w="2880"/>
          </w:tcPr>
          <w:p>
            <w:r>
              <w:rPr>
                <w:b/>
                <w:i w:val="0"/>
                <w:strike w:val="0"/>
              </w:rPr>
              <w:t>Where</w:t>
            </w:r>
          </w:p>
        </w:tc>
        <w:tc>
          <w:tcPr>
            <w:tcW w:type="dxa" w:w="2880"/>
          </w:tcPr>
          <w:p>
            <w:r>
              <w:rPr>
                <w:b/>
                <w:i w:val="0"/>
                <w:strike w:val="0"/>
              </w:rPr>
              <w:t>Why</w:t>
            </w:r>
          </w:p>
        </w:tc>
      </w:tr>
      <w:tr>
        <w:tc>
          <w:tcPr>
            <w:tcW w:type="dxa" w:w="2880"/>
          </w:tcPr>
          <w:p>
            <w:r>
              <w:rPr>
                <w:b w:val="0"/>
                <w:i w:val="0"/>
                <w:strike w:val="0"/>
              </w:rPr>
              <w:t xml:space="preserve">In-service status required </w:t>
            </w:r>
            <w:r>
              <w:rPr>
                <w:b/>
                <w:i w:val="0"/>
                <w:strike w:val="0"/>
              </w:rPr>
              <w:t>at retirement</w:t>
            </w:r>
            <w:r>
              <w:rPr>
                <w:b w:val="0"/>
                <w:i w:val="0"/>
                <w:strike w:val="0"/>
              </w:rPr>
              <w:t>, not only at purchase</w:t>
            </w:r>
          </w:p>
        </w:tc>
        <w:tc>
          <w:tcPr>
            <w:tcW w:type="dxa" w:w="2880"/>
          </w:tcPr>
          <w:p>
            <w:r>
              <w:rPr>
                <w:b w:val="0"/>
                <w:i w:val="0"/>
                <w:strike w:val="0"/>
              </w:rPr>
              <w:t xml:space="preserve">New § 51.1-142.4 </w:t>
            </w:r>
            <w:r>
              <w:rPr>
                <w:b/>
                <w:i w:val="0"/>
                <w:strike w:val="0"/>
              </w:rPr>
              <w:t>E 3</w:t>
            </w:r>
            <w:r>
              <w:rPr>
                <w:b w:val="0"/>
                <w:i w:val="0"/>
                <w:strike w:val="0"/>
              </w:rPr>
              <w:t xml:space="preserve">; new conforming amendment to </w:t>
            </w:r>
            <w:r>
              <w:rPr>
                <w:b/>
                <w:i w:val="0"/>
                <w:strike w:val="0"/>
              </w:rPr>
              <w:t>§ 51.1-153 C</w:t>
            </w:r>
          </w:p>
        </w:tc>
        <w:tc>
          <w:tcPr>
            <w:tcW w:type="dxa" w:w="2880"/>
          </w:tcPr>
          <w:p>
            <w:r>
              <w:rPr>
                <w:b w:val="0"/>
                <w:i w:val="0"/>
                <w:strike w:val="0"/>
              </w:rPr>
              <w:t>DECISION 8. Closes the buy-resign-defer path. The § 51.1-153 C amendment is load-bearing, not belt-and-braces: that subsection's second sentence waives in-service requirements outright</w:t>
            </w:r>
          </w:p>
        </w:tc>
      </w:tr>
      <w:tr>
        <w:tc>
          <w:tcPr>
            <w:tcW w:type="dxa" w:w="2880"/>
          </w:tcPr>
          <w:p>
            <w:r>
              <w:rPr>
                <w:b w:val="0"/>
                <w:i w:val="0"/>
                <w:strike w:val="0"/>
              </w:rPr>
              <w:t>Refund triggers on termination of service, on deferred-retirement application and on written request</w:t>
            </w:r>
          </w:p>
        </w:tc>
        <w:tc>
          <w:tcPr>
            <w:tcW w:type="dxa" w:w="2880"/>
          </w:tcPr>
          <w:p>
            <w:r>
              <w:rPr>
                <w:b/>
                <w:i w:val="0"/>
                <w:strike w:val="0"/>
              </w:rPr>
              <w:t>K 1 c</w:t>
            </w:r>
            <w:r>
              <w:rPr>
                <w:b w:val="0"/>
                <w:i w:val="0"/>
                <w:strike w:val="0"/>
              </w:rPr>
              <w:t xml:space="preserve">, </w:t>
            </w:r>
            <w:r>
              <w:rPr>
                <w:b/>
                <w:i w:val="0"/>
                <w:strike w:val="0"/>
              </w:rPr>
              <w:t>K 1 d</w:t>
            </w:r>
            <w:r>
              <w:rPr>
                <w:b w:val="0"/>
                <w:i w:val="0"/>
                <w:strike w:val="0"/>
              </w:rPr>
              <w:t xml:space="preserve">, </w:t>
            </w:r>
            <w:r>
              <w:rPr>
                <w:b/>
                <w:i w:val="0"/>
                <w:strike w:val="0"/>
              </w:rPr>
              <w:t>K 1 e</w:t>
            </w:r>
          </w:p>
        </w:tc>
        <w:tc>
          <w:tcPr>
            <w:tcW w:type="dxa" w:w="2880"/>
          </w:tcPr>
          <w:p>
            <w:r>
              <w:rPr>
                <w:b w:val="0"/>
                <w:i w:val="0"/>
                <w:strike w:val="0"/>
              </w:rPr>
              <w:t>A member who can no longer use the credit gets her money back with interest</w:t>
            </w:r>
          </w:p>
        </w:tc>
      </w:tr>
      <w:tr>
        <w:tc>
          <w:tcPr>
            <w:tcW w:type="dxa" w:w="2880"/>
          </w:tcPr>
          <w:p>
            <w:r>
              <w:rPr>
                <w:b w:val="0"/>
                <w:i w:val="0"/>
                <w:strike w:val="0"/>
              </w:rPr>
              <w:t>Pre-purchase disclosure of the in-service condition</w:t>
            </w:r>
          </w:p>
        </w:tc>
        <w:tc>
          <w:tcPr>
            <w:tcW w:type="dxa" w:w="2880"/>
          </w:tcPr>
          <w:p>
            <w:r>
              <w:rPr>
                <w:b/>
                <w:i w:val="0"/>
                <w:strike w:val="0"/>
              </w:rPr>
              <w:t>I 2(vii)</w:t>
            </w:r>
          </w:p>
        </w:tc>
        <w:tc>
          <w:tcPr>
            <w:tcW w:type="dxa" w:w="2880"/>
          </w:tcPr>
          <w:p>
            <w:r>
              <w:rPr>
                <w:b w:val="0"/>
                <w:i w:val="0"/>
                <w:strike w:val="0"/>
              </w:rPr>
              <w:t>A member must not pay for credit she will forfeit by leaving</w:t>
            </w:r>
          </w:p>
        </w:tc>
      </w:tr>
      <w:tr>
        <w:tc>
          <w:tcPr>
            <w:tcW w:type="dxa" w:w="2880"/>
          </w:tcPr>
          <w:p>
            <w:r>
              <w:rPr>
                <w:b w:val="0"/>
                <w:i w:val="0"/>
                <w:strike w:val="0"/>
              </w:rPr>
              <w:t>B 4-resolution public-safety employees who first entered the VRS-administered retirement system on or after the January 1, 2014 Hybrid transition excluded</w:t>
            </w:r>
          </w:p>
        </w:tc>
        <w:tc>
          <w:tcPr>
            <w:tcW w:type="dxa" w:w="2880"/>
          </w:tcPr>
          <w:p>
            <w:r>
              <w:rPr>
                <w:b w:val="0"/>
                <w:i w:val="0"/>
                <w:strike w:val="0"/>
              </w:rPr>
              <w:t xml:space="preserve">New clause </w:t>
            </w:r>
            <w:r>
              <w:rPr>
                <w:b/>
                <w:i w:val="0"/>
                <w:strike w:val="0"/>
              </w:rPr>
              <w:t>B 1(iv)</w:t>
            </w:r>
            <w:r>
              <w:rPr>
                <w:b w:val="0"/>
                <w:i w:val="0"/>
                <w:strike w:val="0"/>
              </w:rPr>
              <w:t xml:space="preserve">; </w:t>
            </w:r>
            <w:r>
              <w:rPr>
                <w:b/>
                <w:i w:val="0"/>
                <w:strike w:val="0"/>
              </w:rPr>
              <w:t>subsection J</w:t>
            </w:r>
          </w:p>
        </w:tc>
        <w:tc>
          <w:tcPr>
            <w:tcW w:type="dxa" w:w="2880"/>
          </w:tcPr>
          <w:p>
            <w:r>
              <w:rPr>
                <w:b w:val="0"/>
                <w:i w:val="0"/>
                <w:strike w:val="0"/>
              </w:rPr>
              <w:t>DECISION 10, in its narrower resolved form. A membership test, not a hire-date test, so a pre-2014 member rehired later remains potentially eligible</w:t>
            </w:r>
          </w:p>
        </w:tc>
      </w:tr>
      <w:tr>
        <w:tc>
          <w:tcPr>
            <w:tcW w:type="dxa" w:w="2880"/>
          </w:tcPr>
          <w:p>
            <w:r>
              <w:rPr>
                <w:b w:val="0"/>
                <w:i w:val="0"/>
                <w:strike w:val="0"/>
              </w:rPr>
              <w:t>B 4 members routed to the subdivision B 2 deficit formula</w:t>
            </w:r>
          </w:p>
        </w:tc>
        <w:tc>
          <w:tcPr>
            <w:tcW w:type="dxa" w:w="2880"/>
          </w:tcPr>
          <w:p>
            <w:r>
              <w:rPr>
                <w:b w:val="0"/>
                <w:i w:val="0"/>
                <w:strike w:val="0"/>
              </w:rPr>
              <w:t xml:space="preserve">New </w:t>
            </w:r>
            <w:r>
              <w:rPr>
                <w:b/>
                <w:i w:val="0"/>
                <w:strike w:val="0"/>
              </w:rPr>
              <w:t>C 1 c</w:t>
            </w:r>
          </w:p>
        </w:tc>
        <w:tc>
          <w:tcPr>
            <w:tcW w:type="dxa" w:w="2880"/>
          </w:tcPr>
          <w:p>
            <w:r>
              <w:rPr>
                <w:b w:val="0"/>
                <w:i w:val="0"/>
                <w:strike w:val="0"/>
              </w:rPr>
              <w:t>The B 4 deeming does not reach subdivision B 2, leaving the formula indeterminate for the still-eligible pre-2014 class</w:t>
            </w:r>
          </w:p>
        </w:tc>
      </w:tr>
      <w:tr>
        <w:tc>
          <w:tcPr>
            <w:tcW w:type="dxa" w:w="2880"/>
          </w:tcPr>
          <w:p>
            <w:r>
              <w:rPr>
                <w:b w:val="0"/>
                <w:i w:val="0"/>
                <w:strike w:val="0"/>
              </w:rPr>
              <w:t xml:space="preserve">Savings paragraph: the bill does </w:t>
            </w:r>
            <w:r>
              <w:rPr>
                <w:b/>
                <w:i w:val="0"/>
                <w:strike w:val="0"/>
              </w:rPr>
              <w:t>not</w:t>
            </w:r>
            <w:r>
              <w:rPr>
                <w:b w:val="0"/>
                <w:i w:val="0"/>
                <w:strike w:val="0"/>
              </w:rPr>
              <w:t xml:space="preserve"> delay health insurance credit or COLA commencement</w:t>
            </w:r>
          </w:p>
        </w:tc>
        <w:tc>
          <w:tcPr>
            <w:tcW w:type="dxa" w:w="2880"/>
          </w:tcPr>
          <w:p>
            <w:r>
              <w:rPr>
                <w:b w:val="0"/>
                <w:i w:val="0"/>
                <w:strike w:val="0"/>
              </w:rPr>
              <w:t xml:space="preserve">End of </w:t>
            </w:r>
            <w:r>
              <w:rPr>
                <w:b/>
                <w:i w:val="0"/>
                <w:strike w:val="0"/>
              </w:rPr>
              <w:t>subsection F</w:t>
            </w:r>
          </w:p>
        </w:tc>
        <w:tc>
          <w:tcPr>
            <w:tcW w:type="dxa" w:w="2880"/>
          </w:tcPr>
          <w:p>
            <w:r>
              <w:rPr>
                <w:b w:val="0"/>
                <w:i w:val="0"/>
                <w:strike w:val="0"/>
              </w:rPr>
              <w:t>DECISION 9. Makes the acceptance affirmative rather than an ambiguity in subdivision F 8</w:t>
            </w:r>
          </w:p>
        </w:tc>
      </w:tr>
      <w:tr>
        <w:tc>
          <w:tcPr>
            <w:tcW w:type="dxa" w:w="2880"/>
          </w:tcPr>
          <w:p>
            <w:r>
              <w:rPr>
                <w:b w:val="0"/>
                <w:i w:val="0"/>
                <w:strike w:val="0"/>
              </w:rPr>
              <w:t>Reporting item (vii) refocused from deferred-retirement cost to refund cost</w:t>
            </w:r>
          </w:p>
        </w:tc>
        <w:tc>
          <w:tcPr>
            <w:tcW w:type="dxa" w:w="2880"/>
          </w:tcPr>
          <w:p>
            <w:r>
              <w:rPr>
                <w:b w:val="0"/>
                <w:i w:val="0"/>
                <w:strike w:val="0"/>
              </w:rPr>
              <w:t xml:space="preserve">Enactment clause </w:t>
            </w:r>
            <w:r>
              <w:rPr>
                <w:b/>
                <w:i w:val="0"/>
                <w:strike w:val="0"/>
              </w:rPr>
              <w:t>3(vii)</w:t>
            </w:r>
          </w:p>
        </w:tc>
        <w:tc>
          <w:tcPr>
            <w:tcW w:type="dxa" w:w="2880"/>
          </w:tcPr>
          <w:p>
            <w:r>
              <w:rPr>
                <w:b w:val="0"/>
                <w:i w:val="0"/>
                <w:strike w:val="0"/>
              </w:rPr>
              <w:t>The deferred path it was written to measure is now closed</w:t>
            </w:r>
          </w:p>
        </w:tc>
      </w:tr>
    </w:tbl>
    <w:p/>
    <w:p>
      <w:r>
        <w:rPr>
          <w:b/>
          <w:i w:val="0"/>
          <w:strike w:val="0"/>
        </w:rPr>
        <w:t>Also recorded:</w:t>
      </w:r>
      <w:r>
        <w:rPr>
          <w:b w:val="0"/>
          <w:i w:val="0"/>
          <w:strike w:val="0"/>
        </w:rPr>
        <w:t xml:space="preserve"> "member in service," on which both in-service conditions turn, is used in Chapter 1 (§§ 51.1-142.2 B 2, 51.1-153 A, 51.1-153 C) but is </w:t>
      </w:r>
      <w:r>
        <w:rPr>
          <w:b/>
          <w:i w:val="0"/>
          <w:strike w:val="0"/>
        </w:rPr>
        <w:t>not defined</w:t>
      </w:r>
      <w:r>
        <w:rPr>
          <w:b w:val="0"/>
          <w:i w:val="0"/>
          <w:strike w:val="0"/>
        </w:rPr>
        <w:t xml:space="preserve"> in § 51.1-124.3. Drafting note 10 flags it for DLS along with the approved-leave and long-term-disability question.</w:t>
      </w:r>
    </w:p>
    <w:p>
      <w:r>
        <w:rPr>
          <w:b/>
          <w:i w:val="0"/>
          <w:strike w:val="0"/>
        </w:rPr>
        <w:t>Standing caveat.</w:t>
      </w:r>
      <w:r>
        <w:rPr>
          <w:b w:val="0"/>
          <w:i w:val="0"/>
          <w:strike w:val="0"/>
        </w:rPr>
        <w:t xml:space="preserve"> The adversarial pass in MOO-260 was an </w:t>
      </w:r>
      <w:r>
        <w:rPr>
          <w:b/>
          <w:i w:val="0"/>
          <w:strike w:val="0"/>
        </w:rPr>
        <w:t>internal adversarial review</w:t>
      </w:r>
      <w:r>
        <w:rPr>
          <w:b w:val="0"/>
          <w:i w:val="0"/>
          <w:strike w:val="0"/>
        </w:rPr>
        <w:t xml:space="preserve">: it was run by the policy-development team that drafted the package, because no independent reviewer was available. </w:t>
      </w:r>
      <w:r>
        <w:rPr>
          <w:b/>
          <w:i w:val="0"/>
          <w:strike w:val="0"/>
        </w:rPr>
        <w:t>It was not independent and must not be described as independent.</w:t>
      </w:r>
      <w:r>
        <w:rPr>
          <w:b w:val="0"/>
          <w:i w:val="0"/>
          <w:strike w:val="0"/>
        </w:rPr>
        <w:t xml:space="preserve"> The October 19 sign-off pass then found three stale statements that review had missed, which is exactly what self-review misses. </w:t>
      </w:r>
      <w:r>
        <w:rPr>
          <w:b/>
          <w:i w:val="0"/>
          <w:strike w:val="0"/>
        </w:rPr>
        <w:t>An independent read is advisable before this reaches a patron.</w:t>
      </w:r>
    </w:p>
    <w:p>
      <w:pPr>
        <w:pStyle w:val="Heading2"/>
      </w:pPr>
      <w:r>
        <w:rPr>
          <w:b w:val="0"/>
          <w:i w:val="0"/>
          <w:strike w:val="0"/>
        </w:rPr>
        <w:t>Version 1.4 change log — Independent-Review Integration (October 20, 2026)</w:t>
      </w:r>
    </w:p>
    <w:p>
      <w:r>
        <w:rPr>
          <w:b/>
          <w:i w:val="0"/>
          <w:strike w:val="0"/>
        </w:rPr>
        <w:t>This is the first version informed by reviewers who did not draft the package.</w:t>
      </w:r>
      <w:r>
        <w:rPr>
          <w:b w:val="0"/>
          <w:i w:val="0"/>
          <w:strike w:val="0"/>
        </w:rPr>
        <w:t xml:space="preserve"> Three independent reviews ran concurrently: counsel review of the bill text (MOO-264), review of the Scenario Explorer (MOO-265), and stakeholder and political-viability review (MOO-266). Between them: </w:t>
      </w:r>
      <w:r>
        <w:rPr>
          <w:b/>
          <w:i w:val="0"/>
          <w:strike w:val="0"/>
        </w:rPr>
        <w:t>79 findings, 9 blockers.</w:t>
      </w:r>
      <w:r>
        <w:rPr>
          <w:b w:val="0"/>
          <w:i w:val="0"/>
          <w:strike w:val="0"/>
        </w:rPr>
        <w:t xml:space="preserve"> None came back clean, which was the expected and desired result. Operative bill text moves to </w:t>
      </w:r>
      <w:r>
        <w:rPr>
          <w:b/>
          <w:i w:val="0"/>
          <w:strike w:val="0"/>
        </w:rPr>
        <w:t>version 1.3</w:t>
      </w:r>
      <w:r>
        <w:rPr>
          <w:b w:val="0"/>
          <w:i w:val="0"/>
          <w:strike w:val="0"/>
        </w:rPr>
        <w:t xml:space="preserve">; the package to </w:t>
      </w:r>
      <w:r>
        <w:rPr>
          <w:b/>
          <w:i w:val="0"/>
          <w:strike w:val="0"/>
        </w:rPr>
        <w:t>version 1.4</w:t>
      </w:r>
      <w:r>
        <w:rPr>
          <w:b w:val="0"/>
          <w:i w:val="0"/>
          <w:strike w:val="0"/>
        </w:rPr>
        <w:t>.</w:t>
      </w:r>
    </w:p>
    <w:p>
      <w:r>
        <w:rPr>
          <w:b/>
          <w:i w:val="0"/>
          <w:strike w:val="0"/>
        </w:rPr>
        <w:t>The three bill blockers were all in the version 1.2 additions</w:t>
      </w:r>
      <w:r>
        <w:rPr>
          <w:b w:val="0"/>
          <w:i w:val="0"/>
          <w:strike w:val="0"/>
        </w:rPr>
        <w:t xml:space="preserve"> — the newest and least-read language — and each would have been fatal in a different way.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w:t>
            </w:r>
          </w:p>
        </w:tc>
        <w:tc>
          <w:tcPr>
            <w:tcW w:type="dxa" w:w="2160"/>
          </w:tcPr>
          <w:p>
            <w:r>
              <w:rPr>
                <w:b/>
                <w:i w:val="0"/>
                <w:strike w:val="0"/>
              </w:rPr>
              <w:t>Correction</w:t>
            </w:r>
          </w:p>
        </w:tc>
        <w:tc>
          <w:tcPr>
            <w:tcW w:type="dxa" w:w="2160"/>
          </w:tcPr>
          <w:p>
            <w:r>
              <w:rPr>
                <w:b/>
                <w:i w:val="0"/>
                <w:strike w:val="0"/>
              </w:rPr>
              <w:t>Severity</w:t>
            </w:r>
          </w:p>
        </w:tc>
        <w:tc>
          <w:tcPr>
            <w:tcW w:type="dxa" w:w="2160"/>
          </w:tcPr>
          <w:p>
            <w:r>
              <w:rPr>
                <w:b/>
                <w:i w:val="0"/>
                <w:strike w:val="0"/>
              </w:rPr>
              <w:t>Where</w:t>
            </w:r>
          </w:p>
        </w:tc>
      </w:tr>
      <w:tr>
        <w:tc>
          <w:tcPr>
            <w:tcW w:type="dxa" w:w="2160"/>
          </w:tcPr>
          <w:p>
            <w:r>
              <w:rPr>
                <w:b w:val="0"/>
                <w:i w:val="0"/>
                <w:strike w:val="0"/>
              </w:rPr>
              <w:t>1</w:t>
            </w:r>
          </w:p>
        </w:tc>
        <w:tc>
          <w:tcPr>
            <w:tcW w:type="dxa" w:w="2160"/>
          </w:tcPr>
          <w:p>
            <w:r>
              <w:rPr>
                <w:b/>
                <w:i w:val="0"/>
                <w:strike w:val="0"/>
              </w:rPr>
              <w:t>Subdivision E 3 rewritten.</w:t>
            </w:r>
            <w:r>
              <w:rPr>
                <w:b w:val="0"/>
                <w:i w:val="0"/>
                <w:strike w:val="0"/>
              </w:rPr>
              <w:t xml:space="preserve"> The in-service test was keyed to "the day immediately preceding the effective date of his retirement," but § 51.1-153 E permits — and ordinary VRS practice uses — a gap between the last day of service and the retirement date. A teacher whose last contract day is June 10 and whose retirement is effective July 1 lost her purchased credit on a technicality the Code itself authorises. Now keyed to her </w:t>
            </w:r>
            <w:r>
              <w:rPr>
                <w:b/>
                <w:i w:val="0"/>
                <w:strike w:val="0"/>
              </w:rPr>
              <w:t>last day of service</w:t>
            </w:r>
            <w:r>
              <w:rPr>
                <w:b w:val="0"/>
                <w:i w:val="0"/>
                <w:strike w:val="0"/>
              </w:rPr>
              <w:t>.</w:t>
            </w:r>
          </w:p>
        </w:tc>
        <w:tc>
          <w:tcPr>
            <w:tcW w:type="dxa" w:w="2160"/>
          </w:tcPr>
          <w:p>
            <w:r>
              <w:rPr>
                <w:b/>
                <w:i w:val="0"/>
                <w:strike w:val="0"/>
              </w:rPr>
              <w:t>Blocker</w:t>
            </w:r>
            <w:r>
              <w:rPr>
                <w:b w:val="0"/>
                <w:i w:val="0"/>
                <w:strike w:val="0"/>
              </w:rPr>
              <w:t xml:space="preserve"> C-01</w:t>
            </w:r>
          </w:p>
        </w:tc>
        <w:tc>
          <w:tcPr>
            <w:tcW w:type="dxa" w:w="2160"/>
          </w:tcPr>
          <w:p>
            <w:r>
              <w:rPr>
                <w:b w:val="0"/>
                <w:i w:val="0"/>
                <w:strike w:val="0"/>
              </w:rPr>
              <w:t>bill § 51.1-142.4 E 3; note 12(a)</w:t>
            </w:r>
          </w:p>
        </w:tc>
      </w:tr>
      <w:tr>
        <w:tc>
          <w:tcPr>
            <w:tcW w:type="dxa" w:w="2160"/>
          </w:tcPr>
          <w:p>
            <w:r>
              <w:rPr>
                <w:b w:val="0"/>
                <w:i w:val="0"/>
                <w:strike w:val="0"/>
              </w:rPr>
              <w:t>2</w:t>
            </w:r>
          </w:p>
        </w:tc>
        <w:tc>
          <w:tcPr>
            <w:tcW w:type="dxa" w:w="2160"/>
          </w:tcPr>
          <w:p>
            <w:r>
              <w:rPr>
                <w:b/>
                <w:i w:val="0"/>
                <w:strike w:val="0"/>
              </w:rPr>
              <w:t>Subdivision K 1 b narrowed; savings sentence added.</w:t>
            </w:r>
            <w:r>
              <w:rPr>
                <w:b w:val="0"/>
                <w:i w:val="0"/>
                <w:strike w:val="0"/>
              </w:rPr>
              <w:t xml:space="preserve"> K 1 commanded that the Board "shall cancel" the credit and "refund" the price upon any event after which the credit "can no longer be applied as authorized by subsection E" — and </w:t>
            </w:r>
            <w:r>
              <w:rPr>
                <w:b/>
                <w:i w:val="0"/>
                <w:strike w:val="0"/>
              </w:rPr>
              <w:t>retirement is such an event</w:t>
            </w:r>
            <w:r>
              <w:rPr>
                <w:b w:val="0"/>
                <w:i w:val="0"/>
                <w:strike w:val="0"/>
              </w:rPr>
              <w:t xml:space="preserve">, while the K 1 a trigger cannot fire for a member who retires early. Every successful purchaser was entitled to her money back on the day she retired, while keeping the unreduced allowance. Cost recovery would have been </w:t>
            </w:r>
            <w:r>
              <w:rPr>
                <w:b/>
                <w:i w:val="0"/>
                <w:strike w:val="0"/>
              </w:rPr>
              <w:t>zero</w:t>
            </w:r>
            <w:r>
              <w:rPr>
                <w:b w:val="0"/>
                <w:i w:val="0"/>
                <w:strike w:val="0"/>
              </w:rPr>
              <w:t xml:space="preserve"> in every profile.</w:t>
            </w:r>
          </w:p>
        </w:tc>
        <w:tc>
          <w:tcPr>
            <w:tcW w:type="dxa" w:w="2160"/>
          </w:tcPr>
          <w:p>
            <w:r>
              <w:rPr>
                <w:b/>
                <w:i w:val="0"/>
                <w:strike w:val="0"/>
              </w:rPr>
              <w:t>Blocker</w:t>
            </w:r>
            <w:r>
              <w:rPr>
                <w:b w:val="0"/>
                <w:i w:val="0"/>
                <w:strike w:val="0"/>
              </w:rPr>
              <w:t xml:space="preserve"> C-02</w:t>
            </w:r>
          </w:p>
        </w:tc>
        <w:tc>
          <w:tcPr>
            <w:tcW w:type="dxa" w:w="2160"/>
          </w:tcPr>
          <w:p>
            <w:r>
              <w:rPr>
                <w:b w:val="0"/>
                <w:i w:val="0"/>
                <w:strike w:val="0"/>
              </w:rPr>
              <w:t>bill § 51.1-142.4 K 1; note 12(b)</w:t>
            </w:r>
          </w:p>
        </w:tc>
      </w:tr>
      <w:tr>
        <w:tc>
          <w:tcPr>
            <w:tcW w:type="dxa" w:w="2160"/>
          </w:tcPr>
          <w:p>
            <w:r>
              <w:rPr>
                <w:b w:val="0"/>
                <w:i w:val="0"/>
                <w:strike w:val="0"/>
              </w:rPr>
              <w:t>3</w:t>
            </w:r>
          </w:p>
        </w:tc>
        <w:tc>
          <w:tcPr>
            <w:tcW w:type="dxa" w:w="2160"/>
          </w:tcPr>
          <w:p>
            <w:r>
              <w:rPr>
                <w:b/>
                <w:i w:val="0"/>
                <w:strike w:val="0"/>
              </w:rPr>
              <w:t>Continuity of service now required; termination of service is a refund trigger.</w:t>
            </w:r>
            <w:r>
              <w:rPr>
                <w:b w:val="0"/>
                <w:i w:val="0"/>
                <w:strike w:val="0"/>
              </w:rPr>
              <w:t xml:space="preserve"> The version 1.2 condition tested a status on one named calendar day, and the status is purchasable: resign at 44 without withdrawing contributions, remain a member under § 51.1-128, take any covered position for </w:t>
            </w:r>
            <w:r>
              <w:rPr>
                <w:b/>
                <w:i w:val="0"/>
                <w:strike w:val="0"/>
              </w:rPr>
              <w:t>one day</w:t>
            </w:r>
            <w:r>
              <w:rPr>
                <w:b w:val="0"/>
                <w:i w:val="0"/>
                <w:strike w:val="0"/>
              </w:rPr>
              <w:t xml:space="preserve"> at 50, and collect an unreduced allowance — roughly </w:t>
            </w:r>
            <w:r>
              <w:rPr>
                <w:b/>
                <w:i w:val="0"/>
                <w:strike w:val="0"/>
              </w:rPr>
              <w:t>15 years</w:t>
            </w:r>
            <w:r>
              <w:rPr>
                <w:b w:val="0"/>
                <w:i w:val="0"/>
                <w:strike w:val="0"/>
              </w:rPr>
              <w:t xml:space="preserve"> of acceleration for about $35,000, which the cost model never priced.</w:t>
            </w:r>
          </w:p>
        </w:tc>
        <w:tc>
          <w:tcPr>
            <w:tcW w:type="dxa" w:w="2160"/>
          </w:tcPr>
          <w:p>
            <w:r>
              <w:rPr>
                <w:b/>
                <w:i w:val="0"/>
                <w:strike w:val="0"/>
              </w:rPr>
              <w:t>Blocker</w:t>
            </w:r>
            <w:r>
              <w:rPr>
                <w:b w:val="0"/>
                <w:i w:val="0"/>
                <w:strike w:val="0"/>
              </w:rPr>
              <w:t xml:space="preserve"> C-03</w:t>
            </w:r>
          </w:p>
        </w:tc>
        <w:tc>
          <w:tcPr>
            <w:tcW w:type="dxa" w:w="2160"/>
          </w:tcPr>
          <w:p>
            <w:r>
              <w:rPr>
                <w:b w:val="0"/>
                <w:i w:val="0"/>
                <w:strike w:val="0"/>
              </w:rPr>
              <w:t>bill § 51.1-142.4 E 3, K 1 c; notes 7(a), 12(c)</w:t>
            </w:r>
          </w:p>
        </w:tc>
      </w:tr>
      <w:tr>
        <w:tc>
          <w:tcPr>
            <w:tcW w:type="dxa" w:w="2160"/>
          </w:tcPr>
          <w:p>
            <w:r>
              <w:rPr>
                <w:b w:val="0"/>
                <w:i w:val="0"/>
                <w:strike w:val="0"/>
              </w:rPr>
              <w:t>4</w:t>
            </w:r>
          </w:p>
        </w:tc>
        <w:tc>
          <w:tcPr>
            <w:tcW w:type="dxa" w:w="2160"/>
          </w:tcPr>
          <w:p>
            <w:r>
              <w:rPr>
                <w:b/>
                <w:i w:val="0"/>
                <w:strike w:val="0"/>
              </w:rPr>
              <w:t>"Closed and shrinking" withdrawn.</w:t>
            </w:r>
            <w:r>
              <w:rPr>
                <w:b w:val="0"/>
                <w:i w:val="0"/>
                <w:strike w:val="0"/>
              </w:rPr>
              <w:t xml:space="preserve"> The second sentence of § 51.1-169 A makes persons merely </w:t>
            </w:r>
            <w:r>
              <w:rPr>
                <w:b w:val="0"/>
                <w:i/>
                <w:strike w:val="0"/>
              </w:rPr>
              <w:t>eligible</w:t>
            </w:r>
            <w:r>
              <w:rPr>
                <w:b w:val="0"/>
                <w:i w:val="0"/>
                <w:strike w:val="0"/>
              </w:rPr>
              <w:t xml:space="preserve"> for the optional retirement plans under §§ 51.1-126.1, 51.1-126.3, 51.1-126.4 and 51.1-126.7 hybrid-ineligible, and each of those sections leaves a route into the VRS </w:t>
            </w:r>
            <w:r>
              <w:rPr>
                <w:b/>
                <w:i w:val="0"/>
                <w:strike w:val="0"/>
              </w:rPr>
              <w:t>defined benefit</w:t>
            </w:r>
            <w:r>
              <w:rPr>
                <w:b w:val="0"/>
                <w:i w:val="0"/>
                <w:strike w:val="0"/>
              </w:rPr>
              <w:t xml:space="preserve"> plan open in </w:t>
            </w:r>
            <w:r>
              <w:rPr>
                <w:b/>
                <w:i w:val="0"/>
                <w:strike w:val="0"/>
              </w:rPr>
              <w:t>every hire year</w:t>
            </w:r>
            <w:r>
              <w:rPr>
                <w:b w:val="0"/>
                <w:i w:val="0"/>
                <w:strike w:val="0"/>
              </w:rPr>
              <w:t xml:space="preserve">. New clause B 1(v) closes it by drafting, but the claim the package called "the single most useful fact for the money committees" is not established until VRS confirms headcount and administrative practice. Now </w:t>
            </w:r>
            <w:r>
              <w:rPr>
                <w:b/>
                <w:i w:val="0"/>
                <w:strike w:val="0"/>
              </w:rPr>
              <w:t>"substantially closing," with named exceptions under review.</w:t>
            </w:r>
          </w:p>
        </w:tc>
        <w:tc>
          <w:tcPr>
            <w:tcW w:type="dxa" w:w="2160"/>
          </w:tcPr>
          <w:p>
            <w:r>
              <w:rPr>
                <w:b w:val="0"/>
                <w:i w:val="0"/>
                <w:strike w:val="0"/>
              </w:rPr>
              <w:t>Material M-01</w:t>
            </w:r>
          </w:p>
        </w:tc>
        <w:tc>
          <w:tcPr>
            <w:tcW w:type="dxa" w:w="2160"/>
          </w:tcPr>
          <w:p>
            <w:r>
              <w:rPr>
                <w:b w:val="0"/>
                <w:i w:val="0"/>
                <w:strike w:val="0"/>
              </w:rPr>
              <w:t>bill B 1(v), J, notes 5, 12(d); README; both briefs; memo</w:t>
            </w:r>
          </w:p>
        </w:tc>
      </w:tr>
      <w:tr>
        <w:tc>
          <w:tcPr>
            <w:tcW w:type="dxa" w:w="2160"/>
          </w:tcPr>
          <w:p>
            <w:r>
              <w:rPr>
                <w:b w:val="0"/>
                <w:i w:val="0"/>
                <w:strike w:val="0"/>
              </w:rPr>
              <w:t>5</w:t>
            </w:r>
          </w:p>
        </w:tc>
        <w:tc>
          <w:tcPr>
            <w:tcW w:type="dxa" w:w="2160"/>
          </w:tcPr>
          <w:p>
            <w:r>
              <w:rPr>
                <w:b/>
                <w:i w:val="0"/>
                <w:strike w:val="0"/>
              </w:rPr>
              <w:t>10 U.S.C. § 12736 quotation corrected — and the question is now closed.</w:t>
            </w:r>
            <w:r>
              <w:rPr>
                <w:b w:val="0"/>
                <w:i w:val="0"/>
                <w:strike w:val="0"/>
              </w:rPr>
              <w:t xml:space="preserve"> Every prior version quoted the section as reading "under any other provision of law, </w:t>
            </w:r>
            <w:r>
              <w:rPr>
                <w:b/>
                <w:i w:val="0"/>
                <w:strike w:val="0"/>
              </w:rPr>
              <w:t>State or Federal</w:t>
            </w:r>
            <w:r>
              <w:rPr>
                <w:b w:val="0"/>
                <w:i w:val="0"/>
                <w:strike w:val="0"/>
              </w:rPr>
              <w:t xml:space="preserve">." </w:t>
            </w:r>
            <w:r>
              <w:rPr>
                <w:b/>
                <w:i w:val="0"/>
                <w:strike w:val="0"/>
              </w:rPr>
              <w:t>Those words are not in the statute</w:t>
            </w:r>
            <w:r>
              <w:rPr>
                <w:b w:val="0"/>
                <w:i w:val="0"/>
                <w:strike w:val="0"/>
              </w:rPr>
              <w:t>, and the inserted reference to State law was what made the preemption worry look sharp. The omitted closing proviso — "</w:t>
            </w:r>
            <w:r>
              <w:rPr>
                <w:b/>
                <w:i w:val="0"/>
                <w:strike w:val="0"/>
              </w:rPr>
              <w:t>if that service is otherwise properly credited under it</w:t>
            </w:r>
            <w:r>
              <w:rPr>
                <w:b w:val="0"/>
                <w:i w:val="0"/>
                <w:strike w:val="0"/>
              </w:rPr>
              <w:t xml:space="preserve">" — is the answer: § 12736 is an anti-exclusion rule, not a crediting mandate, and Virginia credits this service only on purchase. </w:t>
            </w:r>
            <w:r>
              <w:rPr>
                <w:b/>
                <w:i w:val="0"/>
                <w:strike w:val="0"/>
              </w:rPr>
              <w:t>§ 12736 does not preempt this bill.</w:t>
            </w:r>
          </w:p>
        </w:tc>
        <w:tc>
          <w:tcPr>
            <w:tcW w:type="dxa" w:w="2160"/>
          </w:tcPr>
          <w:p>
            <w:r>
              <w:rPr>
                <w:b w:val="0"/>
                <w:i w:val="0"/>
                <w:strike w:val="0"/>
              </w:rPr>
              <w:t>Material M-02</w:t>
            </w:r>
          </w:p>
        </w:tc>
        <w:tc>
          <w:tcPr>
            <w:tcW w:type="dxa" w:w="2160"/>
          </w:tcPr>
          <w:p>
            <w:r>
              <w:rPr>
                <w:b w:val="0"/>
                <w:i w:val="0"/>
                <w:strike w:val="0"/>
              </w:rPr>
              <w:t>bill note 8; memo Part 5.2</w:t>
            </w:r>
          </w:p>
        </w:tc>
      </w:tr>
      <w:tr>
        <w:tc>
          <w:tcPr>
            <w:tcW w:type="dxa" w:w="2160"/>
          </w:tcPr>
          <w:p>
            <w:r>
              <w:rPr>
                <w:b w:val="0"/>
                <w:i w:val="0"/>
                <w:strike w:val="0"/>
              </w:rPr>
              <w:t>6</w:t>
            </w:r>
          </w:p>
        </w:tc>
        <w:tc>
          <w:tcPr>
            <w:tcW w:type="dxa" w:w="2160"/>
          </w:tcPr>
          <w:p>
            <w:r>
              <w:rPr>
                <w:b/>
                <w:i w:val="0"/>
                <w:strike w:val="0"/>
              </w:rPr>
              <w:t>"Purchase of service contract" added to the § 51.1-124.3 amendment.</w:t>
            </w:r>
            <w:r>
              <w:rPr>
                <w:b w:val="0"/>
                <w:i w:val="0"/>
                <w:strike w:val="0"/>
              </w:rPr>
              <w:t xml:space="preserve"> The defined term reaches only § 51.1-142.2 purchases, and the bill used it seven times plus in an enactment clause for a contract to buy something the bill says is </w:t>
            </w:r>
            <w:r>
              <w:rPr>
                <w:b w:val="0"/>
                <w:i/>
                <w:strike w:val="0"/>
              </w:rPr>
              <w:t>not</w:t>
            </w:r>
            <w:r>
              <w:rPr>
                <w:b w:val="0"/>
                <w:i w:val="0"/>
                <w:strike w:val="0"/>
              </w:rPr>
              <w:t xml:space="preserve"> creditable service. Same failure mode as the "accumulated contributions" amendment, same fix.</w:t>
            </w:r>
          </w:p>
        </w:tc>
        <w:tc>
          <w:tcPr>
            <w:tcW w:type="dxa" w:w="2160"/>
          </w:tcPr>
          <w:p>
            <w:r>
              <w:rPr>
                <w:b w:val="0"/>
                <w:i w:val="0"/>
                <w:strike w:val="0"/>
              </w:rPr>
              <w:t>Material M-03</w:t>
            </w:r>
          </w:p>
        </w:tc>
        <w:tc>
          <w:tcPr>
            <w:tcW w:type="dxa" w:w="2160"/>
          </w:tcPr>
          <w:p>
            <w:r>
              <w:rPr>
                <w:b w:val="0"/>
                <w:i w:val="0"/>
                <w:strike w:val="0"/>
              </w:rPr>
              <w:t>bill § 51.1-124.3; note 12(e)</w:t>
            </w:r>
          </w:p>
        </w:tc>
      </w:tr>
      <w:tr>
        <w:tc>
          <w:tcPr>
            <w:tcW w:type="dxa" w:w="2160"/>
          </w:tcPr>
          <w:p>
            <w:r>
              <w:rPr>
                <w:b w:val="0"/>
                <w:i w:val="0"/>
                <w:strike w:val="0"/>
              </w:rPr>
              <w:t>7</w:t>
            </w:r>
          </w:p>
        </w:tc>
        <w:tc>
          <w:tcPr>
            <w:tcW w:type="dxa" w:w="2160"/>
          </w:tcPr>
          <w:p>
            <w:r>
              <w:rPr>
                <w:b/>
                <w:i w:val="0"/>
                <w:strike w:val="0"/>
              </w:rPr>
              <w:t>Subdivision C 2 d recast.</w:t>
            </w:r>
            <w:r>
              <w:rPr>
                <w:b w:val="0"/>
                <w:i w:val="0"/>
                <w:strike w:val="0"/>
              </w:rPr>
              <w:t xml:space="preserve"> Inside a "shall not exceed the </w:t>
            </w:r>
            <w:r>
              <w:rPr>
                <w:b/>
                <w:i w:val="0"/>
                <w:strike w:val="0"/>
              </w:rPr>
              <w:t>least</w:t>
            </w:r>
            <w:r>
              <w:rPr>
                <w:b w:val="0"/>
                <w:i w:val="0"/>
                <w:strike w:val="0"/>
              </w:rPr>
              <w:t xml:space="preserve"> of" list, "the amount that would advance the date" is satisfied by </w:t>
            </w:r>
            <w:r>
              <w:rPr>
                <w:b w:val="0"/>
                <w:i/>
                <w:strike w:val="0"/>
              </w:rPr>
              <w:t>any</w:t>
            </w:r>
            <w:r>
              <w:rPr>
                <w:b w:val="0"/>
                <w:i w:val="0"/>
                <w:strike w:val="0"/>
              </w:rPr>
              <w:t xml:space="preserve"> amount producing acceleration — so the compelled reading capped a typical purchase at </w:t>
            </w:r>
            <w:r>
              <w:rPr>
                <w:b/>
                <w:i w:val="0"/>
                <w:strike w:val="0"/>
              </w:rPr>
              <w:t>one month</w:t>
            </w:r>
            <w:r>
              <w:rPr>
                <w:b w:val="0"/>
                <w:i w:val="0"/>
                <w:strike w:val="0"/>
              </w:rPr>
              <w:t xml:space="preserve">. Now the </w:t>
            </w:r>
            <w:r>
              <w:rPr>
                <w:b/>
                <w:i w:val="0"/>
                <w:strike w:val="0"/>
              </w:rPr>
              <w:t>greatest</w:t>
            </w:r>
            <w:r>
              <w:rPr>
                <w:b w:val="0"/>
                <w:i w:val="0"/>
                <w:strike w:val="0"/>
              </w:rPr>
              <w:t xml:space="preserve"> amount beyond which no further advance occurs. The open-ended "service the member is </w:t>
            </w:r>
            <w:r>
              <w:rPr>
                <w:b/>
                <w:i w:val="0"/>
                <w:strike w:val="0"/>
              </w:rPr>
              <w:t>projected</w:t>
            </w:r>
            <w:r>
              <w:rPr>
                <w:b w:val="0"/>
                <w:i w:val="0"/>
                <w:strike w:val="0"/>
              </w:rPr>
              <w:t xml:space="preserve"> to perform" is replaced by a continuous-service convention, which also restores the definitely-determinable-benefits answer the memo relies on.</w:t>
            </w:r>
          </w:p>
        </w:tc>
        <w:tc>
          <w:tcPr>
            <w:tcW w:type="dxa" w:w="2160"/>
          </w:tcPr>
          <w:p>
            <w:r>
              <w:rPr>
                <w:b w:val="0"/>
                <w:i w:val="0"/>
                <w:strike w:val="0"/>
              </w:rPr>
              <w:t>Material M-07</w:t>
            </w:r>
          </w:p>
        </w:tc>
        <w:tc>
          <w:tcPr>
            <w:tcW w:type="dxa" w:w="2160"/>
          </w:tcPr>
          <w:p>
            <w:r>
              <w:rPr>
                <w:b w:val="0"/>
                <w:i w:val="0"/>
                <w:strike w:val="0"/>
              </w:rPr>
              <w:t>bill C 2 d; note 12(f)</w:t>
            </w:r>
          </w:p>
        </w:tc>
      </w:tr>
      <w:tr>
        <w:tc>
          <w:tcPr>
            <w:tcW w:type="dxa" w:w="2160"/>
          </w:tcPr>
          <w:p>
            <w:r>
              <w:rPr>
                <w:b w:val="0"/>
                <w:i w:val="0"/>
                <w:strike w:val="0"/>
              </w:rPr>
              <w:t>8</w:t>
            </w:r>
          </w:p>
        </w:tc>
        <w:tc>
          <w:tcPr>
            <w:tcW w:type="dxa" w:w="2160"/>
          </w:tcPr>
          <w:p>
            <w:r>
              <w:rPr>
                <w:b/>
                <w:i w:val="0"/>
                <w:strike w:val="0"/>
              </w:rPr>
              <w:t>Subdivision C 6 added</w:t>
            </w:r>
            <w:r>
              <w:rPr>
                <w:b w:val="0"/>
                <w:i w:val="0"/>
                <w:strike w:val="0"/>
              </w:rPr>
              <w:t xml:space="preserve"> fixing the member's B 2 / B 3 classification as of the purchase date — the whole deficit architecture turns on which pathway applies. </w:t>
            </w:r>
            <w:r>
              <w:rPr>
                <w:b/>
                <w:i w:val="0"/>
                <w:strike w:val="0"/>
              </w:rPr>
              <w:t>K 3 and new K 5</w:t>
            </w:r>
            <w:r>
              <w:rPr>
                <w:b w:val="0"/>
                <w:i w:val="0"/>
                <w:strike w:val="0"/>
              </w:rPr>
              <w:t xml:space="preserve"> deduct a refund from accumulated contributions (closing a double count) and give interest an accrual period, compounding convention and start date conformed to § 51.1-142.2 C.</w:t>
            </w:r>
          </w:p>
        </w:tc>
        <w:tc>
          <w:tcPr>
            <w:tcW w:type="dxa" w:w="2160"/>
          </w:tcPr>
          <w:p>
            <w:r>
              <w:rPr>
                <w:b w:val="0"/>
                <w:i w:val="0"/>
                <w:strike w:val="0"/>
              </w:rPr>
              <w:t>Material M-06, M-08, M-11</w:t>
            </w:r>
          </w:p>
        </w:tc>
        <w:tc>
          <w:tcPr>
            <w:tcW w:type="dxa" w:w="2160"/>
          </w:tcPr>
          <w:p>
            <w:r>
              <w:rPr>
                <w:b w:val="0"/>
                <w:i w:val="0"/>
                <w:strike w:val="0"/>
              </w:rPr>
              <w:t>bill C 6, K 3, K 5; note 12(g)–(h)</w:t>
            </w:r>
          </w:p>
        </w:tc>
      </w:tr>
      <w:tr>
        <w:tc>
          <w:tcPr>
            <w:tcW w:type="dxa" w:w="2160"/>
          </w:tcPr>
          <w:p>
            <w:r>
              <w:rPr>
                <w:b w:val="0"/>
                <w:i w:val="0"/>
                <w:strike w:val="0"/>
              </w:rPr>
              <w:t>9</w:t>
            </w:r>
          </w:p>
        </w:tc>
        <w:tc>
          <w:tcPr>
            <w:tcW w:type="dxa" w:w="2160"/>
          </w:tcPr>
          <w:p>
            <w:r>
              <w:rPr>
                <w:b/>
                <w:i w:val="0"/>
                <w:strike w:val="0"/>
              </w:rPr>
              <w:t>Two undisclosed member detriments now disclosed on the face of the bill.</w:t>
            </w:r>
            <w:r>
              <w:rPr>
                <w:b w:val="0"/>
                <w:i w:val="0"/>
                <w:strike w:val="0"/>
              </w:rPr>
              <w:t xml:space="preserve"> § 51.1-505 B measures the 25%-per-year group life reduction from </w:t>
            </w:r>
            <w:r>
              <w:rPr>
                <w:b/>
                <w:i w:val="0"/>
                <w:strike w:val="0"/>
              </w:rPr>
              <w:t>the date the employee is separated from service</w:t>
            </w:r>
            <w:r>
              <w:rPr>
                <w:b w:val="0"/>
                <w:i w:val="0"/>
                <w:strike w:val="0"/>
              </w:rPr>
              <w:t xml:space="preserve">, so an earlier retirement starts the step-down up to four years earlier — and subdivision F 11 does not reach it, because F 11 bars only </w:t>
            </w:r>
            <w:r>
              <w:rPr>
                <w:b w:val="0"/>
                <w:i/>
                <w:strike w:val="0"/>
              </w:rPr>
              <w:t>establishing</w:t>
            </w:r>
            <w:r>
              <w:rPr>
                <w:b w:val="0"/>
                <w:i w:val="0"/>
                <w:strike w:val="0"/>
              </w:rPr>
              <w:t xml:space="preserve"> or </w:t>
            </w:r>
            <w:r>
              <w:rPr>
                <w:b w:val="0"/>
                <w:i/>
                <w:strike w:val="0"/>
              </w:rPr>
              <w:t>increasing</w:t>
            </w:r>
            <w:r>
              <w:rPr>
                <w:b w:val="0"/>
                <w:i w:val="0"/>
                <w:strike w:val="0"/>
              </w:rPr>
              <w:t xml:space="preserve"> group life, not a decrease. Retiring also ends § 51.1-162 B death-in-service coverage. The memo's unintended-effects table had both as "No — protected by definition," which is the same error pattern already corrected twice for HIC and COLA: it describes what the credit </w:t>
            </w:r>
            <w:r>
              <w:rPr>
                <w:b w:val="0"/>
                <w:i/>
                <w:strike w:val="0"/>
              </w:rPr>
              <w:t>is</w:t>
            </w:r>
            <w:r>
              <w:rPr>
                <w:b w:val="0"/>
                <w:i w:val="0"/>
                <w:strike w:val="0"/>
              </w:rPr>
              <w:t xml:space="preserve">, not what an earlier </w:t>
            </w:r>
            <w:r>
              <w:rPr>
                <w:b/>
                <w:i w:val="0"/>
                <w:strike w:val="0"/>
              </w:rPr>
              <w:t>separation date</w:t>
            </w:r>
            <w:r>
              <w:rPr>
                <w:b w:val="0"/>
                <w:i w:val="0"/>
                <w:strike w:val="0"/>
              </w:rPr>
              <w:t xml:space="preserve"> does.</w:t>
            </w:r>
          </w:p>
        </w:tc>
        <w:tc>
          <w:tcPr>
            <w:tcW w:type="dxa" w:w="2160"/>
          </w:tcPr>
          <w:p>
            <w:r>
              <w:rPr>
                <w:b w:val="0"/>
                <w:i w:val="0"/>
                <w:strike w:val="0"/>
              </w:rPr>
              <w:t>Material M-14</w:t>
            </w:r>
          </w:p>
        </w:tc>
        <w:tc>
          <w:tcPr>
            <w:tcW w:type="dxa" w:w="2160"/>
          </w:tcPr>
          <w:p>
            <w:r>
              <w:rPr>
                <w:b w:val="0"/>
                <w:i w:val="0"/>
                <w:strike w:val="0"/>
              </w:rPr>
              <w:t>bill I 2(viii); memo Part 4</w:t>
            </w:r>
          </w:p>
        </w:tc>
      </w:tr>
      <w:tr>
        <w:tc>
          <w:tcPr>
            <w:tcW w:type="dxa" w:w="2160"/>
          </w:tcPr>
          <w:p>
            <w:r>
              <w:rPr>
                <w:b w:val="0"/>
                <w:i w:val="0"/>
                <w:strike w:val="0"/>
              </w:rPr>
              <w:t>10</w:t>
            </w:r>
          </w:p>
        </w:tc>
        <w:tc>
          <w:tcPr>
            <w:tcW w:type="dxa" w:w="2160"/>
          </w:tcPr>
          <w:p>
            <w:r>
              <w:rPr>
                <w:b/>
                <w:i w:val="0"/>
                <w:strike w:val="0"/>
              </w:rPr>
              <w:t>$341,065 relabeled, for two independent reasons found by two different reviewers.</w:t>
            </w:r>
            <w:r>
              <w:rPr>
                <w:b w:val="0"/>
                <w:i w:val="0"/>
                <w:strike w:val="0"/>
              </w:rPr>
              <w:t xml:space="preserve"> It is not a "frozen-service" scenario — the model's own baseline for that row is a </w:t>
            </w:r>
            <w:r>
              <w:rPr>
                <w:b/>
                <w:i w:val="0"/>
                <w:strike w:val="0"/>
              </w:rPr>
              <w:t>same-date</w:t>
            </w:r>
            <w:r>
              <w:rPr>
                <w:b w:val="0"/>
                <w:i w:val="0"/>
                <w:strike w:val="0"/>
              </w:rPr>
              <w:t xml:space="preserve"> § 51.1-153 D reduced-allowance counterfactual, and frozen service is the deferred concept the model expressly does not price. And it is not a </w:t>
            </w:r>
            <w:r>
              <w:rPr>
                <w:b/>
                <w:i w:val="0"/>
                <w:strike w:val="0"/>
              </w:rPr>
              <w:t>maximum</w:t>
            </w:r>
            <w:r>
              <w:rPr>
                <w:b w:val="0"/>
                <w:i w:val="0"/>
                <w:strike w:val="0"/>
              </w:rPr>
              <w:t xml:space="preserve">: it is the highest of </w:t>
            </w:r>
            <w:r>
              <w:rPr>
                <w:b/>
                <w:i w:val="0"/>
                <w:strike w:val="0"/>
              </w:rPr>
              <w:t>seven published profiles</w:t>
            </w:r>
            <w:r>
              <w:rPr>
                <w:b w:val="0"/>
                <w:i w:val="0"/>
                <w:strike w:val="0"/>
              </w:rPr>
              <w:t xml:space="preserve">, while the underlying 1,025-cell grid reaches about </w:t>
            </w:r>
            <w:r>
              <w:rPr>
                <w:b/>
                <w:i w:val="0"/>
                <w:strike w:val="0"/>
              </w:rPr>
              <w:t>$419,000</w:t>
            </w:r>
            <w:r>
              <w:rPr>
                <w:b w:val="0"/>
                <w:i w:val="0"/>
                <w:strike w:val="0"/>
              </w:rPr>
              <w:t xml:space="preserve"> and exceeds $341,065 in all ten projection years. The package was understating its own most favourable case against a figure a reviewer can falsify with one query.</w:t>
            </w:r>
          </w:p>
        </w:tc>
        <w:tc>
          <w:tcPr>
            <w:tcW w:type="dxa" w:w="2160"/>
          </w:tcPr>
          <w:p>
            <w:r>
              <w:rPr>
                <w:b w:val="0"/>
                <w:i w:val="0"/>
                <w:strike w:val="0"/>
              </w:rPr>
              <w:t>Material M-12 / F-3</w:t>
            </w:r>
          </w:p>
        </w:tc>
        <w:tc>
          <w:tcPr>
            <w:tcW w:type="dxa" w:w="2160"/>
          </w:tcPr>
          <w:p>
            <w:r>
              <w:rPr>
                <w:b w:val="0"/>
                <w:i w:val="0"/>
                <w:strike w:val="0"/>
              </w:rPr>
              <w:t>README; both briefs; memo; fiscal memo; bill; explorer</w:t>
            </w:r>
          </w:p>
        </w:tc>
      </w:tr>
      <w:tr>
        <w:tc>
          <w:tcPr>
            <w:tcW w:type="dxa" w:w="2160"/>
          </w:tcPr>
          <w:p>
            <w:r>
              <w:rPr>
                <w:b w:val="0"/>
                <w:i w:val="0"/>
                <w:strike w:val="0"/>
              </w:rPr>
              <w:t>11</w:t>
            </w:r>
          </w:p>
        </w:tc>
        <w:tc>
          <w:tcPr>
            <w:tcW w:type="dxa" w:w="2160"/>
          </w:tcPr>
          <w:p>
            <w:r>
              <w:rPr>
                <w:b/>
                <w:i w:val="0"/>
                <w:strike w:val="0"/>
              </w:rPr>
              <w:t>Tax risk re-sized.</w:t>
            </w:r>
            <w:r>
              <w:rPr>
                <w:b w:val="0"/>
                <w:i w:val="0"/>
                <w:strike w:val="0"/>
              </w:rPr>
              <w:t xml:space="preserve"> The live exposure is the </w:t>
            </w:r>
            <w:r>
              <w:rPr>
                <w:b/>
                <w:i w:val="0"/>
                <w:strike w:val="0"/>
              </w:rPr>
              <w:t>loss of 403(b)/457(b) trustee-to-trustee funding</w:t>
            </w:r>
            <w:r>
              <w:rPr>
                <w:b w:val="0"/>
                <w:i w:val="0"/>
                <w:strike w:val="0"/>
              </w:rPr>
              <w:t xml:space="preserve">, which determines whether a $42,500 purchase is reachable by anyone without that much in after-tax cash. § 415(c) binds only where compensation is at or below the purchase price, and is an edge case. Clause (iii) of § 415(n)(3)(A) </w:t>
            </w:r>
            <w:r>
              <w:rPr>
                <w:b/>
                <w:i w:val="0"/>
                <w:strike w:val="0"/>
              </w:rPr>
              <w:t>is</w:t>
            </w:r>
            <w:r>
              <w:rPr>
                <w:b w:val="0"/>
                <w:i w:val="0"/>
                <w:strike w:val="0"/>
              </w:rPr>
              <w:t xml:space="preserve"> satisfied and the model proves it; clause (i) is the one that fails.</w:t>
            </w:r>
          </w:p>
        </w:tc>
        <w:tc>
          <w:tcPr>
            <w:tcW w:type="dxa" w:w="2160"/>
          </w:tcPr>
          <w:p>
            <w:r>
              <w:rPr>
                <w:b w:val="0"/>
                <w:i w:val="0"/>
                <w:strike w:val="0"/>
              </w:rPr>
              <w:t>Material M-15</w:t>
            </w:r>
          </w:p>
        </w:tc>
        <w:tc>
          <w:tcPr>
            <w:tcW w:type="dxa" w:w="2160"/>
          </w:tcPr>
          <w:p>
            <w:r>
              <w:rPr>
                <w:b w:val="0"/>
                <w:i w:val="0"/>
                <w:strike w:val="0"/>
              </w:rPr>
              <w:t>bill note 8; memo Part 5.3</w:t>
            </w:r>
          </w:p>
        </w:tc>
      </w:tr>
      <w:tr>
        <w:tc>
          <w:tcPr>
            <w:tcW w:type="dxa" w:w="2160"/>
          </w:tcPr>
          <w:p>
            <w:r>
              <w:rPr>
                <w:b w:val="0"/>
                <w:i w:val="0"/>
                <w:strike w:val="0"/>
              </w:rPr>
              <w:t>12</w:t>
            </w:r>
          </w:p>
        </w:tc>
        <w:tc>
          <w:tcPr>
            <w:tcW w:type="dxa" w:w="2160"/>
          </w:tcPr>
          <w:p>
            <w:r>
              <w:rPr>
                <w:b/>
                <w:i w:val="0"/>
                <w:strike w:val="0"/>
              </w:rPr>
              <w:t>The carve-out's value corrected.</w:t>
            </w:r>
            <w:r>
              <w:rPr>
                <w:b w:val="0"/>
                <w:i w:val="0"/>
                <w:strike w:val="0"/>
              </w:rPr>
              <w:t xml:space="preserve"> Move 1 — placement in a new section — is what keeps the credit outside "creditable service," which by its own terms reaches only prior service under § 51.1-142.2 plus membership service. "Neither alone is safe" was wrong, and the </w:t>
            </w:r>
            <w:r>
              <w:rPr>
                <w:b/>
                <w:i w:val="0"/>
                <w:strike w:val="0"/>
              </w:rPr>
              <w:t>5.7×</w:t>
            </w:r>
            <w:r>
              <w:rPr>
                <w:b w:val="0"/>
                <w:i w:val="0"/>
                <w:strike w:val="0"/>
              </w:rPr>
              <w:t xml:space="preserve"> figure prices a bill drafted </w:t>
            </w:r>
            <w:r>
              <w:rPr>
                <w:b w:val="0"/>
                <w:i/>
                <w:strike w:val="0"/>
              </w:rPr>
              <w:t>inside</w:t>
            </w:r>
            <w:r>
              <w:rPr>
                <w:b w:val="0"/>
                <w:i w:val="0"/>
                <w:strike w:val="0"/>
              </w:rPr>
              <w:t xml:space="preserve"> § 51.1-142.2, i.e. the bill move 1 avoids. The carve-out is litigation insurance; retain it, but do not call it load-bearing.</w:t>
            </w:r>
          </w:p>
        </w:tc>
        <w:tc>
          <w:tcPr>
            <w:tcW w:type="dxa" w:w="2160"/>
          </w:tcPr>
          <w:p>
            <w:r>
              <w:rPr>
                <w:b w:val="0"/>
                <w:i w:val="0"/>
                <w:strike w:val="0"/>
              </w:rPr>
              <w:t>Sign-off disagreement</w:t>
            </w:r>
          </w:p>
        </w:tc>
        <w:tc>
          <w:tcPr>
            <w:tcW w:type="dxa" w:w="2160"/>
          </w:tcPr>
          <w:p>
            <w:r>
              <w:rPr>
                <w:b w:val="0"/>
                <w:i w:val="0"/>
                <w:strike w:val="0"/>
              </w:rPr>
              <w:t>README; memo Part 5.1</w:t>
            </w:r>
          </w:p>
        </w:tc>
      </w:tr>
      <w:tr>
        <w:tc>
          <w:tcPr>
            <w:tcW w:type="dxa" w:w="2160"/>
          </w:tcPr>
          <w:p>
            <w:r>
              <w:rPr>
                <w:b w:val="0"/>
                <w:i w:val="0"/>
                <w:strike w:val="0"/>
              </w:rPr>
              <w:t>13</w:t>
            </w:r>
          </w:p>
        </w:tc>
        <w:tc>
          <w:tcPr>
            <w:tcW w:type="dxa" w:w="2160"/>
          </w:tcPr>
          <w:p>
            <w:r>
              <w:rPr>
                <w:b/>
                <w:i w:val="0"/>
                <w:strike w:val="0"/>
              </w:rPr>
              <w:t>Target session moved to 2028, and the Council is now asked to do something.</w:t>
            </w:r>
            <w:r>
              <w:rPr>
                <w:b w:val="0"/>
                <w:i w:val="0"/>
                <w:strike w:val="0"/>
              </w:rPr>
              <w:t xml:space="preserve"> The Council's gates — Legislative Committee in </w:t>
            </w:r>
            <w:r>
              <w:rPr>
                <w:b/>
                <w:i w:val="0"/>
                <w:strike w:val="0"/>
              </w:rPr>
              <w:t>late April</w:t>
            </w:r>
            <w:r>
              <w:rPr>
                <w:b w:val="0"/>
                <w:i w:val="0"/>
                <w:strike w:val="0"/>
              </w:rPr>
              <w:t xml:space="preserve">, full Council vote in </w:t>
            </w:r>
            <w:r>
              <w:rPr>
                <w:b/>
                <w:i w:val="0"/>
                <w:strike w:val="0"/>
              </w:rPr>
              <w:t>mid-June</w:t>
            </w:r>
            <w:r>
              <w:rPr>
                <w:b w:val="0"/>
                <w:i w:val="0"/>
                <w:strike w:val="0"/>
              </w:rPr>
              <w:t xml:space="preserve"> — closed for the 2027 session in June 2026. The briefs were addressed to the Council but contained no Council adoption step. Both now carry the gates, the date, and the fact that a 2027 introduction is available only on a patron's own initiative outside the Council package.</w:t>
            </w:r>
          </w:p>
        </w:tc>
        <w:tc>
          <w:tcPr>
            <w:tcW w:type="dxa" w:w="2160"/>
          </w:tcPr>
          <w:p>
            <w:r>
              <w:rPr>
                <w:b/>
                <w:i w:val="0"/>
                <w:strike w:val="0"/>
              </w:rPr>
              <w:t>Blocker</w:t>
            </w:r>
            <w:r>
              <w:rPr>
                <w:b w:val="0"/>
                <w:i w:val="0"/>
                <w:strike w:val="0"/>
              </w:rPr>
              <w:t xml:space="preserve"> S-01</w:t>
            </w:r>
          </w:p>
        </w:tc>
        <w:tc>
          <w:tcPr>
            <w:tcW w:type="dxa" w:w="2160"/>
          </w:tcPr>
          <w:p>
            <w:r>
              <w:rPr>
                <w:b w:val="0"/>
                <w:i w:val="0"/>
                <w:strike w:val="0"/>
              </w:rPr>
              <w:t>both briefs; README target line</w:t>
            </w:r>
          </w:p>
        </w:tc>
      </w:tr>
      <w:tr>
        <w:tc>
          <w:tcPr>
            <w:tcW w:type="dxa" w:w="2160"/>
          </w:tcPr>
          <w:p>
            <w:r>
              <w:rPr>
                <w:b w:val="0"/>
                <w:i w:val="0"/>
                <w:strike w:val="0"/>
              </w:rPr>
              <w:t>14</w:t>
            </w:r>
          </w:p>
        </w:tc>
        <w:tc>
          <w:tcPr>
            <w:tcW w:type="dxa" w:w="2160"/>
          </w:tcPr>
          <w:p>
            <w:r>
              <w:rPr>
                <w:b/>
                <w:i w:val="0"/>
                <w:strike w:val="0"/>
              </w:rPr>
              <w:t>An absolute claim the package's own tool could falsify.</w:t>
            </w:r>
            <w:r>
              <w:rPr>
                <w:b w:val="0"/>
                <w:i w:val="0"/>
                <w:strike w:val="0"/>
              </w:rPr>
              <w:t xml:space="preserve"> The two-pager said "</w:t>
            </w:r>
            <w:r>
              <w:rPr>
                <w:b/>
                <w:i w:val="0"/>
                <w:strike w:val="0"/>
              </w:rPr>
              <w:t>No sensitivity makes this a saving.</w:t>
            </w:r>
            <w:r>
              <w:rPr>
                <w:b w:val="0"/>
                <w:i w:val="0"/>
                <w:strike w:val="0"/>
              </w:rPr>
              <w:t>" Two clicks on the companion explorer — take-up to its floor, the behavioural assumption to its maximum — produce a negative impact. Now bounded to the model's documented range (φ 0.25–0.75), with the sign change above φ ≈ 0.84 stated.</w:t>
            </w:r>
          </w:p>
        </w:tc>
        <w:tc>
          <w:tcPr>
            <w:tcW w:type="dxa" w:w="2160"/>
          </w:tcPr>
          <w:p>
            <w:r>
              <w:rPr>
                <w:b/>
                <w:i w:val="0"/>
                <w:strike w:val="0"/>
              </w:rPr>
              <w:t>Blocker</w:t>
            </w:r>
            <w:r>
              <w:rPr>
                <w:b w:val="0"/>
                <w:i w:val="0"/>
                <w:strike w:val="0"/>
              </w:rPr>
              <w:t xml:space="preserve"> S-02</w:t>
            </w:r>
          </w:p>
        </w:tc>
        <w:tc>
          <w:tcPr>
            <w:tcW w:type="dxa" w:w="2160"/>
          </w:tcPr>
          <w:p>
            <w:r>
              <w:rPr>
                <w:b w:val="0"/>
                <w:i w:val="0"/>
                <w:strike w:val="0"/>
              </w:rPr>
              <w:t>two-page brief §4</w:t>
            </w:r>
          </w:p>
        </w:tc>
      </w:tr>
      <w:tr>
        <w:tc>
          <w:tcPr>
            <w:tcW w:type="dxa" w:w="2160"/>
          </w:tcPr>
          <w:p>
            <w:r>
              <w:rPr>
                <w:b w:val="0"/>
                <w:i w:val="0"/>
                <w:strike w:val="0"/>
              </w:rPr>
              <w:t>15</w:t>
            </w:r>
          </w:p>
        </w:tc>
        <w:tc>
          <w:tcPr>
            <w:tcW w:type="dxa" w:w="2160"/>
          </w:tcPr>
          <w:p>
            <w:r>
              <w:rPr>
                <w:b/>
                <w:i w:val="0"/>
                <w:strike w:val="0"/>
              </w:rPr>
              <w:t>The committee path is named for the first time.</w:t>
            </w:r>
            <w:r>
              <w:rPr>
                <w:b w:val="0"/>
                <w:i w:val="0"/>
                <w:strike w:val="0"/>
              </w:rPr>
              <w:t xml:space="preserve"> This bill goes to </w:t>
            </w:r>
            <w:r>
              <w:rPr>
                <w:b/>
                <w:i w:val="0"/>
                <w:strike w:val="0"/>
              </w:rPr>
              <w:t>House Appropriations</w:t>
            </w:r>
            <w:r>
              <w:rPr>
                <w:b w:val="0"/>
                <w:i w:val="0"/>
                <w:strike w:val="0"/>
              </w:rPr>
              <w:t xml:space="preserve"> and its </w:t>
            </w:r>
            <w:r>
              <w:rPr>
                <w:b/>
                <w:i w:val="0"/>
                <w:strike w:val="0"/>
              </w:rPr>
              <w:t>Compensation and Retirement Subcommittee</w:t>
            </w:r>
            <w:r>
              <w:rPr>
                <w:b w:val="0"/>
                <w:i w:val="0"/>
                <w:strike w:val="0"/>
              </w:rPr>
              <w:t xml:space="preserve">, where the closest analogue died </w:t>
            </w:r>
            <w:r>
              <w:rPr>
                <w:b/>
                <w:i w:val="0"/>
                <w:strike w:val="0"/>
              </w:rPr>
              <w:t>8-Y 0-N</w:t>
            </w:r>
            <w:r>
              <w:rPr>
                <w:b w:val="0"/>
                <w:i w:val="0"/>
                <w:strike w:val="0"/>
              </w:rPr>
              <w:t>. Patron selection should follow from that, and the package had never identified it.</w:t>
            </w:r>
          </w:p>
        </w:tc>
        <w:tc>
          <w:tcPr>
            <w:tcW w:type="dxa" w:w="2160"/>
          </w:tcPr>
          <w:p>
            <w:r>
              <w:rPr>
                <w:b w:val="0"/>
                <w:i w:val="0"/>
                <w:strike w:val="0"/>
              </w:rPr>
              <w:t>High S-07</w:t>
            </w:r>
          </w:p>
        </w:tc>
        <w:tc>
          <w:tcPr>
            <w:tcW w:type="dxa" w:w="2160"/>
          </w:tcPr>
          <w:p>
            <w:r>
              <w:rPr>
                <w:b w:val="0"/>
                <w:i w:val="0"/>
                <w:strike w:val="0"/>
              </w:rPr>
              <w:t>both briefs</w:t>
            </w:r>
          </w:p>
        </w:tc>
      </w:tr>
    </w:tbl>
    <w:p/>
    <w:p>
      <w:r>
        <w:rPr>
          <w:b/>
          <w:i w:val="0"/>
          <w:strike w:val="0"/>
        </w:rPr>
        <w:t>Findings deliberately not implemented in version 1.3, each with a reason.</w:t>
      </w:r>
      <w:r>
        <w:rPr>
          <w:b w:val="0"/>
          <w:i w:val="0"/>
          <w:strike w:val="0"/>
        </w:rPr>
        <w:t xml:space="preserve"> </w:t>
      </w:r>
      <w:r>
        <w:rPr>
          <w:b/>
          <w:i w:val="0"/>
          <w:strike w:val="0"/>
        </w:rPr>
        <w:t>M-10</w:t>
      </w:r>
      <w:r>
        <w:rPr>
          <w:b w:val="0"/>
          <w:i w:val="0"/>
          <w:strike w:val="0"/>
        </w:rPr>
        <w:t xml:space="preserve"> — the draft is not in introducible form, because Va. Const. art. IV, § 12 requires that amended sections be "reenacted and published at length"; this is a DLS production task and is now a pre-introduction checklist item. </w:t>
      </w:r>
      <w:r>
        <w:rPr>
          <w:b/>
          <w:i w:val="0"/>
          <w:strike w:val="0"/>
        </w:rPr>
        <w:t>M-04</w:t>
      </w:r>
      <w:r>
        <w:rPr>
          <w:b w:val="0"/>
          <w:i w:val="0"/>
          <w:strike w:val="0"/>
        </w:rPr>
        <w:t xml:space="preserve"> (whether new subdivision C 1 c is the right instrument to make § 51.1-153 B 2 </w:t>
      </w:r>
      <w:r>
        <w:rPr>
          <w:b w:val="0"/>
          <w:i/>
          <w:strike w:val="0"/>
        </w:rPr>
        <w:t>apply</w:t>
      </w:r>
      <w:r>
        <w:rPr>
          <w:b w:val="0"/>
          <w:i w:val="0"/>
          <w:strike w:val="0"/>
        </w:rPr>
        <w:t xml:space="preserve"> to a B 4 public-safety member) and </w:t>
      </w:r>
      <w:r>
        <w:rPr>
          <w:b/>
          <w:i w:val="0"/>
          <w:strike w:val="0"/>
        </w:rPr>
        <w:t>M-05</w:t>
      </w:r>
      <w:r>
        <w:rPr>
          <w:b w:val="0"/>
          <w:i w:val="0"/>
          <w:strike w:val="0"/>
        </w:rPr>
        <w:t xml:space="preserve"> (reenacting § 51.1-155 effective July 1, 2028 collides with the July 1, 2028 sunset of its subdivisions B 3 and B 4) need a drafting decision with DLS. </w:t>
      </w:r>
      <w:r>
        <w:rPr>
          <w:b/>
          <w:i w:val="0"/>
          <w:strike w:val="0"/>
        </w:rPr>
        <w:t>M-13</w:t>
      </w:r>
      <w:r>
        <w:rPr>
          <w:b w:val="0"/>
          <w:i w:val="0"/>
          <w:strike w:val="0"/>
        </w:rPr>
        <w:t xml:space="preserve"> (the model's one-at-a-time sensitivities treat take-up and the behavioural assumption as independent; compounding three adverse variants reaches 1.16 bp, outside the disclosed range) is a fiscal-model item for the refresh. The twelve minor bill findings and the remaining stakeholder findings are tracked in a follow-up issue. </w:t>
      </w:r>
      <w:r>
        <w:rPr>
          <w:b/>
          <w:i w:val="0"/>
          <w:strike w:val="0"/>
        </w:rPr>
        <w:t>Explorer remediation was completed under MOO-267</w:t>
      </w:r>
      <w:r>
        <w:rPr>
          <w:b w:val="0"/>
          <w:i w:val="0"/>
          <w:strike w:val="0"/>
        </w:rPr>
        <w:t>, and the walk-through review findings under MOO-271 in package version 1.6.</w:t>
      </w:r>
    </w:p>
    <w:p>
      <w:r>
        <w:rPr>
          <w:b/>
          <w:i w:val="0"/>
          <w:strike w:val="0"/>
        </w:rPr>
        <w:t>All of the above are closed in version 1.5 except the fiscal-model refresh — see the version 1.5 change log immediately below.</w:t>
      </w:r>
    </w:p>
    <w:p>
      <w:pPr>
        <w:jc w:val="center"/>
      </w:pPr>
      <w:r>
        <w:rPr>
          <w:color w:val="909090"/>
          <w:sz w:val="18"/>
        </w:rPr>
        <w:t>* * *</w:t>
      </w:r>
    </w:p>
    <w:p>
      <w:pPr>
        <w:pStyle w:val="Heading2"/>
      </w:pPr>
      <w:r>
        <w:rPr>
          <w:b w:val="0"/>
          <w:i w:val="0"/>
          <w:strike w:val="0"/>
        </w:rPr>
        <w:t>Version 1.6 change log — Walk-Through Review Closeout (October 20, 2026)</w:t>
      </w:r>
    </w:p>
    <w:p>
      <w:r>
        <w:rPr>
          <w:b/>
          <w:i w:val="0"/>
          <w:strike w:val="0"/>
        </w:rPr>
        <w:t>The guided walk-through received an independent review (MOO-271) and it did not come back clean: 27 findings, 3 blockers, and 23 of the 27 framing defects.</w:t>
      </w:r>
      <w:r>
        <w:rPr>
          <w:b w:val="0"/>
          <w:i w:val="0"/>
          <w:strike w:val="0"/>
        </w:rPr>
        <w:t xml:space="preserve"> All 27 are closed. </w:t>
      </w:r>
      <w:r>
        <w:rPr>
          <w:b/>
          <w:i w:val="0"/>
          <w:strike w:val="0"/>
        </w:rPr>
        <w:t>No operative bill text changed in this pass</w:t>
      </w:r>
      <w:r>
        <w:rPr>
          <w:b w:val="0"/>
          <w:i w:val="0"/>
          <w:strike w:val="0"/>
        </w:rPr>
        <w:t xml:space="preserve"> — bill text stays at </w:t>
      </w:r>
      <w:r>
        <w:rPr>
          <w:b/>
          <w:i w:val="0"/>
          <w:strike w:val="0"/>
        </w:rPr>
        <w:t>version 1.4</w:t>
      </w:r>
      <w:r>
        <w:rPr>
          <w:b w:val="0"/>
          <w:i w:val="0"/>
          <w:strike w:val="0"/>
        </w:rPr>
        <w:t xml:space="preserve">; the package moves to </w:t>
      </w:r>
      <w:r>
        <w:rPr>
          <w:b/>
          <w:i w:val="0"/>
          <w:strike w:val="0"/>
        </w:rPr>
        <w:t>version 1.6</w:t>
      </w:r>
      <w:r>
        <w:rPr>
          <w:b w:val="0"/>
          <w:i w:val="0"/>
          <w:strike w:val="0"/>
        </w:rPr>
        <w:t xml:space="preserve">. </w:t>
      </w:r>
      <w:r>
        <w:rPr>
          <w:b/>
          <w:i w:val="0"/>
          <w:strike w:val="0"/>
        </w:rPr>
        <w:t>No figure the fiscal model certifies moved</w:t>
      </w:r>
      <w:r>
        <w:rPr>
          <w:b w:val="0"/>
          <w:i w:val="0"/>
          <w:strike w:val="0"/>
        </w:rPr>
        <w:t xml:space="preserve">: the central case is still </w:t>
      </w:r>
      <w:r>
        <w:rPr>
          <w:b/>
          <w:i w:val="0"/>
          <w:strike w:val="0"/>
        </w:rPr>
        <w:t>$7,151,771 / 0.1888 bp</w:t>
      </w:r>
      <w:r>
        <w:rPr>
          <w:b w:val="0"/>
          <w:i w:val="0"/>
          <w:strike w:val="0"/>
        </w:rPr>
        <w:t xml:space="preserve"> and </w:t>
      </w:r>
      <w:r>
        <w:rPr>
          <w:rFonts w:ascii="Consolas" w:hAnsi="Consolas"/>
          <w:b w:val="0"/>
          <w:i w:val="0"/>
          <w:strike w:val="0"/>
          <w:color w:val="303030"/>
          <w:sz w:val="19"/>
        </w:rPr>
        <w:t>explorer/data/cells.js</w:t>
      </w:r>
      <w:r>
        <w:rPr>
          <w:b w:val="0"/>
          <w:i w:val="0"/>
          <w:strike w:val="0"/>
        </w:rPr>
        <w:t xml:space="preserve"> is byte-identical.</w:t>
      </w:r>
    </w:p>
    <w:p>
      <w:r>
        <w:rPr>
          <w:b/>
          <w:i w:val="0"/>
          <w:strike w:val="0"/>
        </w:rPr>
        <w:t>The characteristic defect, stated plainly, because it is the lesson rather than any single finding.</w:t>
      </w:r>
      <w:r>
        <w:rPr>
          <w:b w:val="0"/>
          <w:i w:val="0"/>
          <w:strike w:val="0"/>
        </w:rPr>
        <w:t xml:space="preserve"> The walk-through was </w:t>
      </w:r>
      <w:r>
        <w:rPr>
          <w:b w:val="0"/>
          <w:i/>
          <w:strike w:val="0"/>
        </w:rPr>
        <w:t>systematically thinner than the panels it narrates</w:t>
      </w:r>
      <w:r>
        <w:rPr>
          <w:b w:val="0"/>
          <w:i w:val="0"/>
          <w:strike w:val="0"/>
        </w:rPr>
        <w:t xml:space="preserve">. Three times a qualifier lived on a dashboard panel and had been dropped from the narration — and the narration is the artifact that prints, travels as a PDF and gets screenshotted. Where the panel is more careful than the prose, the careful version is the one that stays behind. </w:t>
      </w:r>
      <w:r>
        <w:rPr>
          <w:b/>
          <w:i w:val="0"/>
          <w:strike w:val="0"/>
        </w:rPr>
        <w:t>Every figure checked.</w:t>
      </w:r>
      <w:r>
        <w:rPr>
          <w:b w:val="0"/>
          <w:i w:val="0"/>
          <w:strike w:val="0"/>
        </w:rPr>
        <w:t xml:space="preserve"> The reviewer re-derived about forty quoted figures independently of the committed harness and found no model figure wrong; the single arithmetic error was a hand-computed illustration no test could reach.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w:t>
            </w:r>
          </w:p>
        </w:tc>
        <w:tc>
          <w:tcPr>
            <w:tcW w:type="dxa" w:w="2160"/>
          </w:tcPr>
          <w:p>
            <w:r>
              <w:rPr>
                <w:b/>
                <w:i w:val="0"/>
                <w:strike w:val="0"/>
              </w:rPr>
              <w:t>Change</w:t>
            </w:r>
          </w:p>
        </w:tc>
        <w:tc>
          <w:tcPr>
            <w:tcW w:type="dxa" w:w="2160"/>
          </w:tcPr>
          <w:p>
            <w:r>
              <w:rPr>
                <w:b/>
                <w:i w:val="0"/>
                <w:strike w:val="0"/>
              </w:rPr>
              <w:t>Finding</w:t>
            </w:r>
          </w:p>
        </w:tc>
        <w:tc>
          <w:tcPr>
            <w:tcW w:type="dxa" w:w="2160"/>
          </w:tcPr>
          <w:p>
            <w:r>
              <w:rPr>
                <w:b/>
                <w:i w:val="0"/>
                <w:strike w:val="0"/>
              </w:rPr>
              <w:t>Where</w:t>
            </w:r>
          </w:p>
        </w:tc>
      </w:tr>
      <w:tr>
        <w:tc>
          <w:tcPr>
            <w:tcW w:type="dxa" w:w="2160"/>
          </w:tcPr>
          <w:p>
            <w:r>
              <w:rPr>
                <w:b w:val="0"/>
                <w:i w:val="0"/>
                <w:strike w:val="0"/>
              </w:rPr>
              <w:t>1</w:t>
            </w:r>
          </w:p>
        </w:tc>
        <w:tc>
          <w:tcPr>
            <w:tcW w:type="dxa" w:w="2160"/>
          </w:tcPr>
          <w:p>
            <w:r>
              <w:rPr>
                <w:b/>
                <w:i w:val="0"/>
                <w:strike w:val="0"/>
              </w:rPr>
              <w:t>The statement of current law was wrong, in the direction that helps the bill — the only finding that was wrong about the world rather than about emphasis.</w:t>
            </w:r>
            <w:r>
              <w:rPr>
                <w:b w:val="0"/>
                <w:i w:val="0"/>
                <w:strike w:val="0"/>
              </w:rPr>
              <w:t xml:space="preserve"> Paragraph 3, the sentence that exists to say why a bill is needed, said a veteran "can buy military service only in her first 24 months." She can buy it at any time while a member in service; </w:t>
            </w:r>
            <w:r>
              <w:rPr>
                <w:b/>
                <w:i w:val="0"/>
                <w:strike w:val="0"/>
              </w:rPr>
              <w:t>what closes at 24 months is the price, not the right</w:t>
            </w:r>
            <w:r>
              <w:rPr>
                <w:b w:val="0"/>
                <w:i w:val="0"/>
                <w:strike w:val="0"/>
              </w:rPr>
              <w:t>. The package's own legal memorandum says so in a table. Now reads "</w:t>
            </w:r>
            <w:r>
              <w:rPr>
                <w:b/>
                <w:i w:val="0"/>
                <w:strike w:val="0"/>
              </w:rPr>
              <w:t>at approximate normal cost</w:t>
            </w:r>
            <w:r>
              <w:rPr>
                <w:b w:val="0"/>
                <w:i w:val="0"/>
                <w:strike w:val="0"/>
              </w:rPr>
              <w:t xml:space="preserve"> only in her first 24 months," with "</w:t>
            </w:r>
            <w:r>
              <w:rPr>
                <w:b/>
                <w:i w:val="0"/>
                <w:strike w:val="0"/>
              </w:rPr>
              <w:t>her right to purchase does not expire; what expires is the price</w:t>
            </w:r>
            <w:r>
              <w:rPr>
                <w:b w:val="0"/>
                <w:i w:val="0"/>
                <w:strike w:val="0"/>
              </w:rPr>
              <w:t xml:space="preserve">" stated expressly, and the pinpoint corrected from § 51.1-142.2 B 3 to </w:t>
            </w:r>
            <w:r>
              <w:rPr>
                <w:b/>
                <w:i w:val="0"/>
                <w:strike w:val="0"/>
              </w:rPr>
              <w:t>subsection B, concluding paragraph</w:t>
            </w:r>
            <w:r>
              <w:rPr>
                <w:b w:val="0"/>
                <w:i w:val="0"/>
                <w:strike w:val="0"/>
              </w:rPr>
              <w:t xml:space="preserve"> (the bill's own finding L-03).</w:t>
            </w:r>
          </w:p>
        </w:tc>
        <w:tc>
          <w:tcPr>
            <w:tcW w:type="dxa" w:w="2160"/>
          </w:tcPr>
          <w:p>
            <w:r>
              <w:rPr>
                <w:b/>
                <w:i w:val="0"/>
                <w:strike w:val="0"/>
              </w:rPr>
              <w:t>Blocker B-01</w:t>
            </w:r>
          </w:p>
        </w:tc>
        <w:tc>
          <w:tcPr>
            <w:tcW w:type="dxa" w:w="2160"/>
          </w:tcPr>
          <w:p>
            <w:r>
              <w:rPr>
                <w:rFonts w:ascii="Consolas" w:hAnsi="Consolas"/>
                <w:b w:val="0"/>
                <w:i w:val="0"/>
                <w:strike w:val="0"/>
                <w:color w:val="303030"/>
                <w:sz w:val="19"/>
              </w:rPr>
              <w:t>js/walkthrough.js</w:t>
            </w:r>
            <w:r>
              <w:rPr>
                <w:b w:val="0"/>
                <w:i w:val="0"/>
                <w:strike w:val="0"/>
              </w:rPr>
              <w:t xml:space="preserve"> intro</w:t>
            </w:r>
          </w:p>
        </w:tc>
      </w:tr>
      <w:tr>
        <w:tc>
          <w:tcPr>
            <w:tcW w:type="dxa" w:w="2160"/>
          </w:tcPr>
          <w:p>
            <w:r>
              <w:rPr>
                <w:b w:val="0"/>
                <w:i w:val="0"/>
                <w:strike w:val="0"/>
              </w:rPr>
              <w:t>2</w:t>
            </w:r>
          </w:p>
        </w:tc>
        <w:tc>
          <w:tcPr>
            <w:tcW w:type="dxa" w:w="2160"/>
          </w:tcPr>
          <w:p>
            <w:r>
              <w:rPr>
                <w:b/>
                <w:i w:val="0"/>
                <w:strike w:val="0"/>
              </w:rPr>
              <w:t>The no-rate-change claim was extended to the top of the range, which the committed fiscal model expressly says it does not survive.</w:t>
            </w:r>
            <w:r>
              <w:rPr>
                <w:b w:val="0"/>
                <w:i w:val="0"/>
                <w:strike w:val="0"/>
              </w:rPr>
              <w:t xml:space="preserve"> The walk-through quoted 1.16 bp / $43.79M as the top of the range and then, two paragraphs later, asserted that "even the top of that range does not move any employer's published contribution rate" — calling it "the strongest honest claim available." The fiscal memorandum states the opposite in terms: </w:t>
            </w:r>
            <w:r>
              <w:rPr>
                <w:b/>
                <w:i w:val="0"/>
                <w:strike w:val="0"/>
              </w:rPr>
              <w:t>at 1.16 bp a plan's rate does change to the nearest basis point.</w:t>
            </w:r>
            <w:r>
              <w:rPr>
                <w:b w:val="0"/>
                <w:i w:val="0"/>
                <w:strike w:val="0"/>
              </w:rPr>
              <w:t xml:space="preserve"> An opponent did not have to prove anything, only to put two of our own pages side by side. Now restricted to the central case and the single-driver excursions, with the compound-adverse exception stated as the figure to give a committee as the adverse tail. Corrected in step 9, in the closing, </w:t>
            </w:r>
            <w:r>
              <w:rPr>
                <w:b/>
                <w:i w:val="0"/>
                <w:strike w:val="0"/>
              </w:rPr>
              <w:t>and in step 1, where the new harness found a third instance the review had not located.</w:t>
            </w:r>
          </w:p>
        </w:tc>
        <w:tc>
          <w:tcPr>
            <w:tcW w:type="dxa" w:w="2160"/>
          </w:tcPr>
          <w:p>
            <w:r>
              <w:rPr>
                <w:b/>
                <w:i w:val="0"/>
                <w:strike w:val="0"/>
              </w:rPr>
              <w:t>Blocker B-02</w:t>
            </w:r>
          </w:p>
        </w:tc>
        <w:tc>
          <w:tcPr>
            <w:tcW w:type="dxa" w:w="2160"/>
          </w:tcPr>
          <w:p>
            <w:r>
              <w:rPr>
                <w:rFonts w:ascii="Consolas" w:hAnsi="Consolas"/>
                <w:b w:val="0"/>
                <w:i w:val="0"/>
                <w:strike w:val="0"/>
                <w:color w:val="303030"/>
                <w:sz w:val="19"/>
              </w:rPr>
              <w:t>js/walkthrough.js</w:t>
            </w:r>
            <w:r>
              <w:rPr>
                <w:b w:val="0"/>
                <w:i w:val="0"/>
                <w:strike w:val="0"/>
              </w:rPr>
              <w:t xml:space="preserve"> steps 1 and 9, closing</w:t>
            </w:r>
          </w:p>
        </w:tc>
      </w:tr>
      <w:tr>
        <w:tc>
          <w:tcPr>
            <w:tcW w:type="dxa" w:w="2160"/>
          </w:tcPr>
          <w:p>
            <w:r>
              <w:rPr>
                <w:b w:val="0"/>
                <w:i w:val="0"/>
                <w:strike w:val="0"/>
              </w:rPr>
              <w:t>3</w:t>
            </w:r>
          </w:p>
        </w:tc>
        <w:tc>
          <w:tcPr>
            <w:tcW w:type="dxa" w:w="2160"/>
          </w:tcPr>
          <w:p>
            <w:r>
              <w:rPr>
                <w:b/>
                <w:i w:val="0"/>
                <w:strike w:val="0"/>
              </w:rPr>
              <w:t>$341,065 travelled with none of its mandatory qualifier, under a label the package had withdrawn for it.</w:t>
            </w:r>
            <w:r>
              <w:rPr>
                <w:b w:val="0"/>
                <w:i w:val="0"/>
                <w:strike w:val="0"/>
              </w:rPr>
              <w:t xml:space="preserve"> One occurrence, page 4 of the printed artifact, reading only "nets +$341,065 on the frozen-service baseline" — with every component of a tenfold error available to the reader and the one preventing sentence, which the dashboard already prints, removed. </w:t>
            </w:r>
            <w:r>
              <w:rPr>
                <w:b/>
                <w:i w:val="0"/>
                <w:strike w:val="0"/>
              </w:rPr>
              <w:t>$341,065 × 222 participants = $75.7M against the package's own $7.15M aggregate.</w:t>
            </w:r>
            <w:r>
              <w:rPr>
                <w:b w:val="0"/>
                <w:i w:val="0"/>
                <w:strike w:val="0"/>
              </w:rPr>
              <w:t xml:space="preserve"> Now carries "the most favourable of the seven published profiles, </w:t>
            </w:r>
            <w:r>
              <w:rPr>
                <w:b/>
                <w:i w:val="0"/>
                <w:strike w:val="0"/>
              </w:rPr>
              <w:t>not a cost per veteran, and never to be multiplied by a participant count</w:t>
            </w:r>
            <w:r>
              <w:rPr>
                <w:b w:val="0"/>
                <w:i w:val="0"/>
                <w:strike w:val="0"/>
              </w:rPr>
              <w:t xml:space="preserve">," the next most favourable profile ($101,480), the mean of the six non-hybrid profiles on that baseline (~$93,000) and the grid's ~$419,000 ceiling. The withdrawn "frozen-service" label is replaced by the baseline described in words — </w:t>
            </w:r>
            <w:r>
              <w:rPr>
                <w:b w:val="0"/>
                <w:i/>
                <w:strike w:val="0"/>
              </w:rPr>
              <w:t>same date, same service, current-law reduced allowance</w:t>
            </w:r>
            <w:r>
              <w:rPr>
                <w:b w:val="0"/>
                <w:i w:val="0"/>
                <w:strike w:val="0"/>
              </w:rPr>
              <w:t xml:space="preserve"> — because the standalone document has no glossary.</w:t>
            </w:r>
          </w:p>
        </w:tc>
        <w:tc>
          <w:tcPr>
            <w:tcW w:type="dxa" w:w="2160"/>
          </w:tcPr>
          <w:p>
            <w:r>
              <w:rPr>
                <w:b/>
                <w:i w:val="0"/>
                <w:strike w:val="0"/>
              </w:rPr>
              <w:t>Blocker B-03</w:t>
            </w:r>
          </w:p>
        </w:tc>
        <w:tc>
          <w:tcPr>
            <w:tcW w:type="dxa" w:w="2160"/>
          </w:tcPr>
          <w:p>
            <w:r>
              <w:rPr>
                <w:rFonts w:ascii="Consolas" w:hAnsi="Consolas"/>
                <w:b w:val="0"/>
                <w:i w:val="0"/>
                <w:strike w:val="0"/>
                <w:color w:val="303030"/>
                <w:sz w:val="19"/>
              </w:rPr>
              <w:t>js/walkthrough.js</w:t>
            </w:r>
            <w:r>
              <w:rPr>
                <w:b w:val="0"/>
                <w:i w:val="0"/>
                <w:strike w:val="0"/>
              </w:rPr>
              <w:t xml:space="preserve"> step 3</w:t>
            </w:r>
          </w:p>
        </w:tc>
      </w:tr>
      <w:tr>
        <w:tc>
          <w:tcPr>
            <w:tcW w:type="dxa" w:w="2160"/>
          </w:tcPr>
          <w:p>
            <w:r>
              <w:rPr>
                <w:b w:val="0"/>
                <w:i w:val="0"/>
                <w:strike w:val="0"/>
              </w:rPr>
              <w:t>4</w:t>
            </w:r>
          </w:p>
        </w:tc>
        <w:tc>
          <w:tcPr>
            <w:tcW w:type="dxa" w:w="2160"/>
          </w:tcPr>
          <w:p>
            <w:r>
              <w:rPr>
                <w:b/>
                <w:i w:val="0"/>
                <w:strike w:val="0"/>
              </w:rPr>
              <w:t>The printed and PDF-exported walk-through lost its whole disclaimer block, and with it the version stamp, the provenance legend and the attribution line.</w:t>
            </w:r>
            <w:r>
              <w:rPr>
                <w:b w:val="0"/>
                <w:i w:val="0"/>
                <w:strike w:val="0"/>
              </w:rPr>
              <w:t xml:space="preserve"> </w:t>
            </w:r>
            <w:r>
              <w:rPr>
                <w:rFonts w:ascii="Consolas" w:hAnsi="Consolas"/>
                <w:b w:val="0"/>
                <w:i w:val="0"/>
                <w:strike w:val="0"/>
                <w:color w:val="303030"/>
                <w:sz w:val="19"/>
              </w:rPr>
              <w:t>walkthrough.html</w:t>
            </w:r>
            <w:r>
              <w:rPr>
                <w:b w:val="0"/>
                <w:i w:val="0"/>
                <w:strike w:val="0"/>
              </w:rPr>
              <w:t xml:space="preserve"> nested </w:t>
            </w:r>
            <w:r>
              <w:rPr>
                <w:rFonts w:ascii="Consolas" w:hAnsi="Consolas"/>
                <w:b w:val="0"/>
                <w:i w:val="0"/>
                <w:strike w:val="0"/>
                <w:color w:val="303030"/>
                <w:sz w:val="19"/>
              </w:rPr>
              <w:t>.disclaimer</w:t>
            </w:r>
            <w:r>
              <w:rPr>
                <w:b w:val="0"/>
                <w:i w:val="0"/>
                <w:strike w:val="0"/>
              </w:rPr>
              <w:t xml:space="preserve"> inside </w:t>
            </w:r>
            <w:r>
              <w:rPr>
                <w:rFonts w:ascii="Consolas" w:hAnsi="Consolas"/>
                <w:b w:val="0"/>
                <w:i w:val="0"/>
                <w:strike w:val="0"/>
                <w:color w:val="303030"/>
                <w:sz w:val="19"/>
              </w:rPr>
              <w:t>&lt;header class="masthead"&gt;</w:t>
            </w:r>
            <w:r>
              <w:rPr>
                <w:b w:val="0"/>
                <w:i w:val="0"/>
                <w:strike w:val="0"/>
              </w:rPr>
              <w:t xml:space="preserve">, which </w:t>
            </w:r>
            <w:r>
              <w:rPr>
                <w:rFonts w:ascii="Consolas" w:hAnsi="Consolas"/>
                <w:b w:val="0"/>
                <w:i w:val="0"/>
                <w:strike w:val="0"/>
                <w:color w:val="303030"/>
                <w:sz w:val="19"/>
              </w:rPr>
              <w:t>@media print</w:t>
            </w:r>
            <w:r>
              <w:rPr>
                <w:b w:val="0"/>
                <w:i w:val="0"/>
                <w:strike w:val="0"/>
              </w:rPr>
              <w:t xml:space="preserve"> sets to </w:t>
            </w:r>
            <w:r>
              <w:rPr>
                <w:rFonts w:ascii="Consolas" w:hAnsi="Consolas"/>
                <w:b w:val="0"/>
                <w:i w:val="0"/>
                <w:strike w:val="0"/>
                <w:color w:val="303030"/>
                <w:sz w:val="19"/>
              </w:rPr>
              <w:t>display: none</w:t>
            </w:r>
            <w:r>
              <w:rPr>
                <w:b w:val="0"/>
                <w:i w:val="0"/>
                <w:strike w:val="0"/>
              </w:rPr>
              <w:t xml:space="preserve">; </w:t>
            </w:r>
            <w:r>
              <w:rPr>
                <w:rFonts w:ascii="Consolas" w:hAnsi="Consolas"/>
                <w:b w:val="0"/>
                <w:i w:val="0"/>
                <w:strike w:val="0"/>
                <w:color w:val="303030"/>
                <w:sz w:val="19"/>
              </w:rPr>
              <w:t>display: block !important</w:t>
            </w:r>
            <w:r>
              <w:rPr>
                <w:b w:val="0"/>
                <w:i w:val="0"/>
                <w:strike w:val="0"/>
              </w:rPr>
              <w:t xml:space="preserve"> on a descendant of a hidden ancestor restores nothing. This is the MOO-265 dashboard defect, fixed there and not here. Fixed by moving the block outside </w:t>
            </w:r>
            <w:r>
              <w:rPr>
                <w:rFonts w:ascii="Consolas" w:hAnsi="Consolas"/>
                <w:b w:val="0"/>
                <w:i w:val="0"/>
                <w:strike w:val="0"/>
                <w:color w:val="303030"/>
                <w:sz w:val="19"/>
              </w:rPr>
              <w:t>&lt;/header&gt;</w:t>
            </w:r>
            <w:r>
              <w:rPr>
                <w:b w:val="0"/>
                <w:i w:val="0"/>
                <w:strike w:val="0"/>
              </w:rPr>
              <w:t xml:space="preserve">; </w:t>
            </w:r>
            <w:r>
              <w:rPr>
                <w:rFonts w:ascii="Consolas" w:hAnsi="Consolas"/>
                <w:b w:val="0"/>
                <w:i w:val="0"/>
                <w:strike w:val="0"/>
                <w:color w:val="303030"/>
                <w:sz w:val="19"/>
              </w:rPr>
              <w:t>print-required</w:t>
            </w:r>
            <w:r>
              <w:rPr>
                <w:b w:val="0"/>
                <w:i w:val="0"/>
                <w:strike w:val="0"/>
              </w:rPr>
              <w:t xml:space="preserve"> now carries a print rule that delivers its guarantee plus a tripwire outline; and the version stamp is repeated in the </w:t>
            </w:r>
            <w:r>
              <w:rPr>
                <w:b/>
                <w:i w:val="0"/>
                <w:strike w:val="0"/>
              </w:rPr>
              <w:t>closing footer</w:t>
            </w:r>
            <w:r>
              <w:rPr>
                <w:b w:val="0"/>
                <w:i w:val="0"/>
                <w:strike w:val="0"/>
              </w:rPr>
              <w:t xml:space="preserve">, which is the one place a printed copy can be matched to a bill. </w:t>
            </w:r>
            <w:r>
              <w:rPr>
                <w:b/>
                <w:i w:val="0"/>
                <w:strike w:val="0"/>
              </w:rPr>
              <w:t>Found by extension: the methodology page had the identical defect, and the printed dashboard carried no version stamp at all.</w:t>
            </w:r>
            <w:r>
              <w:rPr>
                <w:b w:val="0"/>
                <w:i w:val="0"/>
                <w:strike w:val="0"/>
              </w:rPr>
              <w:t xml:space="preserve"> Both fixed.</w:t>
            </w:r>
          </w:p>
        </w:tc>
        <w:tc>
          <w:tcPr>
            <w:tcW w:type="dxa" w:w="2160"/>
          </w:tcPr>
          <w:p>
            <w:r>
              <w:rPr>
                <w:b/>
                <w:i w:val="0"/>
                <w:strike w:val="0"/>
              </w:rPr>
              <w:t>Material S-01</w:t>
            </w:r>
          </w:p>
        </w:tc>
        <w:tc>
          <w:tcPr>
            <w:tcW w:type="dxa" w:w="2160"/>
          </w:tcPr>
          <w:p>
            <w:r>
              <w:rPr>
                <w:rFonts w:ascii="Consolas" w:hAnsi="Consolas"/>
                <w:b w:val="0"/>
                <w:i w:val="0"/>
                <w:strike w:val="0"/>
                <w:color w:val="303030"/>
                <w:sz w:val="19"/>
              </w:rPr>
              <w:t>walkthrough.html</w:t>
            </w:r>
            <w:r>
              <w:rPr>
                <w:b w:val="0"/>
                <w:i w:val="0"/>
                <w:strike w:val="0"/>
              </w:rPr>
              <w:t xml:space="preserve">, </w:t>
            </w:r>
            <w:r>
              <w:rPr>
                <w:rFonts w:ascii="Consolas" w:hAnsi="Consolas"/>
                <w:b w:val="0"/>
                <w:i w:val="0"/>
                <w:strike w:val="0"/>
                <w:color w:val="303030"/>
                <w:sz w:val="19"/>
              </w:rPr>
              <w:t>methodology.html</w:t>
            </w:r>
            <w:r>
              <w:rPr>
                <w:b w:val="0"/>
                <w:i w:val="0"/>
                <w:strike w:val="0"/>
              </w:rPr>
              <w:t xml:space="preserve">, </w:t>
            </w:r>
            <w:r>
              <w:rPr>
                <w:rFonts w:ascii="Consolas" w:hAnsi="Consolas"/>
                <w:b w:val="0"/>
                <w:i w:val="0"/>
                <w:strike w:val="0"/>
                <w:color w:val="303030"/>
                <w:sz w:val="19"/>
              </w:rPr>
              <w:t>index.html</w:t>
            </w:r>
            <w:r>
              <w:rPr>
                <w:b w:val="0"/>
                <w:i w:val="0"/>
                <w:strike w:val="0"/>
              </w:rPr>
              <w:t xml:space="preserve">, </w:t>
            </w:r>
            <w:r>
              <w:rPr>
                <w:rFonts w:ascii="Consolas" w:hAnsi="Consolas"/>
                <w:b w:val="0"/>
                <w:i w:val="0"/>
                <w:strike w:val="0"/>
                <w:color w:val="303030"/>
                <w:sz w:val="19"/>
              </w:rPr>
              <w:t>css/explorer.css</w:t>
            </w:r>
          </w:p>
        </w:tc>
      </w:tr>
      <w:tr>
        <w:tc>
          <w:tcPr>
            <w:tcW w:type="dxa" w:w="2160"/>
          </w:tcPr>
          <w:p>
            <w:r>
              <w:rPr>
                <w:b w:val="0"/>
                <w:i w:val="0"/>
                <w:strike w:val="0"/>
              </w:rPr>
              <w:t>5</w:t>
            </w:r>
          </w:p>
        </w:tc>
        <w:tc>
          <w:tcPr>
            <w:tcW w:type="dxa" w:w="2160"/>
          </w:tcPr>
          <w:p>
            <w:r>
              <w:rPr>
                <w:b/>
                <w:i w:val="0"/>
                <w:strike w:val="0"/>
              </w:rPr>
              <w:t>A third harness, because a stylesheet cannot be eyeballed.</w:t>
            </w:r>
            <w:r>
              <w:rPr>
                <w:b w:val="0"/>
                <w:i w:val="0"/>
                <w:strike w:val="0"/>
              </w:rPr>
              <w:t xml:space="preserve"> </w:t>
            </w:r>
            <w:r>
              <w:rPr>
                <w:rFonts w:ascii="Consolas" w:hAnsi="Consolas"/>
                <w:b w:val="0"/>
                <w:i w:val="0"/>
                <w:strike w:val="0"/>
                <w:color w:val="303030"/>
                <w:sz w:val="19"/>
              </w:rPr>
              <w:t>test/print-check.js</w:t>
            </w:r>
            <w:r>
              <w:rPr>
                <w:b w:val="0"/>
                <w:i w:val="0"/>
                <w:strike w:val="0"/>
              </w:rPr>
              <w:t xml:space="preserve"> loads each of the five surfaces, emulates print media over the DevTools protocol and </w:t>
            </w:r>
            <w:r>
              <w:rPr>
                <w:b/>
                <w:i w:val="0"/>
                <w:strike w:val="0"/>
              </w:rPr>
              <w:t>measures the rendered box</w:t>
            </w:r>
            <w:r>
              <w:rPr>
                <w:b w:val="0"/>
                <w:i w:val="0"/>
                <w:strike w:val="0"/>
              </w:rPr>
              <w:t xml:space="preserve"> — a zero-area rect or a null </w:t>
            </w:r>
            <w:r>
              <w:rPr>
                <w:rFonts w:ascii="Consolas" w:hAnsi="Consolas"/>
                <w:b w:val="0"/>
                <w:i w:val="0"/>
                <w:strike w:val="0"/>
                <w:color w:val="303030"/>
                <w:sz w:val="19"/>
              </w:rPr>
              <w:t>offsetParent</w:t>
            </w:r>
            <w:r>
              <w:rPr>
                <w:b w:val="0"/>
                <w:i w:val="0"/>
                <w:strike w:val="0"/>
              </w:rPr>
              <w:t xml:space="preserve"> fails however the computed style reads. </w:t>
            </w:r>
            <w:r>
              <w:rPr>
                <w:b/>
                <w:i w:val="0"/>
                <w:strike w:val="0"/>
              </w:rPr>
              <w:t>42 checks, all passing</w:t>
            </w:r>
            <w:r>
              <w:rPr>
                <w:b w:val="0"/>
                <w:i w:val="0"/>
                <w:strike w:val="0"/>
              </w:rPr>
              <w:t>, asserting that the model disclaimer, the § 30-19.1:7 disclaimer, the attribution line and the bill and package version are visible in print on every surface.</w:t>
            </w:r>
          </w:p>
        </w:tc>
        <w:tc>
          <w:tcPr>
            <w:tcW w:type="dxa" w:w="2160"/>
          </w:tcPr>
          <w:p>
            <w:r>
              <w:rPr>
                <w:b/>
                <w:i w:val="0"/>
                <w:strike w:val="0"/>
              </w:rPr>
              <w:t>S-01</w:t>
            </w:r>
          </w:p>
        </w:tc>
        <w:tc>
          <w:tcPr>
            <w:tcW w:type="dxa" w:w="2160"/>
          </w:tcPr>
          <w:p>
            <w:r>
              <w:rPr>
                <w:b w:val="0"/>
                <w:i w:val="0"/>
                <w:strike w:val="0"/>
              </w:rPr>
              <w:t xml:space="preserve">new </w:t>
            </w:r>
            <w:r>
              <w:rPr>
                <w:rFonts w:ascii="Consolas" w:hAnsi="Consolas"/>
                <w:b w:val="0"/>
                <w:i w:val="0"/>
                <w:strike w:val="0"/>
                <w:color w:val="303030"/>
                <w:sz w:val="19"/>
              </w:rPr>
              <w:t>explorer/test/print-check.js</w:t>
            </w:r>
          </w:p>
        </w:tc>
      </w:tr>
      <w:tr>
        <w:tc>
          <w:tcPr>
            <w:tcW w:type="dxa" w:w="2160"/>
          </w:tcPr>
          <w:p>
            <w:r>
              <w:rPr>
                <w:b w:val="0"/>
                <w:i w:val="0"/>
                <w:strike w:val="0"/>
              </w:rPr>
              <w:t>6</w:t>
            </w:r>
          </w:p>
        </w:tc>
        <w:tc>
          <w:tcPr>
            <w:tcW w:type="dxa" w:w="2160"/>
          </w:tcPr>
          <w:p>
            <w:r>
              <w:rPr>
                <w:b/>
                <w:i w:val="0"/>
                <w:strike w:val="0"/>
              </w:rPr>
              <w:t>A qualifier is now checked for, not only a value.</w:t>
            </w:r>
            <w:r>
              <w:rPr>
                <w:b w:val="0"/>
                <w:i w:val="0"/>
                <w:strike w:val="0"/>
              </w:rPr>
              <w:t xml:space="preserve"> Harness group 19 proves a quoted figure is one the model produces; it cannot prove the figure is quoted </w:t>
            </w:r>
            <w:r>
              <w:rPr>
                <w:b w:val="0"/>
                <w:i/>
                <w:strike w:val="0"/>
              </w:rPr>
              <w:t>with</w:t>
            </w:r>
            <w:r>
              <w:rPr>
                <w:b w:val="0"/>
                <w:i w:val="0"/>
                <w:strike w:val="0"/>
              </w:rPr>
              <w:t xml:space="preserve"> its qualifier, which is a property of prose. New </w:t>
            </w:r>
            <w:r>
              <w:rPr>
                <w:b/>
                <w:i w:val="0"/>
                <w:strike w:val="0"/>
              </w:rPr>
              <w:t>group 20</w:t>
            </w:r>
            <w:r>
              <w:rPr>
                <w:b w:val="0"/>
                <w:i w:val="0"/>
                <w:strike w:val="0"/>
              </w:rPr>
              <w:t xml:space="preserve"> reads the walk-through section by section and enforces the package's own rules structurally: a basis-point figure must state what it excludes; $341,065 must carry "not a cost per veteran," must be identified as the most favourable profile and must not be called a maximum; the no-rate-change claim must be restricted; and four withdrawn labels must not reappear. </w:t>
            </w:r>
            <w:r>
              <w:rPr>
                <w:b/>
                <w:i w:val="0"/>
                <w:strike w:val="0"/>
              </w:rPr>
              <w:t>It found two live defects the moment it was written</w:t>
            </w:r>
            <w:r>
              <w:rPr>
                <w:b w:val="0"/>
                <w:i w:val="0"/>
                <w:strike w:val="0"/>
              </w:rPr>
              <w:t xml:space="preserve"> — the step 1 instance of B-02, and a withdrawn phrase reintroduced in step 9.</w:t>
            </w:r>
          </w:p>
        </w:tc>
        <w:tc>
          <w:tcPr>
            <w:tcW w:type="dxa" w:w="2160"/>
          </w:tcPr>
          <w:p>
            <w:r>
              <w:rPr>
                <w:b/>
                <w:i w:val="0"/>
                <w:strike w:val="0"/>
              </w:rPr>
              <w:t>S-07</w:t>
            </w:r>
            <w:r>
              <w:rPr>
                <w:b w:val="0"/>
                <w:i w:val="0"/>
                <w:strike w:val="0"/>
              </w:rPr>
              <w:t>, review § 6 item 9</w:t>
            </w:r>
          </w:p>
        </w:tc>
        <w:tc>
          <w:tcPr>
            <w:tcW w:type="dxa" w:w="2160"/>
          </w:tcPr>
          <w:p>
            <w:r>
              <w:rPr>
                <w:rFonts w:ascii="Consolas" w:hAnsi="Consolas"/>
                <w:b w:val="0"/>
                <w:i w:val="0"/>
                <w:strike w:val="0"/>
                <w:color w:val="303030"/>
                <w:sz w:val="19"/>
              </w:rPr>
              <w:t>test/standalone.js</w:t>
            </w:r>
            <w:r>
              <w:rPr>
                <w:b w:val="0"/>
                <w:i w:val="0"/>
                <w:strike w:val="0"/>
              </w:rPr>
              <w:t xml:space="preserve"> group 20</w:t>
            </w:r>
          </w:p>
        </w:tc>
      </w:tr>
      <w:tr>
        <w:tc>
          <w:tcPr>
            <w:tcW w:type="dxa" w:w="2160"/>
          </w:tcPr>
          <w:p>
            <w:r>
              <w:rPr>
                <w:b w:val="0"/>
                <w:i w:val="0"/>
                <w:strike w:val="0"/>
              </w:rPr>
              <w:t>7</w:t>
            </w:r>
          </w:p>
        </w:tc>
        <w:tc>
          <w:tcPr>
            <w:tcW w:type="dxa" w:w="2160"/>
          </w:tcPr>
          <w:p>
            <w:r>
              <w:rPr>
                <w:b/>
                <w:i w:val="0"/>
                <w:strike w:val="0"/>
              </w:rPr>
              <w:t>The bill discloses three member detriments and the stakeholder-facing document disclosed none of them</w:t>
            </w:r>
            <w:r>
              <w:rPr>
                <w:b w:val="0"/>
                <w:i w:val="0"/>
                <w:strike w:val="0"/>
              </w:rPr>
              <w:t xml:space="preserve"> — while step 2 listed one of the three among the things the bill </w:t>
            </w:r>
            <w:r>
              <w:rPr>
                <w:b w:val="0"/>
                <w:i/>
                <w:strike w:val="0"/>
              </w:rPr>
              <w:t>protects</w:t>
            </w:r>
            <w:r>
              <w:rPr>
                <w:b w:val="0"/>
                <w:i w:val="0"/>
                <w:strike w:val="0"/>
              </w:rPr>
              <w:t xml:space="preserve">. Clause I 2(viii) requires each purchaser to be told in writing that retiring earlier begins the </w:t>
            </w:r>
            <w:r>
              <w:rPr>
                <w:b/>
                <w:i w:val="0"/>
                <w:strike w:val="0"/>
              </w:rPr>
              <w:t>§ 51.1-505 B group life step-down</w:t>
            </w:r>
            <w:r>
              <w:rPr>
                <w:b w:val="0"/>
                <w:i w:val="0"/>
                <w:strike w:val="0"/>
              </w:rPr>
              <w:t xml:space="preserve"> up to four years earlier, ends eligibility for the </w:t>
            </w:r>
            <w:r>
              <w:rPr>
                <w:b/>
                <w:i w:val="0"/>
                <w:strike w:val="0"/>
              </w:rPr>
              <w:t>§ 51.1-162 B death-before-retirement allowance</w:t>
            </w:r>
            <w:r>
              <w:rPr>
                <w:b w:val="0"/>
                <w:i w:val="0"/>
                <w:strike w:val="0"/>
              </w:rPr>
              <w:t xml:space="preserve">, and produces fewer years of creditable service and a lower AFC. </w:t>
            </w:r>
            <w:r>
              <w:rPr>
                <w:rFonts w:ascii="Consolas" w:hAnsi="Consolas"/>
                <w:b w:val="0"/>
                <w:i w:val="0"/>
                <w:strike w:val="0"/>
                <w:color w:val="303030"/>
                <w:sz w:val="19"/>
              </w:rPr>
              <w:t>51.1-505</w:t>
            </w:r>
            <w:r>
              <w:rPr>
                <w:b w:val="0"/>
                <w:i w:val="0"/>
                <w:strike w:val="0"/>
              </w:rPr>
              <w:t xml:space="preserve"> appeared nowhere in the circulated document. The honest answer to "does this cost the veteran anything?" is </w:t>
            </w:r>
            <w:r>
              <w:rPr>
                <w:b/>
                <w:i w:val="0"/>
                <w:strike w:val="0"/>
              </w:rPr>
              <w:t>yes, three things</w:t>
            </w:r>
            <w:r>
              <w:rPr>
                <w:b w:val="0"/>
                <w:i w:val="0"/>
                <w:strike w:val="0"/>
              </w:rPr>
              <w:t xml:space="preserve">, and step 7 now says so; step 2's list is narrowed to the group life </w:t>
            </w:r>
            <w:r>
              <w:rPr>
                <w:b w:val="0"/>
                <w:i/>
                <w:strike w:val="0"/>
              </w:rPr>
              <w:t>service threshold</w:t>
            </w:r>
            <w:r>
              <w:rPr>
                <w:b w:val="0"/>
                <w:i w:val="0"/>
                <w:strike w:val="0"/>
              </w:rPr>
              <w:t>.</w:t>
            </w:r>
          </w:p>
        </w:tc>
        <w:tc>
          <w:tcPr>
            <w:tcW w:type="dxa" w:w="2160"/>
          </w:tcPr>
          <w:p>
            <w:r>
              <w:rPr>
                <w:b/>
                <w:i w:val="0"/>
                <w:strike w:val="0"/>
              </w:rPr>
              <w:t>Material S-04</w:t>
            </w:r>
          </w:p>
        </w:tc>
        <w:tc>
          <w:tcPr>
            <w:tcW w:type="dxa" w:w="2160"/>
          </w:tcPr>
          <w:p>
            <w:r>
              <w:rPr>
                <w:b w:val="0"/>
                <w:i w:val="0"/>
                <w:strike w:val="0"/>
              </w:rPr>
              <w:t>step 2, step 7</w:t>
            </w:r>
          </w:p>
        </w:tc>
      </w:tr>
      <w:tr>
        <w:tc>
          <w:tcPr>
            <w:tcW w:type="dxa" w:w="2160"/>
          </w:tcPr>
          <w:p>
            <w:r>
              <w:rPr>
                <w:b w:val="0"/>
                <w:i w:val="0"/>
                <w:strike w:val="0"/>
              </w:rPr>
              <w:t>8</w:t>
            </w:r>
          </w:p>
        </w:tc>
        <w:tc>
          <w:tcPr>
            <w:tcW w:type="dxa" w:w="2160"/>
          </w:tcPr>
          <w:p>
            <w:r>
              <w:rPr>
                <w:b/>
                <w:i w:val="0"/>
                <w:strike w:val="0"/>
              </w:rPr>
              <w:t>The tornado ranking was asserted without the panel's own guard-band disclosure, and the ranking collapses one place without it.</w:t>
            </w:r>
            <w:r>
              <w:rPr>
                <w:b w:val="0"/>
                <w:i w:val="0"/>
                <w:strike w:val="0"/>
              </w:rPr>
              <w:t xml:space="preserve"> The bars are not swung over commensurable bases: φ over the full 0–1 control range, take-up over 5–50%, the funnel over its documented cases. </w:t>
            </w:r>
            <w:r>
              <w:rPr>
                <w:b/>
                <w:i w:val="0"/>
                <w:strike w:val="0"/>
              </w:rPr>
              <w:t>Restricted to ASM-22's documented 0.25–0.75, φ swings 0.279 bp and ranks third</w:t>
            </w:r>
            <w:r>
              <w:rPr>
                <w:b w:val="0"/>
                <w:i w:val="0"/>
                <w:strike w:val="0"/>
              </w:rPr>
              <w:t xml:space="preserve">, behind take-up (0.425) and the funnel (0.372) — re-derived and confirmed. Step 8 now states the bases and that </w:t>
            </w:r>
            <w:r>
              <w:rPr>
                <w:b/>
                <w:i w:val="0"/>
                <w:strike w:val="0"/>
              </w:rPr>
              <w:t>the ordering tells you where to look, not what is most likely to be wrong</w:t>
            </w:r>
            <w:r>
              <w:rPr>
                <w:b w:val="0"/>
                <w:i w:val="0"/>
                <w:strike w:val="0"/>
              </w:rPr>
              <w:t>; the same disclosure is added to the Panel F note.</w:t>
            </w:r>
          </w:p>
        </w:tc>
        <w:tc>
          <w:tcPr>
            <w:tcW w:type="dxa" w:w="2160"/>
          </w:tcPr>
          <w:p>
            <w:r>
              <w:rPr>
                <w:b/>
                <w:i w:val="0"/>
                <w:strike w:val="0"/>
              </w:rPr>
              <w:t>Material S-05</w:t>
            </w:r>
          </w:p>
        </w:tc>
        <w:tc>
          <w:tcPr>
            <w:tcW w:type="dxa" w:w="2160"/>
          </w:tcPr>
          <w:p>
            <w:r>
              <w:rPr>
                <w:b w:val="0"/>
                <w:i w:val="0"/>
                <w:strike w:val="0"/>
              </w:rPr>
              <w:t xml:space="preserve">step 8, </w:t>
            </w:r>
            <w:r>
              <w:rPr>
                <w:rFonts w:ascii="Consolas" w:hAnsi="Consolas"/>
                <w:b w:val="0"/>
                <w:i w:val="0"/>
                <w:strike w:val="0"/>
                <w:color w:val="303030"/>
                <w:sz w:val="19"/>
              </w:rPr>
              <w:t>js/ui.js</w:t>
            </w:r>
            <w:r>
              <w:rPr>
                <w:b w:val="0"/>
                <w:i w:val="0"/>
                <w:strike w:val="0"/>
              </w:rPr>
              <w:t xml:space="preserve"> Panel F note</w:t>
            </w:r>
          </w:p>
        </w:tc>
      </w:tr>
      <w:tr>
        <w:tc>
          <w:tcPr>
            <w:tcW w:type="dxa" w:w="2160"/>
          </w:tcPr>
          <w:p>
            <w:r>
              <w:rPr>
                <w:b w:val="0"/>
                <w:i w:val="0"/>
                <w:strike w:val="0"/>
              </w:rPr>
              <w:t>9</w:t>
            </w:r>
          </w:p>
        </w:tc>
        <w:tc>
          <w:tcPr>
            <w:tcW w:type="dxa" w:w="2160"/>
          </w:tcPr>
          <w:p>
            <w:r>
              <w:rPr>
                <w:b/>
                <w:i w:val="0"/>
                <w:strike w:val="0"/>
              </w:rPr>
              <w:t>φ was absent from everything the document designated as what to read first</w:t>
            </w:r>
            <w:r>
              <w:rPr>
                <w:b w:val="0"/>
                <w:i w:val="0"/>
                <w:strike w:val="0"/>
              </w:rPr>
              <w:t xml:space="preserve">, and the reader met it on screen 4 of 12 behind a stated twenty-minute read. The three orientation items were the ten-year-total point, the provenance taxonomy and the no-"savings" rule — all true, none of them the assumption that decides the </w:t>
            </w:r>
            <w:r>
              <w:rPr>
                <w:b/>
                <w:i w:val="0"/>
                <w:strike w:val="0"/>
              </w:rPr>
              <w:t>sign</w:t>
            </w:r>
            <w:r>
              <w:rPr>
                <w:b w:val="0"/>
                <w:i w:val="0"/>
                <w:strike w:val="0"/>
              </w:rPr>
              <w:t xml:space="preserve"> of the result. Step 1's qualifier now closes with "</w:t>
            </w:r>
            <w:r>
              <w:rPr>
                <w:b/>
                <w:i w:val="0"/>
                <w:strike w:val="0"/>
              </w:rPr>
              <w:t>read 0.19 bp as the optimistic end of a range, not its middle</w:t>
            </w:r>
            <w:r>
              <w:rPr>
                <w:b w:val="0"/>
                <w:i w:val="0"/>
                <w:strike w:val="0"/>
              </w:rPr>
              <w:t xml:space="preserve">," and a </w:t>
            </w:r>
            <w:r>
              <w:rPr>
                <w:b/>
                <w:i w:val="0"/>
                <w:strike w:val="0"/>
              </w:rPr>
              <w:t>ten-minute reading path</w:t>
            </w:r>
            <w:r>
              <w:rPr>
                <w:b w:val="0"/>
                <w:i w:val="0"/>
                <w:strike w:val="0"/>
              </w:rPr>
              <w:t xml:space="preserve"> names the four sections that carry every disclosure that matters.</w:t>
            </w:r>
          </w:p>
        </w:tc>
        <w:tc>
          <w:tcPr>
            <w:tcW w:type="dxa" w:w="2160"/>
          </w:tcPr>
          <w:p>
            <w:r>
              <w:rPr>
                <w:b/>
                <w:i w:val="0"/>
                <w:strike w:val="0"/>
              </w:rPr>
              <w:t>Material S-06</w:t>
            </w:r>
            <w:r>
              <w:rPr>
                <w:b w:val="0"/>
                <w:i w:val="0"/>
                <w:strike w:val="0"/>
              </w:rPr>
              <w:t xml:space="preserve">, </w:t>
            </w:r>
            <w:r>
              <w:rPr>
                <w:b/>
                <w:i w:val="0"/>
                <w:strike w:val="0"/>
              </w:rPr>
              <w:t>m-03</w:t>
            </w:r>
          </w:p>
        </w:tc>
        <w:tc>
          <w:tcPr>
            <w:tcW w:type="dxa" w:w="2160"/>
          </w:tcPr>
          <w:p>
            <w:r>
              <w:rPr>
                <w:b w:val="0"/>
                <w:i w:val="0"/>
                <w:strike w:val="0"/>
              </w:rPr>
              <w:t>orientation, step 1</w:t>
            </w:r>
          </w:p>
        </w:tc>
      </w:tr>
      <w:tr>
        <w:tc>
          <w:tcPr>
            <w:tcW w:type="dxa" w:w="2160"/>
          </w:tcPr>
          <w:p>
            <w:r>
              <w:rPr>
                <w:b w:val="0"/>
                <w:i w:val="0"/>
                <w:strike w:val="0"/>
              </w:rPr>
              <w:t>10</w:t>
            </w:r>
          </w:p>
        </w:tc>
        <w:tc>
          <w:tcPr>
            <w:tcW w:type="dxa" w:w="2160"/>
          </w:tcPr>
          <w:p>
            <w:r>
              <w:rPr>
                <w:b/>
                <w:i w:val="0"/>
                <w:strike w:val="0"/>
              </w:rPr>
              <w:t>The modelled fiscal-year window is stale and was stated as a bare fact nineteen times.</w:t>
            </w:r>
            <w:r>
              <w:rPr>
                <w:b w:val="0"/>
                <w:i w:val="0"/>
                <w:strike w:val="0"/>
              </w:rPr>
              <w:t xml:space="preserve"> The act takes effect </w:t>
            </w:r>
            <w:r>
              <w:rPr>
                <w:b/>
                <w:i w:val="0"/>
                <w:strike w:val="0"/>
              </w:rPr>
              <w:t>July 1, 2029</w:t>
            </w:r>
            <w:r>
              <w:rPr>
                <w:b w:val="0"/>
                <w:i w:val="0"/>
                <w:strike w:val="0"/>
              </w:rPr>
              <w:t xml:space="preserve"> under DECISION 14; the model runs the </w:t>
            </w:r>
            <w:r>
              <w:rPr>
                <w:b/>
                <w:i w:val="0"/>
                <w:strike w:val="0"/>
              </w:rPr>
              <w:t>FY2029</w:t>
            </w:r>
            <w:r>
              <w:rPr>
                <w:b w:val="0"/>
                <w:i w:val="0"/>
                <w:strike w:val="0"/>
              </w:rPr>
              <w:t xml:space="preserve">–FY2038 cohort, whose first year ends three weeks before the bill can operate. An actuary finds this, and the discovery should land as a limitation disclosed rather than an error found. Disclosed once where the window is introduced, and added to step 10's refresh item as the </w:t>
            </w:r>
            <w:r>
              <w:rPr>
                <w:b/>
                <w:i w:val="0"/>
                <w:strike w:val="0"/>
              </w:rPr>
              <w:t>FY2030–FY2039</w:t>
            </w:r>
            <w:r>
              <w:rPr>
                <w:b w:val="0"/>
                <w:i w:val="0"/>
                <w:strike w:val="0"/>
              </w:rPr>
              <w:t xml:space="preserve"> shift.</w:t>
            </w:r>
          </w:p>
        </w:tc>
        <w:tc>
          <w:tcPr>
            <w:tcW w:type="dxa" w:w="2160"/>
          </w:tcPr>
          <w:p>
            <w:r>
              <w:rPr>
                <w:b/>
                <w:i w:val="0"/>
                <w:strike w:val="0"/>
              </w:rPr>
              <w:t>Material S-08</w:t>
            </w:r>
          </w:p>
        </w:tc>
        <w:tc>
          <w:tcPr>
            <w:tcW w:type="dxa" w:w="2160"/>
          </w:tcPr>
          <w:p>
            <w:r>
              <w:rPr>
                <w:b w:val="0"/>
                <w:i w:val="0"/>
                <w:strike w:val="0"/>
              </w:rPr>
              <w:t>orientation item 1, step 10</w:t>
            </w:r>
          </w:p>
        </w:tc>
      </w:tr>
      <w:tr>
        <w:tc>
          <w:tcPr>
            <w:tcW w:type="dxa" w:w="2160"/>
          </w:tcPr>
          <w:p>
            <w:r>
              <w:rPr>
                <w:b w:val="0"/>
                <w:i w:val="0"/>
                <w:strike w:val="0"/>
              </w:rPr>
              <w:t>11</w:t>
            </w:r>
          </w:p>
        </w:tc>
        <w:tc>
          <w:tcPr>
            <w:tcW w:type="dxa" w:w="2160"/>
          </w:tcPr>
          <w:p>
            <w:r>
              <w:rPr>
                <w:b/>
                <w:i w:val="0"/>
                <w:strike w:val="0"/>
              </w:rPr>
              <w:t>Stale bill version, contradicted by the document's own masthead</w:t>
            </w:r>
            <w:r>
              <w:rPr>
                <w:b w:val="0"/>
                <w:i w:val="0"/>
                <w:strike w:val="0"/>
              </w:rPr>
              <w:t xml:space="preserve"> — step 10 said the operative text is "version 1.3" while the masthead said 1.4. Corrected, and it now names what 1.4 changed that the model does not carry: clauses B 1(iv) and B 1(v), and the subdivision E 3 continuity requirement. The closing capped the range at </w:t>
            </w:r>
            <w:r>
              <w:rPr>
                <w:b/>
                <w:i w:val="0"/>
                <w:strike w:val="0"/>
              </w:rPr>
              <w:t>1.11 bp</w:t>
            </w:r>
            <w:r>
              <w:rPr>
                <w:b w:val="0"/>
                <w:i w:val="0"/>
                <w:strike w:val="0"/>
              </w:rPr>
              <w:t xml:space="preserve"> (step 8's two-driver span) while step 9 instructed the reader to treat </w:t>
            </w:r>
            <w:r>
              <w:rPr>
                <w:b/>
                <w:i w:val="0"/>
                <w:strike w:val="0"/>
              </w:rPr>
              <w:t>1.16 bp</w:t>
            </w:r>
            <w:r>
              <w:rPr>
                <w:b w:val="0"/>
                <w:i w:val="0"/>
                <w:strike w:val="0"/>
              </w:rPr>
              <w:t xml:space="preserve"> as the top; one figure, the published one, is now used throughout.</w:t>
            </w:r>
          </w:p>
        </w:tc>
        <w:tc>
          <w:tcPr>
            <w:tcW w:type="dxa" w:w="2160"/>
          </w:tcPr>
          <w:p>
            <w:r>
              <w:rPr>
                <w:b/>
                <w:i w:val="0"/>
                <w:strike w:val="0"/>
              </w:rPr>
              <w:t>Material S-02, S-03</w:t>
            </w:r>
          </w:p>
        </w:tc>
        <w:tc>
          <w:tcPr>
            <w:tcW w:type="dxa" w:w="2160"/>
          </w:tcPr>
          <w:p>
            <w:r>
              <w:rPr>
                <w:b w:val="0"/>
                <w:i w:val="0"/>
                <w:strike w:val="0"/>
              </w:rPr>
              <w:t>step 10, closing</w:t>
            </w:r>
          </w:p>
        </w:tc>
      </w:tr>
      <w:tr>
        <w:tc>
          <w:tcPr>
            <w:tcW w:type="dxa" w:w="2160"/>
          </w:tcPr>
          <w:p>
            <w:r>
              <w:rPr>
                <w:b w:val="0"/>
                <w:i w:val="0"/>
                <w:strike w:val="0"/>
              </w:rPr>
              <w:t>12</w:t>
            </w:r>
          </w:p>
        </w:tc>
        <w:tc>
          <w:tcPr>
            <w:tcW w:type="dxa" w:w="2160"/>
          </w:tcPr>
          <w:p>
            <w:r>
              <w:rPr>
                <w:b/>
                <w:i w:val="0"/>
                <w:strike w:val="0"/>
              </w:rPr>
              <w:t>Step 5's table — the single most extractable object in the document — dropped Panel D's own captions.</w:t>
            </w:r>
            <w:r>
              <w:rPr>
                <w:b w:val="0"/>
                <w:i w:val="0"/>
                <w:strike w:val="0"/>
              </w:rPr>
              <w:t xml:space="preserve"> It is the board's own worked question with a </w:t>
            </w:r>
            <w:r>
              <w:rPr>
                <w:b/>
                <w:i w:val="0"/>
                <w:strike w:val="0"/>
              </w:rPr>
              <w:t>positive +$2.92M</w:t>
            </w:r>
            <w:r>
              <w:rPr>
                <w:b w:val="0"/>
                <w:i w:val="0"/>
                <w:strike w:val="0"/>
              </w:rPr>
              <w:t xml:space="preserve"> total, and the caveat sat 81 px below in prose that does not travel with a screenshot. The captions are now </w:t>
            </w:r>
            <w:r>
              <w:rPr>
                <w:b/>
                <w:i w:val="0"/>
                <w:strike w:val="0"/>
              </w:rPr>
              <w:t>in the rows</w:t>
            </w:r>
            <w:r>
              <w:rPr>
                <w:b w:val="0"/>
                <w:i w:val="0"/>
                <w:strike w:val="0"/>
              </w:rPr>
              <w:t xml:space="preserve">: row 2 "an employer compensation effect — </w:t>
            </w:r>
            <w:r>
              <w:rPr>
                <w:b w:val="0"/>
                <w:i/>
                <w:strike w:val="0"/>
              </w:rPr>
              <w:t>not a pension saving</w:t>
            </w:r>
            <w:r>
              <w:rPr>
                <w:b w:val="0"/>
                <w:i w:val="0"/>
                <w:strike w:val="0"/>
              </w:rPr>
              <w:t>," row 3 "</w:t>
            </w:r>
            <w:r>
              <w:rPr>
                <w:b w:val="0"/>
                <w:i/>
                <w:strike w:val="0"/>
              </w:rPr>
              <w:t>the least reliable of the three</w:t>
            </w:r>
            <w:r>
              <w:rPr>
                <w:b w:val="0"/>
                <w:i w:val="0"/>
                <w:strike w:val="0"/>
              </w:rPr>
              <w:t xml:space="preserve">; follows from two hiring assumptions you typed in, not from the bill," plus the verbatim combined-effect warning as a table footnote. The reviewer confirmed the </w:t>
            </w:r>
            <w:r>
              <w:rPr>
                <w:b w:val="0"/>
                <w:i/>
                <w:strike w:val="0"/>
              </w:rPr>
              <w:t>prose</w:t>
            </w:r>
            <w:r>
              <w:rPr>
                <w:b w:val="0"/>
                <w:i w:val="0"/>
                <w:strike w:val="0"/>
              </w:rPr>
              <w:t xml:space="preserve"> explanation lands and holds at every viewport down to 1280×800 and on the same printed page on A4 and Letter; it was the table that did not carry it.</w:t>
            </w:r>
          </w:p>
        </w:tc>
        <w:tc>
          <w:tcPr>
            <w:tcW w:type="dxa" w:w="2160"/>
          </w:tcPr>
          <w:p>
            <w:r>
              <w:rPr>
                <w:b/>
                <w:i w:val="0"/>
                <w:strike w:val="0"/>
              </w:rPr>
              <w:t>Moderate M-02</w:t>
            </w:r>
          </w:p>
        </w:tc>
        <w:tc>
          <w:tcPr>
            <w:tcW w:type="dxa" w:w="2160"/>
          </w:tcPr>
          <w:p>
            <w:r>
              <w:rPr>
                <w:b w:val="0"/>
                <w:i w:val="0"/>
                <w:strike w:val="0"/>
              </w:rPr>
              <w:t>step 5</w:t>
            </w:r>
          </w:p>
        </w:tc>
      </w:tr>
      <w:tr>
        <w:tc>
          <w:tcPr>
            <w:tcW w:type="dxa" w:w="2160"/>
          </w:tcPr>
          <w:p>
            <w:r>
              <w:rPr>
                <w:b w:val="0"/>
                <w:i w:val="0"/>
                <w:strike w:val="0"/>
              </w:rPr>
              <w:t>13</w:t>
            </w:r>
          </w:p>
        </w:tc>
        <w:tc>
          <w:tcPr>
            <w:tcW w:type="dxa" w:w="2160"/>
          </w:tcPr>
          <w:p>
            <w:r>
              <w:rPr>
                <w:b/>
                <w:i w:val="0"/>
                <w:strike w:val="0"/>
              </w:rPr>
              <w:t>Six further corrections of substance.</w:t>
            </w:r>
            <w:r>
              <w:rPr>
                <w:b w:val="0"/>
                <w:i w:val="0"/>
                <w:strike w:val="0"/>
              </w:rPr>
              <w:t xml:space="preserve"> </w:t>
            </w:r>
            <w:r>
              <w:rPr>
                <w:b/>
                <w:i w:val="0"/>
                <w:strike w:val="0"/>
              </w:rPr>
              <w:t>M-04</w:t>
            </w:r>
            <w:r>
              <w:rPr>
                <w:b w:val="0"/>
                <w:i w:val="0"/>
                <w:strike w:val="0"/>
              </w:rPr>
              <w:t xml:space="preserve"> — containment was attributed to the § 51.1-124.3 carve-out alone; it took </w:t>
            </w:r>
            <w:r>
              <w:rPr>
                <w:b/>
                <w:i w:val="0"/>
                <w:strike w:val="0"/>
              </w:rPr>
              <w:t>three</w:t>
            </w:r>
            <w:r>
              <w:rPr>
                <w:b w:val="0"/>
                <w:i w:val="0"/>
                <w:strike w:val="0"/>
              </w:rPr>
              <w:t xml:space="preserve"> amendments, and without the two version 1.4 enabling amendments the credit leaks into PLOP, the death-in-service benefit and deferred retirement. </w:t>
            </w:r>
            <w:r>
              <w:rPr>
                <w:b/>
                <w:i w:val="0"/>
                <w:strike w:val="0"/>
              </w:rPr>
              <w:t>M-05</w:t>
            </w:r>
            <w:r>
              <w:rPr>
                <w:b w:val="0"/>
                <w:i w:val="0"/>
                <w:strike w:val="0"/>
              </w:rPr>
              <w:t xml:space="preserve"> — the hybrid near-universality claim restated the withdrawn "closed and shrinking" position; now "</w:t>
            </w:r>
            <w:r>
              <w:rPr>
                <w:b/>
                <w:i w:val="0"/>
                <w:strike w:val="0"/>
              </w:rPr>
              <w:t>substantially</w:t>
            </w:r>
            <w:r>
              <w:rPr>
                <w:b w:val="0"/>
                <w:i w:val="0"/>
                <w:strike w:val="0"/>
              </w:rPr>
              <w:t xml:space="preserve"> closing, with named exceptions under review," naming the four optional-retirement-plan routes. </w:t>
            </w:r>
            <w:r>
              <w:rPr>
                <w:b/>
                <w:i w:val="0"/>
                <w:strike w:val="0"/>
              </w:rPr>
              <w:t>M-03</w:t>
            </w:r>
            <w:r>
              <w:rPr>
                <w:b w:val="0"/>
                <w:i w:val="0"/>
                <w:strike w:val="0"/>
              </w:rPr>
              <w:t xml:space="preserve"> — the approved-leave position was described as "provisional"; it is a </w:t>
            </w:r>
            <w:r>
              <w:rPr>
                <w:b/>
                <w:i w:val="0"/>
                <w:strike w:val="0"/>
              </w:rPr>
              <w:t>deliberate member-protective choice</w:t>
            </w:r>
            <w:r>
              <w:rPr>
                <w:b w:val="0"/>
                <w:i w:val="0"/>
                <w:strike w:val="0"/>
              </w:rPr>
              <w:t xml:space="preserve">. </w:t>
            </w:r>
            <w:r>
              <w:rPr>
                <w:b/>
                <w:i w:val="0"/>
                <w:strike w:val="0"/>
              </w:rPr>
              <w:t>M-06</w:t>
            </w:r>
            <w:r>
              <w:rPr>
                <w:b w:val="0"/>
                <w:i w:val="0"/>
                <w:strike w:val="0"/>
              </w:rPr>
              <w:t xml:space="preserve"> — step 10 named one of three VRS confirmation items and did not say the four tax questions are </w:t>
            </w:r>
            <w:r>
              <w:rPr>
                <w:b/>
                <w:i w:val="0"/>
                <w:strike w:val="0"/>
              </w:rPr>
              <w:t>unsent</w:t>
            </w:r>
            <w:r>
              <w:rPr>
                <w:b w:val="0"/>
                <w:i w:val="0"/>
                <w:strike w:val="0"/>
              </w:rPr>
              <w:t xml:space="preserve">. </w:t>
            </w:r>
            <w:r>
              <w:rPr>
                <w:b/>
                <w:i w:val="0"/>
                <w:strike w:val="0"/>
              </w:rPr>
              <w:t>M-08</w:t>
            </w:r>
            <w:r>
              <w:rPr>
                <w:b w:val="0"/>
                <w:i w:val="0"/>
                <w:strike w:val="0"/>
              </w:rPr>
              <w:t xml:space="preserve"> — step 8 named </w:t>
            </w:r>
            <w:r>
              <w:rPr>
                <w:b/>
                <w:i w:val="0"/>
                <w:strike w:val="0"/>
              </w:rPr>
              <w:t>mortality improvement</w:t>
            </w:r>
            <w:r>
              <w:rPr>
                <w:b w:val="0"/>
                <w:i w:val="0"/>
                <w:strike w:val="0"/>
              </w:rPr>
              <w:t xml:space="preserve"> as a lever this panel tests; the tornado has eight bars and mortality is not among them (the fiscal model tests it separately at 0.00% and 1.25%, ±0.01 bp). Corrected in the walk-through </w:t>
            </w:r>
            <w:r>
              <w:rPr>
                <w:b/>
                <w:i w:val="0"/>
                <w:strike w:val="0"/>
              </w:rPr>
              <w:t>and</w:t>
            </w:r>
            <w:r>
              <w:rPr>
                <w:b w:val="0"/>
                <w:i w:val="0"/>
                <w:strike w:val="0"/>
              </w:rPr>
              <w:t xml:space="preserve"> in the Panel F note it was inherited from. </w:t>
            </w:r>
            <w:r>
              <w:rPr>
                <w:b/>
                <w:i w:val="0"/>
                <w:strike w:val="0"/>
              </w:rPr>
              <w:t>M-07</w:t>
            </w:r>
            <w:r>
              <w:rPr>
                <w:b w:val="0"/>
                <w:i w:val="0"/>
                <w:strike w:val="0"/>
              </w:rPr>
              <w:t xml:space="preserve"> — the walk-through said both exports carry the attribution line; the handout did and the </w:t>
            </w:r>
            <w:r>
              <w:rPr>
                <w:b/>
                <w:i w:val="0"/>
                <w:strike w:val="0"/>
              </w:rPr>
              <w:t>CSV did not</w:t>
            </w:r>
            <w:r>
              <w:rPr>
                <w:b w:val="0"/>
                <w:i w:val="0"/>
                <w:strike w:val="0"/>
              </w:rPr>
              <w:t xml:space="preserve">. Rather than narrow the sentence, the CSV now carries it, from a single </w:t>
            </w:r>
            <w:r>
              <w:rPr>
                <w:rFonts w:ascii="Consolas" w:hAnsi="Consolas"/>
                <w:b w:val="0"/>
                <w:i w:val="0"/>
                <w:strike w:val="0"/>
                <w:color w:val="303030"/>
                <w:sz w:val="19"/>
              </w:rPr>
              <w:t>ATTRIBUTION</w:t>
            </w:r>
            <w:r>
              <w:rPr>
                <w:b w:val="0"/>
                <w:i w:val="0"/>
                <w:strike w:val="0"/>
              </w:rPr>
              <w:t xml:space="preserve"> constant shared with the handout, asserted by the harness.</w:t>
            </w:r>
          </w:p>
        </w:tc>
        <w:tc>
          <w:tcPr>
            <w:tcW w:type="dxa" w:w="2160"/>
          </w:tcPr>
          <w:p>
            <w:r>
              <w:rPr>
                <w:b/>
                <w:i w:val="0"/>
                <w:strike w:val="0"/>
              </w:rPr>
              <w:t>M-03 … M-08</w:t>
            </w:r>
          </w:p>
        </w:tc>
        <w:tc>
          <w:tcPr>
            <w:tcW w:type="dxa" w:w="2160"/>
          </w:tcPr>
          <w:p>
            <w:r>
              <w:rPr>
                <w:b w:val="0"/>
                <w:i w:val="0"/>
                <w:strike w:val="0"/>
              </w:rPr>
              <w:t xml:space="preserve">steps 2, 8, 9, 10; </w:t>
            </w:r>
            <w:r>
              <w:rPr>
                <w:rFonts w:ascii="Consolas" w:hAnsi="Consolas"/>
                <w:b w:val="0"/>
                <w:i w:val="0"/>
                <w:strike w:val="0"/>
                <w:color w:val="303030"/>
                <w:sz w:val="19"/>
              </w:rPr>
              <w:t>js/ui.js</w:t>
            </w:r>
          </w:p>
        </w:tc>
      </w:tr>
      <w:tr>
        <w:tc>
          <w:tcPr>
            <w:tcW w:type="dxa" w:w="2160"/>
          </w:tcPr>
          <w:p>
            <w:r>
              <w:rPr>
                <w:b w:val="0"/>
                <w:i w:val="0"/>
                <w:strike w:val="0"/>
              </w:rPr>
              <w:t>14</w:t>
            </w:r>
          </w:p>
        </w:tc>
        <w:tc>
          <w:tcPr>
            <w:tcW w:type="dxa" w:w="2160"/>
          </w:tcPr>
          <w:p>
            <w:r>
              <w:rPr>
                <w:b/>
                <w:i w:val="0"/>
                <w:strike w:val="0"/>
              </w:rPr>
              <w:t>Five minor findings closed, and one corrected.</w:t>
            </w:r>
            <w:r>
              <w:rPr>
                <w:b w:val="0"/>
                <w:i w:val="0"/>
                <w:strike w:val="0"/>
              </w:rPr>
              <w:t xml:space="preserve"> </w:t>
            </w:r>
            <w:r>
              <w:rPr>
                <w:b/>
                <w:i w:val="0"/>
                <w:strike w:val="0"/>
              </w:rPr>
              <w:t>m-02</w:t>
            </w:r>
            <w:r>
              <w:rPr>
                <w:b w:val="0"/>
                <w:i w:val="0"/>
                <w:strike w:val="0"/>
              </w:rPr>
              <w:t xml:space="preserve"> — the scenario chip read "Low Participation (low-cost case) </w:t>
            </w:r>
            <w:r>
              <w:rPr>
                <w:b/>
                <w:i w:val="0"/>
                <w:strike w:val="0"/>
              </w:rPr>
              <w:t>case</w:t>
            </w:r>
            <w:r>
              <w:rPr>
                <w:b w:val="0"/>
                <w:i w:val="0"/>
                <w:strike w:val="0"/>
              </w:rPr>
              <w:t xml:space="preserve">." </w:t>
            </w:r>
            <w:r>
              <w:rPr>
                <w:b/>
                <w:i w:val="0"/>
                <w:strike w:val="0"/>
              </w:rPr>
              <w:t>m-04</w:t>
            </w:r>
            <w:r>
              <w:rPr>
                <w:b w:val="0"/>
                <w:i w:val="0"/>
                <w:strike w:val="0"/>
              </w:rPr>
              <w:t xml:space="preserve"> — the embedded dashboard's dead cross-links were explained only by a </w:t>
            </w:r>
            <w:r>
              <w:rPr>
                <w:rFonts w:ascii="Consolas" w:hAnsi="Consolas"/>
                <w:b w:val="0"/>
                <w:i w:val="0"/>
                <w:strike w:val="0"/>
                <w:color w:val="303030"/>
                <w:sz w:val="19"/>
              </w:rPr>
              <w:t>title</w:t>
            </w:r>
            <w:r>
              <w:rPr>
                <w:b w:val="0"/>
                <w:i w:val="0"/>
                <w:strike w:val="0"/>
              </w:rPr>
              <w:t xml:space="preserve"> tooltip that never appears on touch; a </w:t>
            </w:r>
            <w:r>
              <w:rPr>
                <w:b/>
                <w:i w:val="0"/>
                <w:strike w:val="0"/>
              </w:rPr>
              <w:t>visible</w:t>
            </w:r>
            <w:r>
              <w:rPr>
                <w:b w:val="0"/>
                <w:i w:val="0"/>
                <w:strike w:val="0"/>
              </w:rPr>
              <w:t xml:space="preserve"> note now says to use the Back button, since a </w:t>
            </w:r>
            <w:r>
              <w:rPr>
                <w:rFonts w:ascii="Consolas" w:hAnsi="Consolas"/>
                <w:b w:val="0"/>
                <w:i w:val="0"/>
                <w:strike w:val="0"/>
                <w:color w:val="303030"/>
                <w:sz w:val="19"/>
              </w:rPr>
              <w:t>blob:</w:t>
            </w:r>
            <w:r>
              <w:rPr>
                <w:b w:val="0"/>
                <w:i w:val="0"/>
                <w:strike w:val="0"/>
              </w:rPr>
              <w:t xml:space="preserve"> URL cannot be bookmarked. </w:t>
            </w:r>
            <w:r>
              <w:rPr>
                <w:b/>
                <w:i w:val="0"/>
                <w:strike w:val="0"/>
              </w:rPr>
              <w:t>m-05</w:t>
            </w:r>
            <w:r>
              <w:rPr>
                <w:b w:val="0"/>
                <w:i w:val="0"/>
                <w:strike w:val="0"/>
              </w:rPr>
              <w:t xml:space="preserve"> — the HIC estimate omitted that political-subdivision participation is employer-elective, so that cohort is an </w:t>
            </w:r>
            <w:r>
              <w:rPr>
                <w:b/>
                <w:i w:val="0"/>
                <w:strike w:val="0"/>
              </w:rPr>
              <w:t>upper bound</w:t>
            </w:r>
            <w:r>
              <w:rPr>
                <w:b w:val="0"/>
                <w:i w:val="0"/>
                <w:strike w:val="0"/>
              </w:rPr>
              <w:t xml:space="preserve">. </w:t>
            </w:r>
            <w:r>
              <w:rPr>
                <w:b/>
                <w:i w:val="0"/>
                <w:strike w:val="0"/>
              </w:rPr>
              <w:t>m-06</w:t>
            </w:r>
            <w:r>
              <w:rPr>
                <w:b w:val="0"/>
                <w:i w:val="0"/>
                <w:strike w:val="0"/>
              </w:rPr>
              <w:t xml:space="preserve"> — the Hybrid Variant omitted that contributions forgone use </w:t>
            </w:r>
            <w:r>
              <w:rPr>
                <w:b/>
                <w:i w:val="0"/>
                <w:strike w:val="0"/>
              </w:rPr>
              <w:t>Plan 1 rates</w:t>
            </w:r>
            <w:r>
              <w:rPr>
                <w:b w:val="0"/>
                <w:i w:val="0"/>
                <w:strike w:val="0"/>
              </w:rPr>
              <w:t xml:space="preserve">. </w:t>
            </w:r>
            <w:r>
              <w:rPr>
                <w:b/>
                <w:i w:val="0"/>
                <w:strike w:val="0"/>
              </w:rPr>
              <w:t>m-07</w:t>
            </w:r>
            <w:r>
              <w:rPr>
                <w:b w:val="0"/>
                <w:i w:val="0"/>
                <w:strike w:val="0"/>
              </w:rPr>
              <w:t xml:space="preserve"> — the 6.0% veteran anchor is now dated both ways: </w:t>
            </w:r>
            <w:r>
              <w:rPr>
                <w:b/>
                <w:i w:val="0"/>
                <w:strike w:val="0"/>
              </w:rPr>
              <w:t>as of June 30, 2024</w:t>
            </w:r>
            <w:r>
              <w:rPr>
                <w:b w:val="0"/>
                <w:i w:val="0"/>
                <w:strike w:val="0"/>
              </w:rPr>
              <w:t xml:space="preserve">, presented January 21, 2025. </w:t>
            </w:r>
            <w:r>
              <w:rPr>
                <w:b/>
                <w:i w:val="0"/>
                <w:strike w:val="0"/>
              </w:rPr>
              <w:t>m-08</w:t>
            </w:r>
            <w:r>
              <w:rPr>
                <w:b w:val="0"/>
                <w:i w:val="0"/>
                <w:strike w:val="0"/>
              </w:rPr>
              <w:t xml:space="preserve"> — the one piece of hand arithmetic did not reconcile: 11.0722% is the </w:t>
            </w:r>
            <w:r>
              <w:rPr>
                <w:b/>
                <w:i w:val="0"/>
                <w:strike w:val="0"/>
              </w:rPr>
              <w:t>0.22 bp state-plan</w:t>
            </w:r>
            <w:r>
              <w:rPr>
                <w:b w:val="0"/>
                <w:i w:val="0"/>
                <w:strike w:val="0"/>
              </w:rPr>
              <w:t xml:space="preserve"> figure, not the 0.19 bp combined figure it illustrated. Re-derived from the engine: the state plan returns </w:t>
            </w:r>
            <w:r>
              <w:rPr>
                <w:b/>
                <w:i w:val="0"/>
                <w:strike w:val="0"/>
              </w:rPr>
              <w:t>0.2245 bp</w:t>
            </w:r>
            <w:r>
              <w:rPr>
                <w:b w:val="0"/>
                <w:i w:val="0"/>
                <w:strike w:val="0"/>
              </w:rPr>
              <w:t xml:space="preserve"> and </w:t>
            </w:r>
            <w:r>
              <w:rPr>
                <w:rFonts w:ascii="Consolas" w:hAnsi="Consolas"/>
                <w:b w:val="0"/>
                <w:i w:val="0"/>
                <w:strike w:val="0"/>
                <w:color w:val="303030"/>
                <w:sz w:val="19"/>
              </w:rPr>
              <w:t>erDbRateWithImpact</w:t>
            </w:r>
            <w:r>
              <w:rPr>
                <w:b w:val="0"/>
                <w:i w:val="0"/>
                <w:strike w:val="0"/>
              </w:rPr>
              <w:t xml:space="preserve"> </w:t>
            </w:r>
            <w:r>
              <w:rPr>
                <w:b/>
                <w:i w:val="0"/>
                <w:strike w:val="0"/>
              </w:rPr>
              <w:t>11.0722%</w:t>
            </w:r>
            <w:r>
              <w:rPr>
                <w:b w:val="0"/>
                <w:i w:val="0"/>
                <w:strike w:val="0"/>
              </w:rPr>
              <w:t xml:space="preserve"> exactly, so the figures are now used consistently and the per-plan difference is shown rather than hidden.</w:t>
            </w:r>
          </w:p>
        </w:tc>
        <w:tc>
          <w:tcPr>
            <w:tcW w:type="dxa" w:w="2160"/>
          </w:tcPr>
          <w:p>
            <w:r>
              <w:rPr>
                <w:b/>
                <w:i w:val="0"/>
                <w:strike w:val="0"/>
              </w:rPr>
              <w:t>m-02 … m-08</w:t>
            </w:r>
          </w:p>
        </w:tc>
        <w:tc>
          <w:tcPr>
            <w:tcW w:type="dxa" w:w="2160"/>
          </w:tcPr>
          <w:p>
            <w:r>
              <w:rPr>
                <w:rFonts w:ascii="Consolas" w:hAnsi="Consolas"/>
                <w:b w:val="0"/>
                <w:i w:val="0"/>
                <w:strike w:val="0"/>
                <w:color w:val="303030"/>
                <w:sz w:val="19"/>
              </w:rPr>
              <w:t>js/walkthrough.js</w:t>
            </w:r>
            <w:r>
              <w:rPr>
                <w:b w:val="0"/>
                <w:i w:val="0"/>
                <w:strike w:val="0"/>
              </w:rPr>
              <w:t xml:space="preserve">, </w:t>
            </w:r>
            <w:r>
              <w:rPr>
                <w:rFonts w:ascii="Consolas" w:hAnsi="Consolas"/>
                <w:b w:val="0"/>
                <w:i w:val="0"/>
                <w:strike w:val="0"/>
                <w:color w:val="303030"/>
                <w:sz w:val="19"/>
              </w:rPr>
              <w:t>js/ui.js</w:t>
            </w:r>
            <w:r>
              <w:rPr>
                <w:b w:val="0"/>
                <w:i w:val="0"/>
                <w:strike w:val="0"/>
              </w:rPr>
              <w:t xml:space="preserve">, </w:t>
            </w:r>
            <w:r>
              <w:rPr>
                <w:rFonts w:ascii="Consolas" w:hAnsi="Consolas"/>
                <w:b w:val="0"/>
                <w:i w:val="0"/>
                <w:strike w:val="0"/>
                <w:color w:val="303030"/>
                <w:sz w:val="19"/>
              </w:rPr>
              <w:t>build_standalone.py</w:t>
            </w:r>
          </w:p>
        </w:tc>
      </w:tr>
      <w:tr>
        <w:tc>
          <w:tcPr>
            <w:tcW w:type="dxa" w:w="2160"/>
          </w:tcPr>
          <w:p>
            <w:r>
              <w:rPr>
                <w:b w:val="0"/>
                <w:i w:val="0"/>
                <w:strike w:val="0"/>
              </w:rPr>
              <w:t>15</w:t>
            </w:r>
          </w:p>
        </w:tc>
        <w:tc>
          <w:tcPr>
            <w:tcW w:type="dxa" w:w="2160"/>
          </w:tcPr>
          <w:p>
            <w:r>
              <w:rPr>
                <w:b/>
                <w:i w:val="0"/>
                <w:strike w:val="0"/>
              </w:rPr>
              <w:t>m-01 is recorded as not accepted, with the reason.</w:t>
            </w:r>
            <w:r>
              <w:rPr>
                <w:b w:val="0"/>
                <w:i w:val="0"/>
                <w:strike w:val="0"/>
              </w:rPr>
              <w:t xml:space="preserve"> The review called the </w:t>
            </w:r>
            <w:r>
              <w:rPr>
                <w:rFonts w:ascii="Consolas" w:hAnsi="Consolas"/>
                <w:b w:val="0"/>
                <w:i w:val="0"/>
                <w:strike w:val="0"/>
                <w:color w:val="303030"/>
                <w:sz w:val="19"/>
              </w:rPr>
              <w:t>preset</w:t>
            </w:r>
            <w:r>
              <w:rPr>
                <w:b w:val="0"/>
                <w:i w:val="0"/>
                <w:strike w:val="0"/>
              </w:rPr>
              <w:t xml:space="preserve"> field dead, because </w:t>
            </w:r>
            <w:r>
              <w:rPr>
                <w:rFonts w:ascii="Consolas" w:hAnsi="Consolas"/>
                <w:b w:val="0"/>
                <w:i w:val="0"/>
                <w:strike w:val="0"/>
                <w:color w:val="303030"/>
                <w:sz w:val="19"/>
              </w:rPr>
              <w:t>wtApply()</w:t>
            </w:r>
            <w:r>
              <w:rPr>
                <w:b w:val="0"/>
                <w:i w:val="0"/>
                <w:strike w:val="0"/>
              </w:rPr>
              <w:t xml:space="preserve"> reads only </w:t>
            </w:r>
            <w:r>
              <w:rPr>
                <w:rFonts w:ascii="Consolas" w:hAnsi="Consolas"/>
                <w:b w:val="0"/>
                <w:i w:val="0"/>
                <w:strike w:val="0"/>
                <w:color w:val="303030"/>
                <w:sz w:val="19"/>
              </w:rPr>
              <w:t>params</w:t>
            </w:r>
            <w:r>
              <w:rPr>
                <w:b w:val="0"/>
                <w:i w:val="0"/>
                <w:strike w:val="0"/>
              </w:rPr>
              <w:t xml:space="preserve">. It is dead </w:t>
            </w:r>
            <w:r>
              <w:rPr>
                <w:b w:val="0"/>
                <w:i/>
                <w:strike w:val="0"/>
              </w:rPr>
              <w:t>at runtime</w:t>
            </w:r>
            <w:r>
              <w:rPr>
                <w:b w:val="0"/>
                <w:i w:val="0"/>
                <w:strike w:val="0"/>
              </w:rPr>
              <w:t xml:space="preserve"> and that is deliberate — but it is </w:t>
            </w:r>
            <w:r>
              <w:rPr>
                <w:b/>
                <w:i w:val="0"/>
                <w:strike w:val="0"/>
              </w:rPr>
              <w:t>not unenforced</w:t>
            </w:r>
            <w:r>
              <w:rPr>
                <w:b w:val="0"/>
                <w:i w:val="0"/>
                <w:strike w:val="0"/>
              </w:rPr>
              <w:t xml:space="preserve">: harness group 19 already asserts that a step naming a preset carries exactly that preset's parameters, so changing </w:t>
            </w:r>
            <w:r>
              <w:rPr>
                <w:rFonts w:ascii="Consolas" w:hAnsi="Consolas"/>
                <w:b w:val="0"/>
                <w:i w:val="0"/>
                <w:strike w:val="0"/>
                <w:color w:val="303030"/>
                <w:sz w:val="19"/>
              </w:rPr>
              <w:t>preset</w:t>
            </w:r>
            <w:r>
              <w:rPr>
                <w:b w:val="0"/>
                <w:i w:val="0"/>
                <w:strike w:val="0"/>
              </w:rPr>
              <w:t xml:space="preserve"> alone fails a test rather than silently doing nothing. Documented in the module header as declarative rather than deleted, which keeps the enforcement.</w:t>
            </w:r>
          </w:p>
        </w:tc>
        <w:tc>
          <w:tcPr>
            <w:tcW w:type="dxa" w:w="2160"/>
          </w:tcPr>
          <w:p>
            <w:r>
              <w:rPr>
                <w:b/>
                <w:i w:val="0"/>
                <w:strike w:val="0"/>
              </w:rPr>
              <w:t>m-01</w:t>
            </w:r>
          </w:p>
        </w:tc>
        <w:tc>
          <w:tcPr>
            <w:tcW w:type="dxa" w:w="2160"/>
          </w:tcPr>
          <w:p>
            <w:r>
              <w:rPr>
                <w:rFonts w:ascii="Consolas" w:hAnsi="Consolas"/>
                <w:b w:val="0"/>
                <w:i w:val="0"/>
                <w:strike w:val="0"/>
                <w:color w:val="303030"/>
                <w:sz w:val="19"/>
              </w:rPr>
              <w:t>js/walkthrough.js</w:t>
            </w:r>
            <w:r>
              <w:rPr>
                <w:b w:val="0"/>
                <w:i w:val="0"/>
                <w:strike w:val="0"/>
              </w:rPr>
              <w:t xml:space="preserve"> header</w:t>
            </w:r>
          </w:p>
        </w:tc>
      </w:tr>
      <w:tr>
        <w:tc>
          <w:tcPr>
            <w:tcW w:type="dxa" w:w="2160"/>
          </w:tcPr>
          <w:p>
            <w:r>
              <w:rPr>
                <w:b w:val="0"/>
                <w:i w:val="0"/>
                <w:strike w:val="0"/>
              </w:rPr>
              <w:t>16</w:t>
            </w:r>
          </w:p>
        </w:tc>
        <w:tc>
          <w:tcPr>
            <w:tcW w:type="dxa" w:w="2160"/>
          </w:tcPr>
          <w:p>
            <w:r>
              <w:rPr>
                <w:b/>
                <w:i w:val="0"/>
                <w:strike w:val="0"/>
              </w:rPr>
              <w:t>Two defects found while remediating, neither in the review.</w:t>
            </w:r>
            <w:r>
              <w:rPr>
                <w:b w:val="0"/>
                <w:i w:val="0"/>
                <w:strike w:val="0"/>
              </w:rPr>
              <w:t xml:space="preserve"> The </w:t>
            </w:r>
            <w:r>
              <w:rPr>
                <w:b/>
                <w:i w:val="0"/>
                <w:strike w:val="0"/>
              </w:rPr>
              <w:t>§ 51.1-142.2 B 3 pinpoint survived in three live places</w:t>
            </w:r>
            <w:r>
              <w:rPr>
                <w:b w:val="0"/>
                <w:i w:val="0"/>
                <w:strike w:val="0"/>
              </w:rPr>
              <w:t xml:space="preserve"> after being corrected in the narration — </w:t>
            </w:r>
            <w:r>
              <w:rPr>
                <w:rFonts w:ascii="Consolas" w:hAnsi="Consolas"/>
                <w:b w:val="0"/>
                <w:i w:val="0"/>
                <w:strike w:val="0"/>
                <w:color w:val="303030"/>
                <w:sz w:val="19"/>
              </w:rPr>
              <w:t>js/engine.js</w:t>
            </w:r>
            <w:r>
              <w:rPr>
                <w:b w:val="0"/>
                <w:i w:val="0"/>
                <w:strike w:val="0"/>
              </w:rPr>
              <w:t xml:space="preserve"> (a </w:t>
            </w:r>
            <w:r>
              <w:rPr>
                <w:b/>
                <w:i w:val="0"/>
                <w:strike w:val="0"/>
              </w:rPr>
              <w:t>Panel G funnel step label</w:t>
            </w:r>
            <w:r>
              <w:rPr>
                <w:b w:val="0"/>
                <w:i w:val="0"/>
                <w:strike w:val="0"/>
              </w:rPr>
              <w:t xml:space="preserve">, which a VRS reviewer reads directly), </w:t>
            </w:r>
            <w:r>
              <w:rPr>
                <w:rFonts w:ascii="Consolas" w:hAnsi="Consolas"/>
                <w:b w:val="0"/>
                <w:i w:val="0"/>
                <w:strike w:val="0"/>
                <w:color w:val="303030"/>
                <w:sz w:val="19"/>
              </w:rPr>
              <w:t>js/registry.js</w:t>
            </w:r>
            <w:r>
              <w:rPr>
                <w:b w:val="0"/>
                <w:i w:val="0"/>
                <w:strike w:val="0"/>
              </w:rPr>
              <w:t xml:space="preserve">, and the methodology page — plus the ASM-18 note in the generated </w:t>
            </w:r>
            <w:r>
              <w:rPr>
                <w:rFonts w:ascii="Consolas" w:hAnsi="Consolas"/>
                <w:b w:val="0"/>
                <w:i w:val="0"/>
                <w:strike w:val="0"/>
                <w:color w:val="303030"/>
                <w:sz w:val="19"/>
              </w:rPr>
              <w:t>data/baseline.js</w:t>
            </w:r>
            <w:r>
              <w:rPr>
                <w:b w:val="0"/>
                <w:i w:val="0"/>
                <w:strike w:val="0"/>
              </w:rPr>
              <w:t xml:space="preserve">. Fixed at source in </w:t>
            </w:r>
            <w:r>
              <w:rPr>
                <w:rFonts w:ascii="Consolas" w:hAnsi="Consolas"/>
                <w:b w:val="0"/>
                <w:i w:val="0"/>
                <w:strike w:val="0"/>
                <w:color w:val="303030"/>
                <w:sz w:val="19"/>
              </w:rPr>
              <w:t>fiscal-model/inputs.py</w:t>
            </w:r>
            <w:r>
              <w:rPr>
                <w:b w:val="0"/>
                <w:i w:val="0"/>
                <w:strike w:val="0"/>
              </w:rPr>
              <w:t xml:space="preserve"> and regenerated, so the generated file was not hand-edited; </w:t>
            </w:r>
            <w:r>
              <w:rPr>
                <w:rFonts w:ascii="Consolas" w:hAnsi="Consolas"/>
                <w:b w:val="0"/>
                <w:i w:val="0"/>
                <w:strike w:val="0"/>
                <w:color w:val="303030"/>
                <w:sz w:val="19"/>
              </w:rPr>
              <w:t>cells.js</w:t>
            </w:r>
            <w:r>
              <w:rPr>
                <w:b w:val="0"/>
                <w:i w:val="0"/>
                <w:strike w:val="0"/>
              </w:rPr>
              <w:t xml:space="preserve"> came back byte-identical. Group 20 now applies the withdrawn-phrase rule to the </w:t>
            </w:r>
            <w:r>
              <w:rPr>
                <w:b/>
                <w:i w:val="0"/>
                <w:strike w:val="0"/>
              </w:rPr>
              <w:t>rendered dashboard</w:t>
            </w:r>
            <w:r>
              <w:rPr>
                <w:b w:val="0"/>
                <w:i w:val="0"/>
                <w:strike w:val="0"/>
              </w:rPr>
              <w:t xml:space="preserve"> as well as the prose. Separately, </w:t>
            </w:r>
            <w:r>
              <w:rPr>
                <w:b/>
                <w:i w:val="0"/>
                <w:strike w:val="0"/>
              </w:rPr>
              <w:t>two different documents were both numbered `13`</w:t>
            </w:r>
            <w:r>
              <w:rPr>
                <w:b w:val="0"/>
                <w:i w:val="0"/>
                <w:strike w:val="0"/>
              </w:rPr>
              <w:t xml:space="preserve"> — the walk-through review was renamed to </w:t>
            </w:r>
            <w:r>
              <w:rPr>
                <w:b/>
                <w:i w:val="0"/>
                <w:strike w:val="0"/>
              </w:rPr>
              <w:t>`14-counsel-review-walkthrough`</w:t>
            </w:r>
            <w:r>
              <w:rPr>
                <w:b w:val="0"/>
                <w:i w:val="0"/>
                <w:strike w:val="0"/>
              </w:rPr>
              <w:t>, a collision created by the review mandate itself.</w:t>
            </w:r>
          </w:p>
        </w:tc>
        <w:tc>
          <w:tcPr>
            <w:tcW w:type="dxa" w:w="2160"/>
          </w:tcPr>
          <w:p>
            <w:r>
              <w:rPr>
                <w:b w:val="0"/>
                <w:i w:val="0"/>
                <w:strike w:val="0"/>
              </w:rPr>
              <w:t>New</w:t>
            </w:r>
          </w:p>
        </w:tc>
        <w:tc>
          <w:tcPr>
            <w:tcW w:type="dxa" w:w="2160"/>
          </w:tcPr>
          <w:p>
            <w:r>
              <w:rPr>
                <w:rFonts w:ascii="Consolas" w:hAnsi="Consolas"/>
                <w:b w:val="0"/>
                <w:i w:val="0"/>
                <w:strike w:val="0"/>
                <w:color w:val="303030"/>
                <w:sz w:val="19"/>
              </w:rPr>
              <w:t>js/engine.js</w:t>
            </w:r>
            <w:r>
              <w:rPr>
                <w:b w:val="0"/>
                <w:i w:val="0"/>
                <w:strike w:val="0"/>
              </w:rPr>
              <w:t xml:space="preserve">, </w:t>
            </w:r>
            <w:r>
              <w:rPr>
                <w:rFonts w:ascii="Consolas" w:hAnsi="Consolas"/>
                <w:b w:val="0"/>
                <w:i w:val="0"/>
                <w:strike w:val="0"/>
                <w:color w:val="303030"/>
                <w:sz w:val="19"/>
              </w:rPr>
              <w:t>js/registry.js</w:t>
            </w:r>
            <w:r>
              <w:rPr>
                <w:b w:val="0"/>
                <w:i w:val="0"/>
                <w:strike w:val="0"/>
              </w:rPr>
              <w:t xml:space="preserve">, </w:t>
            </w:r>
            <w:r>
              <w:rPr>
                <w:rFonts w:ascii="Consolas" w:hAnsi="Consolas"/>
                <w:b w:val="0"/>
                <w:i w:val="0"/>
                <w:strike w:val="0"/>
                <w:color w:val="303030"/>
                <w:sz w:val="19"/>
              </w:rPr>
              <w:t>fiscal-model/inputs.py</w:t>
            </w:r>
            <w:r>
              <w:rPr>
                <w:b w:val="0"/>
                <w:i w:val="0"/>
                <w:strike w:val="0"/>
              </w:rPr>
              <w:t>, document rename</w:t>
            </w:r>
          </w:p>
        </w:tc>
      </w:tr>
    </w:tbl>
    <w:p/>
    <w:p>
      <w:r>
        <w:rPr>
          <w:b/>
          <w:i w:val="0"/>
          <w:strike w:val="0"/>
        </w:rPr>
        <w:t>Verification.</w:t>
      </w:r>
      <w:r>
        <w:rPr>
          <w:b w:val="0"/>
          <w:i w:val="0"/>
          <w:strike w:val="0"/>
        </w:rPr>
        <w:t xml:space="preserve"> </w:t>
      </w:r>
      <w:r>
        <w:rPr>
          <w:rFonts w:ascii="Consolas" w:hAnsi="Consolas"/>
          <w:b w:val="0"/>
          <w:i w:val="0"/>
          <w:strike w:val="0"/>
          <w:color w:val="303030"/>
          <w:sz w:val="19"/>
        </w:rPr>
        <w:t>node test/reconcile.js</w:t>
      </w:r>
      <w:r>
        <w:rPr>
          <w:b w:val="0"/>
          <w:i w:val="0"/>
          <w:strike w:val="0"/>
        </w:rPr>
        <w:t xml:space="preserve"> </w:t>
      </w:r>
      <w:r>
        <w:rPr>
          <w:b/>
          <w:i w:val="0"/>
          <w:strike w:val="0"/>
        </w:rPr>
        <w:t>156 passed</w:t>
      </w:r>
      <w:r>
        <w:rPr>
          <w:b w:val="0"/>
          <w:i w:val="0"/>
          <w:strike w:val="0"/>
        </w:rPr>
        <w:t xml:space="preserve">; </w:t>
      </w:r>
      <w:r>
        <w:rPr>
          <w:rFonts w:ascii="Consolas" w:hAnsi="Consolas"/>
          <w:b w:val="0"/>
          <w:i w:val="0"/>
          <w:strike w:val="0"/>
          <w:color w:val="303030"/>
          <w:sz w:val="19"/>
        </w:rPr>
        <w:t>node test/standalone.js</w:t>
      </w:r>
      <w:r>
        <w:rPr>
          <w:b w:val="0"/>
          <w:i w:val="0"/>
          <w:strike w:val="0"/>
        </w:rPr>
        <w:t xml:space="preserve"> </w:t>
      </w:r>
      <w:r>
        <w:rPr>
          <w:b/>
          <w:i w:val="0"/>
          <w:strike w:val="0"/>
        </w:rPr>
        <w:t>2,086 passed in 21 groups</w:t>
      </w:r>
      <w:r>
        <w:rPr>
          <w:b w:val="0"/>
          <w:i w:val="0"/>
          <w:strike w:val="0"/>
        </w:rPr>
        <w:t xml:space="preserve">; </w:t>
      </w:r>
      <w:r>
        <w:rPr>
          <w:rFonts w:ascii="Consolas" w:hAnsi="Consolas"/>
          <w:b w:val="0"/>
          <w:i w:val="0"/>
          <w:strike w:val="0"/>
          <w:color w:val="303030"/>
          <w:sz w:val="19"/>
        </w:rPr>
        <w:t>node test/print-check.js</w:t>
      </w:r>
      <w:r>
        <w:rPr>
          <w:b w:val="0"/>
          <w:i w:val="0"/>
          <w:strike w:val="0"/>
        </w:rPr>
        <w:t xml:space="preserve"> </w:t>
      </w:r>
      <w:r>
        <w:rPr>
          <w:b/>
          <w:i w:val="0"/>
          <w:strike w:val="0"/>
        </w:rPr>
        <w:t>42 passed</w:t>
      </w:r>
      <w:r>
        <w:rPr>
          <w:b w:val="0"/>
          <w:i w:val="0"/>
          <w:strike w:val="0"/>
        </w:rPr>
        <w:t xml:space="preserve"> — </w:t>
      </w:r>
      <w:r>
        <w:rPr>
          <w:b/>
          <w:i w:val="0"/>
          <w:strike w:val="0"/>
        </w:rPr>
        <w:t>2,284 assertions, zero failures</w:t>
      </w:r>
      <w:r>
        <w:rPr>
          <w:b w:val="0"/>
          <w:i w:val="0"/>
          <w:strike w:val="0"/>
        </w:rPr>
        <w:t xml:space="preserve">, with no uncaught page exception anywhere in the sweep. Both standalone builds were opened </w:t>
      </w:r>
      <w:r>
        <w:rPr>
          <w:b/>
          <w:i w:val="0"/>
          <w:strike w:val="0"/>
        </w:rPr>
        <w:t>alone in an empty directory</w:t>
      </w:r>
      <w:r>
        <w:rPr>
          <w:b w:val="0"/>
          <w:i w:val="0"/>
          <w:strike w:val="0"/>
        </w:rPr>
        <w:t xml:space="preserve">: 12 sections, 6 cross-links, no console errors, and </w:t>
      </w:r>
      <w:r>
        <w:rPr>
          <w:b/>
          <w:i w:val="0"/>
          <w:strike w:val="0"/>
        </w:rPr>
        <w:t>Open the dashboard</w:t>
      </w:r>
      <w:r>
        <w:rPr>
          <w:b w:val="0"/>
          <w:i w:val="0"/>
          <w:strike w:val="0"/>
        </w:rPr>
        <w:t xml:space="preserve"> resolves to a working dashboard with Panel D present. Every figure introduced by this remediation was re-derived from the committed engine and the committed fiscal-model tables by </w:t>
      </w:r>
      <w:r>
        <w:rPr>
          <w:rFonts w:ascii="Consolas" w:hAnsi="Consolas"/>
          <w:b w:val="0"/>
          <w:i w:val="0"/>
          <w:strike w:val="0"/>
          <w:color w:val="303030"/>
          <w:sz w:val="19"/>
        </w:rPr>
        <w:t>test/probe-moo271.js</w:t>
      </w:r>
      <w:r>
        <w:rPr>
          <w:b w:val="0"/>
          <w:i w:val="0"/>
          <w:strike w:val="0"/>
        </w:rPr>
        <w:t xml:space="preserve"> rather than taken from the review on trust.</w:t>
      </w:r>
    </w:p>
    <w:p>
      <w:r>
        <w:rPr>
          <w:b/>
          <w:i w:val="0"/>
          <w:strike w:val="0"/>
        </w:rPr>
        <w:t>What this pass did not change, and what is still open.</w:t>
      </w:r>
      <w:r>
        <w:rPr>
          <w:b w:val="0"/>
          <w:i w:val="0"/>
          <w:strike w:val="0"/>
        </w:rPr>
        <w:t xml:space="preserve"> No operative bill provision, no settled policy decision and no certified fiscal figure. The pre-introduction items are unchanged and none is closable here: the </w:t>
      </w:r>
      <w:r>
        <w:rPr>
          <w:b/>
          <w:i w:val="0"/>
          <w:strike w:val="0"/>
        </w:rPr>
        <w:t>§ 30-19.1:7 VRS Board statement</w:t>
      </w:r>
      <w:r>
        <w:rPr>
          <w:b w:val="0"/>
          <w:i w:val="0"/>
          <w:strike w:val="0"/>
        </w:rPr>
        <w:t xml:space="preserve">, not requested; the </w:t>
      </w:r>
      <w:r>
        <w:rPr>
          <w:b/>
          <w:i w:val="0"/>
          <w:strike w:val="0"/>
        </w:rPr>
        <w:t>fiscal refresh against the bill as introduced</w:t>
      </w:r>
      <w:r>
        <w:rPr>
          <w:b w:val="0"/>
          <w:i w:val="0"/>
          <w:strike w:val="0"/>
        </w:rPr>
        <w:t xml:space="preserve">, including the FY2030–FY2039 window shift; the </w:t>
      </w:r>
      <w:r>
        <w:rPr>
          <w:b/>
          <w:i w:val="0"/>
          <w:strike w:val="0"/>
        </w:rPr>
        <w:t>four federal tax questions</w:t>
      </w:r>
      <w:r>
        <w:rPr>
          <w:b w:val="0"/>
          <w:i w:val="0"/>
          <w:strike w:val="0"/>
        </w:rPr>
        <w:t xml:space="preserve">, drafted and unsent; the </w:t>
      </w:r>
      <w:r>
        <w:rPr>
          <w:b/>
          <w:i w:val="0"/>
          <w:strike w:val="0"/>
        </w:rPr>
        <w:t>three VRS confirmation items</w:t>
      </w:r>
      <w:r>
        <w:rPr>
          <w:b w:val="0"/>
          <w:i w:val="0"/>
          <w:strike w:val="0"/>
        </w:rPr>
        <w:t xml:space="preserve">; the </w:t>
      </w:r>
      <w:r>
        <w:rPr>
          <w:b/>
          <w:i w:val="0"/>
          <w:strike w:val="0"/>
        </w:rPr>
        <w:t>unquantified COLA commencement exposure</w:t>
      </w:r>
      <w:r>
        <w:rPr>
          <w:b w:val="0"/>
          <w:i w:val="0"/>
          <w:strike w:val="0"/>
        </w:rPr>
        <w:t xml:space="preserve">; and the </w:t>
      </w:r>
      <w:r>
        <w:rPr>
          <w:b/>
          <w:i w:val="0"/>
          <w:strike w:val="0"/>
        </w:rPr>
        <w:t>approved-leave question</w:t>
      </w:r>
      <w:r>
        <w:rPr>
          <w:b w:val="0"/>
          <w:i w:val="0"/>
          <w:strike w:val="0"/>
        </w:rPr>
        <w:t xml:space="preserve"> for the Council.</w:t>
      </w:r>
    </w:p>
    <w:p>
      <w:pPr>
        <w:jc w:val="center"/>
      </w:pPr>
      <w:r>
        <w:rPr>
          <w:color w:val="909090"/>
          <w:sz w:val="18"/>
        </w:rPr>
        <w:t>* * *</w:t>
      </w:r>
    </w:p>
    <w:p>
      <w:pPr>
        <w:pStyle w:val="Heading2"/>
      </w:pPr>
      <w:r>
        <w:rPr>
          <w:b w:val="0"/>
          <w:i w:val="0"/>
          <w:strike w:val="0"/>
        </w:rPr>
        <w:t>Version 1.5 change log — Review Closeout (October 20, 2026)</w:t>
      </w:r>
    </w:p>
    <w:p>
      <w:r>
        <w:rPr>
          <w:b/>
          <w:i w:val="0"/>
          <w:strike w:val="0"/>
        </w:rPr>
        <w:t>Version 1.4 closed the findings that were blocking. This closes the remainder</w:t>
      </w:r>
      <w:r>
        <w:rPr>
          <w:b w:val="0"/>
          <w:i w:val="0"/>
          <w:strike w:val="0"/>
        </w:rPr>
        <w:t xml:space="preserve">: the two bill findings that needed a drafting decision, the constitutional-form finding, all twelve minor bill findings, the two evidence findings, and the seven stakeholder findings that are not drafting problems. Operative bill text moves to </w:t>
      </w:r>
      <w:r>
        <w:rPr>
          <w:b/>
          <w:i w:val="0"/>
          <w:strike w:val="0"/>
        </w:rPr>
        <w:t>version 1.4</w:t>
      </w:r>
      <w:r>
        <w:rPr>
          <w:b w:val="0"/>
          <w:i w:val="0"/>
          <w:strike w:val="0"/>
        </w:rPr>
        <w:t xml:space="preserve">; the package to </w:t>
      </w:r>
      <w:r>
        <w:rPr>
          <w:b/>
          <w:i w:val="0"/>
          <w:strike w:val="0"/>
        </w:rPr>
        <w:t>version 1.5</w:t>
      </w:r>
      <w:r>
        <w:rPr>
          <w:b w:val="0"/>
          <w:i w:val="0"/>
          <w:strike w:val="0"/>
        </w:rPr>
        <w:t xml:space="preserve">. </w:t>
      </w:r>
      <w:r>
        <w:rPr>
          <w:b/>
          <w:i w:val="0"/>
          <w:strike w:val="0"/>
        </w:rPr>
        <w:t>Three further defects were found in this pass and are recorded as L-01, L-02 and L-03.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w:t>
            </w:r>
          </w:p>
        </w:tc>
        <w:tc>
          <w:tcPr>
            <w:tcW w:type="dxa" w:w="2160"/>
          </w:tcPr>
          <w:p>
            <w:r>
              <w:rPr>
                <w:b/>
                <w:i w:val="0"/>
                <w:strike w:val="0"/>
              </w:rPr>
              <w:t>Change</w:t>
            </w:r>
          </w:p>
        </w:tc>
        <w:tc>
          <w:tcPr>
            <w:tcW w:type="dxa" w:w="2160"/>
          </w:tcPr>
          <w:p>
            <w:r>
              <w:rPr>
                <w:b/>
                <w:i w:val="0"/>
                <w:strike w:val="0"/>
              </w:rPr>
              <w:t>Finding</w:t>
            </w:r>
          </w:p>
        </w:tc>
        <w:tc>
          <w:tcPr>
            <w:tcW w:type="dxa" w:w="2160"/>
          </w:tcPr>
          <w:p>
            <w:r>
              <w:rPr>
                <w:b/>
                <w:i w:val="0"/>
                <w:strike w:val="0"/>
              </w:rPr>
              <w:t>Where</w:t>
            </w:r>
          </w:p>
        </w:tc>
      </w:tr>
      <w:tr>
        <w:tc>
          <w:tcPr>
            <w:tcW w:type="dxa" w:w="2160"/>
          </w:tcPr>
          <w:p>
            <w:r>
              <w:rPr>
                <w:b w:val="0"/>
                <w:i w:val="0"/>
                <w:strike w:val="0"/>
              </w:rPr>
              <w:t>1</w:t>
            </w:r>
          </w:p>
        </w:tc>
        <w:tc>
          <w:tcPr>
            <w:tcW w:type="dxa" w:w="2160"/>
          </w:tcPr>
          <w:p>
            <w:r>
              <w:rPr>
                <w:b/>
                <w:i w:val="0"/>
                <w:strike w:val="0"/>
              </w:rPr>
              <w:t>DECISION 13 — § 51.1-153 B 4 and § 51.1-155 A 3 amended to add subdivision B 2 to the resolution purposes list.</w:t>
            </w:r>
            <w:r>
              <w:rPr>
                <w:b w:val="0"/>
                <w:i w:val="0"/>
                <w:strike w:val="0"/>
              </w:rPr>
              <w:t xml:space="preserve"> New subdivision C 1 c fixed which deficit formula a pre-2014 B 4 public-safety member uses, but it operates only "for purposes of this section" and the right to retire comes from § 51.1-153 — so on the available second reading the member could buy the credit and then not be able to retire under subdivision B 2 at all. </w:t>
            </w:r>
            <w:r>
              <w:rPr>
                <w:b/>
                <w:i w:val="0"/>
                <w:strike w:val="0"/>
              </w:rPr>
              <w:t>For that class the bill may have been inoperative.</w:t>
            </w:r>
            <w:r>
              <w:rPr>
                <w:b w:val="0"/>
                <w:i w:val="0"/>
                <w:strike w:val="0"/>
              </w:rPr>
              <w:t xml:space="preserve"> The fix is in § 51.1-153, which the bill already amends. The alternative — dropping the pre-2014 class from the bill — was considered and rejected. </w:t>
            </w:r>
            <w:r>
              <w:rPr>
                <w:b/>
                <w:i w:val="0"/>
                <w:strike w:val="0"/>
              </w:rPr>
              <w:t>This is the one change that reaches beyond the bill's veteran object, and its fiscal effect is a VRS question</w:t>
            </w:r>
            <w:r>
              <w:rPr>
                <w:b w:val="0"/>
                <w:i w:val="0"/>
                <w:strike w:val="0"/>
              </w:rPr>
              <w:t>: declaratory and free if the Board already administers the first reading, an expansion if it does not.</w:t>
            </w:r>
          </w:p>
        </w:tc>
        <w:tc>
          <w:tcPr>
            <w:tcW w:type="dxa" w:w="2160"/>
          </w:tcPr>
          <w:p>
            <w:r>
              <w:rPr>
                <w:b w:val="0"/>
                <w:i w:val="0"/>
                <w:strike w:val="0"/>
              </w:rPr>
              <w:t xml:space="preserve">Material </w:t>
            </w:r>
            <w:r>
              <w:rPr>
                <w:b/>
                <w:i w:val="0"/>
                <w:strike w:val="0"/>
              </w:rPr>
              <w:t>M-04</w:t>
            </w:r>
          </w:p>
        </w:tc>
        <w:tc>
          <w:tcPr>
            <w:tcW w:type="dxa" w:w="2160"/>
          </w:tcPr>
          <w:p>
            <w:r>
              <w:rPr>
                <w:b w:val="0"/>
                <w:i w:val="0"/>
                <w:strike w:val="0"/>
              </w:rPr>
              <w:t>bill § 51.1-153 B 4, § 51.1-155 A 3 and their notes; bill note 17(a)</w:t>
            </w:r>
          </w:p>
        </w:tc>
      </w:tr>
      <w:tr>
        <w:tc>
          <w:tcPr>
            <w:tcW w:type="dxa" w:w="2160"/>
          </w:tcPr>
          <w:p>
            <w:r>
              <w:rPr>
                <w:b w:val="0"/>
                <w:i w:val="0"/>
                <w:strike w:val="0"/>
              </w:rPr>
              <w:t>2</w:t>
            </w:r>
          </w:p>
        </w:tc>
        <w:tc>
          <w:tcPr>
            <w:tcW w:type="dxa" w:w="2160"/>
          </w:tcPr>
          <w:p>
            <w:r>
              <w:rPr>
                <w:b/>
                <w:i w:val="0"/>
                <w:strike w:val="0"/>
              </w:rPr>
              <w:t>DECISION 14 — effective date moved to July 1, 2029.</w:t>
            </w:r>
            <w:r>
              <w:rPr>
                <w:b w:val="0"/>
                <w:i w:val="0"/>
                <w:strike w:val="0"/>
              </w:rPr>
              <w:t xml:space="preserve"> Subdivisions B 3 and B 4 of § 51.1-155 each expire </w:t>
            </w:r>
            <w:r>
              <w:rPr>
                <w:b/>
                <w:i w:val="0"/>
                <w:strike w:val="0"/>
              </w:rPr>
              <w:t>July 1, 2028</w:t>
            </w:r>
            <w:r>
              <w:rPr>
                <w:b w:val="0"/>
                <w:i w:val="0"/>
                <w:strike w:val="0"/>
              </w:rPr>
              <w:t xml:space="preserve">, which was the act's effective date; reenacting a section at length on the day two of its subdivisions expire is capable of being read as reviving them. Moving to July 1, 2029 removes the collision, and as a by-product converts a nominal four-month lead time on a 2028-session bill into a </w:t>
            </w:r>
            <w:r>
              <w:rPr>
                <w:b/>
                <w:i w:val="0"/>
                <w:strike w:val="0"/>
              </w:rPr>
              <w:t>full year</w:t>
            </w:r>
            <w:r>
              <w:rPr>
                <w:b w:val="0"/>
                <w:i w:val="0"/>
                <w:strike w:val="0"/>
              </w:rPr>
              <w:t xml:space="preserve"> for the separate-ledger build. In the introducible-form text those subdivisions are shown </w:t>
            </w:r>
            <w:r>
              <w:rPr>
                <w:b/>
                <w:i w:val="0"/>
                <w:strike w:val="0"/>
              </w:rPr>
              <w:t>struck</w:t>
            </w:r>
            <w:r>
              <w:rPr>
                <w:b w:val="0"/>
                <w:i w:val="0"/>
                <w:strike w:val="0"/>
              </w:rPr>
              <w:t>, with a note that the strike recognises the sunset rather than effecting a repeal.</w:t>
            </w:r>
          </w:p>
        </w:tc>
        <w:tc>
          <w:tcPr>
            <w:tcW w:type="dxa" w:w="2160"/>
          </w:tcPr>
          <w:p>
            <w:r>
              <w:rPr>
                <w:b w:val="0"/>
                <w:i w:val="0"/>
                <w:strike w:val="0"/>
              </w:rPr>
              <w:t xml:space="preserve">Material </w:t>
            </w:r>
            <w:r>
              <w:rPr>
                <w:b/>
                <w:i w:val="0"/>
                <w:strike w:val="0"/>
              </w:rPr>
              <w:t>M-05</w:t>
            </w:r>
          </w:p>
        </w:tc>
        <w:tc>
          <w:tcPr>
            <w:tcW w:type="dxa" w:w="2160"/>
          </w:tcPr>
          <w:p>
            <w:r>
              <w:rPr>
                <w:b w:val="0"/>
                <w:i w:val="0"/>
                <w:strike w:val="0"/>
              </w:rPr>
              <w:t xml:space="preserve">bill enactment clause 2, note 13; </w:t>
            </w:r>
            <w:r>
              <w:rPr>
                <w:rFonts w:ascii="Consolas" w:hAnsi="Consolas"/>
                <w:b w:val="0"/>
                <w:i w:val="0"/>
                <w:strike w:val="0"/>
                <w:color w:val="303030"/>
                <w:sz w:val="19"/>
              </w:rPr>
              <w:t>12</w:t>
            </w:r>
            <w:r>
              <w:rPr>
                <w:b w:val="0"/>
                <w:i w:val="0"/>
                <w:strike w:val="0"/>
              </w:rPr>
              <w:t xml:space="preserve"> § 51.1-155</w:t>
            </w:r>
          </w:p>
        </w:tc>
      </w:tr>
      <w:tr>
        <w:tc>
          <w:tcPr>
            <w:tcW w:type="dxa" w:w="2160"/>
          </w:tcPr>
          <w:p>
            <w:r>
              <w:rPr>
                <w:b w:val="0"/>
                <w:i w:val="0"/>
                <w:strike w:val="0"/>
              </w:rPr>
              <w:t>3</w:t>
            </w:r>
          </w:p>
        </w:tc>
        <w:tc>
          <w:tcPr>
            <w:tcW w:type="dxa" w:w="2160"/>
          </w:tcPr>
          <w:p>
            <w:r>
              <w:rPr>
                <w:b/>
                <w:i w:val="0"/>
                <w:strike w:val="0"/>
              </w:rPr>
              <w:t>The bill now exists in introducible form.</w:t>
            </w:r>
            <w:r>
              <w:rPr>
                <w:b w:val="0"/>
                <w:i w:val="0"/>
                <w:strike w:val="0"/>
              </w:rPr>
              <w:t xml:space="preserve"> All nine sections set out at length in </w:t>
            </w:r>
            <w:r>
              <w:rPr>
                <w:b/>
                <w:i w:val="0"/>
                <w:strike w:val="0"/>
              </w:rPr>
              <w:t>`12-bill-introducible-form.docx`</w:t>
            </w:r>
            <w:r>
              <w:rPr>
                <w:b w:val="0"/>
                <w:i w:val="0"/>
                <w:strike w:val="0"/>
              </w:rPr>
              <w:t>, generated from the official text of each section retrieved October 20, 2026, with each insertion required to match its section exactly once so a silent drift between the draft's quoted fragments and the live statute would have failed rather than passed.</w:t>
            </w:r>
          </w:p>
        </w:tc>
        <w:tc>
          <w:tcPr>
            <w:tcW w:type="dxa" w:w="2160"/>
          </w:tcPr>
          <w:p>
            <w:r>
              <w:rPr>
                <w:b w:val="0"/>
                <w:i w:val="0"/>
                <w:strike w:val="0"/>
              </w:rPr>
              <w:t xml:space="preserve">Material </w:t>
            </w:r>
            <w:r>
              <w:rPr>
                <w:b/>
                <w:i w:val="0"/>
                <w:strike w:val="0"/>
              </w:rPr>
              <w:t>M-10</w:t>
            </w:r>
          </w:p>
        </w:tc>
        <w:tc>
          <w:tcPr>
            <w:tcW w:type="dxa" w:w="2160"/>
          </w:tcPr>
          <w:p>
            <w:r>
              <w:rPr>
                <w:b w:val="0"/>
                <w:i w:val="0"/>
                <w:strike w:val="0"/>
              </w:rPr>
              <w:t xml:space="preserve">new document </w:t>
            </w:r>
            <w:r>
              <w:rPr>
                <w:rFonts w:ascii="Consolas" w:hAnsi="Consolas"/>
                <w:b w:val="0"/>
                <w:i w:val="0"/>
                <w:strike w:val="0"/>
                <w:color w:val="303030"/>
                <w:sz w:val="19"/>
              </w:rPr>
              <w:t>12</w:t>
            </w:r>
          </w:p>
        </w:tc>
      </w:tr>
      <w:tr>
        <w:tc>
          <w:tcPr>
            <w:tcW w:type="dxa" w:w="2160"/>
          </w:tcPr>
          <w:p>
            <w:r>
              <w:rPr>
                <w:b w:val="0"/>
                <w:i w:val="0"/>
                <w:strike w:val="0"/>
              </w:rPr>
              <w:t>4</w:t>
            </w:r>
          </w:p>
        </w:tc>
        <w:tc>
          <w:tcPr>
            <w:tcW w:type="dxa" w:w="2160"/>
          </w:tcPr>
          <w:p>
            <w:r>
              <w:rPr>
                <w:b/>
                <w:i w:val="0"/>
                <w:strike w:val="0"/>
              </w:rPr>
              <w:t>All twelve minor bill findings closed.</w:t>
            </w:r>
            <w:r>
              <w:rPr>
                <w:b w:val="0"/>
                <w:i w:val="0"/>
                <w:strike w:val="0"/>
              </w:rPr>
              <w:t xml:space="preserve"> Struck the surplus cost sentence in § 51.1-142.2 B (m-01) and the redundant § 2.2-3204 C sentence (m-08); reworded subdivision B 4's "except" clause, which described a disqualification that does not exist (m-02); renumbered subsection E, whose in-service condition did not complete its own lead-in (m-03); struck the stray "and" after subdivision B 5 (m-04); struck "while he remains a member" from K 1 e, which collided with § 51.1-128(iv) dormancy (m-06); added "transitional severance benefit" to the title, since § 2.2-3204 is amended (m-09); corrected the note on the word "service," which </w:t>
            </w:r>
            <w:r>
              <w:rPr>
                <w:b/>
                <w:i w:val="0"/>
                <w:strike w:val="0"/>
              </w:rPr>
              <w:t>is</w:t>
            </w:r>
            <w:r>
              <w:rPr>
                <w:b w:val="0"/>
                <w:i w:val="0"/>
                <w:strike w:val="0"/>
              </w:rPr>
              <w:t xml:space="preserve"> a defined term (m-10); reconciled the amendment counts (m-11); recorded why F 9's §§ 51.1-1157 and 51.1-1165 references can never operate (m-07) and why subdivision B 6 is retained (m-04, second half); routed the art. X, § 11 point to the memorandum (m-12).</w:t>
            </w:r>
          </w:p>
        </w:tc>
        <w:tc>
          <w:tcPr>
            <w:tcW w:type="dxa" w:w="2160"/>
          </w:tcPr>
          <w:p>
            <w:r>
              <w:rPr>
                <w:b/>
                <w:i w:val="0"/>
                <w:strike w:val="0"/>
              </w:rPr>
              <w:t>m-01 … m-12</w:t>
            </w:r>
          </w:p>
        </w:tc>
        <w:tc>
          <w:tcPr>
            <w:tcW w:type="dxa" w:w="2160"/>
          </w:tcPr>
          <w:p>
            <w:r>
              <w:rPr>
                <w:b w:val="0"/>
                <w:i w:val="0"/>
                <w:strike w:val="0"/>
              </w:rPr>
              <w:t>bill notes 15–17; memo Part 5.1</w:t>
            </w:r>
          </w:p>
        </w:tc>
      </w:tr>
      <w:tr>
        <w:tc>
          <w:tcPr>
            <w:tcW w:type="dxa" w:w="2160"/>
          </w:tcPr>
          <w:p>
            <w:r>
              <w:rPr>
                <w:b w:val="0"/>
                <w:i w:val="0"/>
                <w:strike w:val="0"/>
              </w:rPr>
              <w:t>5</w:t>
            </w:r>
          </w:p>
        </w:tc>
        <w:tc>
          <w:tcPr>
            <w:tcW w:type="dxa" w:w="2160"/>
          </w:tcPr>
          <w:p>
            <w:r>
              <w:rPr>
                <w:b/>
                <w:i w:val="0"/>
                <w:strike w:val="0"/>
              </w:rPr>
              <w:t>Three new defects found in this pass.</w:t>
            </w:r>
            <w:r>
              <w:rPr>
                <w:b w:val="0"/>
                <w:i w:val="0"/>
                <w:strike w:val="0"/>
              </w:rPr>
              <w:t xml:space="preserve"> </w:t>
            </w:r>
            <w:r>
              <w:rPr>
                <w:b/>
                <w:i w:val="0"/>
                <w:strike w:val="0"/>
              </w:rPr>
              <w:t>L-01:</w:t>
            </w:r>
            <w:r>
              <w:rPr>
                <w:b w:val="0"/>
                <w:i w:val="0"/>
                <w:strike w:val="0"/>
              </w:rPr>
              <w:t xml:space="preserve"> enactment clause 3 required a Board report by </w:t>
            </w:r>
            <w:r>
              <w:rPr>
                <w:b/>
                <w:i w:val="0"/>
                <w:strike w:val="0"/>
              </w:rPr>
              <w:t>December 1, 2027</w:t>
            </w:r>
            <w:r>
              <w:rPr>
                <w:b w:val="0"/>
                <w:i w:val="0"/>
                <w:strike w:val="0"/>
              </w:rPr>
              <w:t xml:space="preserve"> in a bill headed for the 2028 session, and clause 2 delayed every provision of the act — including clause 3 — to July 1, 2028, so the deadline was in the past before the duty could arise. Clause 3 is now excepted from the delayed date and the deadline moves to December 1, 2028. </w:t>
            </w:r>
            <w:r>
              <w:rPr>
                <w:b/>
                <w:i w:val="0"/>
                <w:strike w:val="0"/>
              </w:rPr>
              <w:t>L-02:</w:t>
            </w:r>
            <w:r>
              <w:rPr>
                <w:b w:val="0"/>
                <w:i w:val="0"/>
                <w:strike w:val="0"/>
              </w:rPr>
              <w:t xml:space="preserve"> § 2.2-3204's catchline is "</w:t>
            </w:r>
            <w:r>
              <w:rPr>
                <w:b/>
                <w:i w:val="0"/>
                <w:strike w:val="0"/>
              </w:rPr>
              <w:t>Retirement program</w:t>
            </w:r>
            <w:r>
              <w:rPr>
                <w:b w:val="0"/>
                <w:i w:val="0"/>
                <w:strike w:val="0"/>
              </w:rPr>
              <w:t>," not "Eligibility for transitional severance benefit; payment of benefit; retirement," which is § 2.2-</w:t>
            </w:r>
            <w:r>
              <w:rPr>
                <w:b/>
                <w:i w:val="0"/>
                <w:strike w:val="0"/>
              </w:rPr>
              <w:t>3203</w:t>
            </w:r>
            <w:r>
              <w:rPr>
                <w:b w:val="0"/>
                <w:i w:val="0"/>
                <w:strike w:val="0"/>
              </w:rPr>
              <w:t xml:space="preserve">. </w:t>
            </w:r>
            <w:r>
              <w:rPr>
                <w:b/>
                <w:i w:val="0"/>
                <w:strike w:val="0"/>
              </w:rPr>
              <w:t>L-03:</w:t>
            </w:r>
            <w:r>
              <w:rPr>
                <w:b w:val="0"/>
                <w:i w:val="0"/>
                <w:strike w:val="0"/>
              </w:rPr>
              <w:t xml:space="preserve"> enactment clause 3(viii) cited "subdivision B 3 of § 51.1-142.2" for the 24-month window, which is stated in an unnumbered paragraph of </w:t>
            </w:r>
            <w:r>
              <w:rPr>
                <w:b/>
                <w:i w:val="0"/>
                <w:strike w:val="0"/>
              </w:rPr>
              <w:t>subsection B</w:t>
            </w:r>
            <w:r>
              <w:rPr>
                <w:b w:val="0"/>
                <w:i w:val="0"/>
                <w:strike w:val="0"/>
              </w:rPr>
              <w:t>.</w:t>
            </w:r>
          </w:p>
        </w:tc>
        <w:tc>
          <w:tcPr>
            <w:tcW w:type="dxa" w:w="2160"/>
          </w:tcPr>
          <w:p>
            <w:r>
              <w:rPr>
                <w:b w:val="0"/>
                <w:i w:val="0"/>
                <w:strike w:val="0"/>
              </w:rPr>
              <w:t>New</w:t>
            </w:r>
          </w:p>
        </w:tc>
        <w:tc>
          <w:tcPr>
            <w:tcW w:type="dxa" w:w="2160"/>
          </w:tcPr>
          <w:p>
            <w:r>
              <w:rPr>
                <w:b w:val="0"/>
                <w:i w:val="0"/>
                <w:strike w:val="0"/>
              </w:rPr>
              <w:t xml:space="preserve">bill notes 13 and 17; </w:t>
            </w:r>
            <w:r>
              <w:rPr>
                <w:rFonts w:ascii="Consolas" w:hAnsi="Consolas"/>
                <w:b w:val="0"/>
                <w:i w:val="0"/>
                <w:strike w:val="0"/>
                <w:color w:val="303030"/>
                <w:sz w:val="19"/>
              </w:rPr>
              <w:t>12</w:t>
            </w:r>
          </w:p>
        </w:tc>
      </w:tr>
      <w:tr>
        <w:tc>
          <w:tcPr>
            <w:tcW w:type="dxa" w:w="2160"/>
          </w:tcPr>
          <w:p>
            <w:r>
              <w:rPr>
                <w:b w:val="0"/>
                <w:i w:val="0"/>
                <w:strike w:val="0"/>
              </w:rPr>
              <w:t>6</w:t>
            </w:r>
          </w:p>
        </w:tc>
        <w:tc>
          <w:tcPr>
            <w:tcW w:type="dxa" w:w="2160"/>
          </w:tcPr>
          <w:p>
            <w:r>
              <w:rPr>
                <w:b/>
                <w:i w:val="0"/>
                <w:strike w:val="0"/>
              </w:rPr>
              <w:t>The one-at-a-time sensitivity design is now disclosed, and the compound adverse case is published.</w:t>
            </w:r>
            <w:r>
              <w:rPr>
                <w:b w:val="0"/>
                <w:i w:val="0"/>
                <w:strike w:val="0"/>
              </w:rPr>
              <w:t xml:space="preserve"> T5 varies one driver at a time, and take-up (ASM-19) and the behavioural mix φ (ASM-22) are </w:t>
            </w:r>
            <w:r>
              <w:rPr>
                <w:b/>
                <w:i w:val="0"/>
                <w:strike w:val="0"/>
              </w:rPr>
              <w:t>inversely correlated by the model's own logic</w:t>
            </w:r>
            <w:r>
              <w:rPr>
                <w:b w:val="0"/>
                <w:i w:val="0"/>
                <w:strike w:val="0"/>
              </w:rPr>
              <w:t xml:space="preserve"> — a member who would have worked on to unreduced eligibility overpays, so high take-up implies low φ. A compound adverse case (high population funnel + φ = 0.25 + 30% take-up) gives </w:t>
            </w:r>
            <w:r>
              <w:rPr>
                <w:b/>
                <w:i w:val="0"/>
                <w:strike w:val="0"/>
              </w:rPr>
              <w:t>1.16 bp and $43.79M</w:t>
            </w:r>
            <w:r>
              <w:rPr>
                <w:b w:val="0"/>
                <w:i w:val="0"/>
                <w:strike w:val="0"/>
              </w:rPr>
              <w:t xml:space="preserve"> aggregate, and </w:t>
            </w:r>
            <w:r>
              <w:rPr>
                <w:b/>
                <w:i w:val="0"/>
                <w:strike w:val="0"/>
              </w:rPr>
              <w:t>1.38 bp on the state plan</w:t>
            </w:r>
            <w:r>
              <w:rPr>
                <w:b w:val="0"/>
                <w:i w:val="0"/>
                <w:strike w:val="0"/>
              </w:rPr>
              <w:t xml:space="preserve"> against the single-driver single-plan maximum of 0.84 bp. </w:t>
            </w:r>
            <w:r>
              <w:rPr>
                <w:b/>
                <w:i w:val="0"/>
                <w:strike w:val="0"/>
              </w:rPr>
              <w:t>Added to `run_model.py` as a published T5 row and reproduced by re-running the model.</w:t>
            </w:r>
            <w:r>
              <w:rPr>
                <w:b w:val="0"/>
                <w:i w:val="0"/>
                <w:strike w:val="0"/>
              </w:rPr>
              <w:t xml:space="preserve"> Every statement of the 0.05–0.44 bp range now reads "on one-at-a-time excursions."</w:t>
            </w:r>
          </w:p>
        </w:tc>
        <w:tc>
          <w:tcPr>
            <w:tcW w:type="dxa" w:w="2160"/>
          </w:tcPr>
          <w:p>
            <w:r>
              <w:rPr>
                <w:b w:val="0"/>
                <w:i w:val="0"/>
                <w:strike w:val="0"/>
              </w:rPr>
              <w:t xml:space="preserve">Material </w:t>
            </w:r>
            <w:r>
              <w:rPr>
                <w:b/>
                <w:i w:val="0"/>
                <w:strike w:val="0"/>
              </w:rPr>
              <w:t>M-13</w:t>
            </w:r>
          </w:p>
        </w:tc>
        <w:tc>
          <w:tcPr>
            <w:tcW w:type="dxa" w:w="2160"/>
          </w:tcPr>
          <w:p>
            <w:r>
              <w:rPr>
                <w:rFonts w:ascii="Consolas" w:hAnsi="Consolas"/>
                <w:b w:val="0"/>
                <w:i w:val="0"/>
                <w:strike w:val="0"/>
                <w:color w:val="303030"/>
                <w:sz w:val="19"/>
              </w:rPr>
              <w:t>fiscal-model/run_model.py</w:t>
            </w:r>
            <w:r>
              <w:rPr>
                <w:b w:val="0"/>
                <w:i w:val="0"/>
                <w:strike w:val="0"/>
              </w:rPr>
              <w:t xml:space="preserve">, </w:t>
            </w:r>
            <w:r>
              <w:rPr>
                <w:rFonts w:ascii="Consolas" w:hAnsi="Consolas"/>
                <w:b w:val="0"/>
                <w:i w:val="0"/>
                <w:strike w:val="0"/>
                <w:color w:val="303030"/>
                <w:sz w:val="19"/>
              </w:rPr>
              <w:t>out/T5-sensitivity.csv</w:t>
            </w:r>
            <w:r>
              <w:rPr>
                <w:b w:val="0"/>
                <w:i w:val="0"/>
                <w:strike w:val="0"/>
              </w:rPr>
              <w:t>; fiscal memo §§ 1, 7.3, 13; memo Part 5.1</w:t>
            </w:r>
          </w:p>
        </w:tc>
      </w:tr>
      <w:tr>
        <w:tc>
          <w:tcPr>
            <w:tcW w:type="dxa" w:w="2160"/>
          </w:tcPr>
          <w:p>
            <w:r>
              <w:rPr>
                <w:b w:val="0"/>
                <w:i w:val="0"/>
                <w:strike w:val="0"/>
              </w:rPr>
              <w:t>7</w:t>
            </w:r>
          </w:p>
        </w:tc>
        <w:tc>
          <w:tcPr>
            <w:tcW w:type="dxa" w:w="2160"/>
          </w:tcPr>
          <w:p>
            <w:r>
              <w:rPr>
                <w:b/>
                <w:i w:val="0"/>
                <w:strike w:val="0"/>
              </w:rPr>
              <w:t>The four questions for tax counsel are now the engagement deliverable</w:t>
            </w:r>
            <w:r>
              <w:rPr>
                <w:b w:val="0"/>
                <w:i w:val="0"/>
                <w:strike w:val="0"/>
              </w:rPr>
              <w:t xml:space="preserve">, at memorandum </w:t>
            </w:r>
            <w:r>
              <w:rPr>
                <w:b/>
                <w:i w:val="0"/>
                <w:strike w:val="0"/>
              </w:rPr>
              <w:t>Part 6.3</w:t>
            </w:r>
            <w:r>
              <w:rPr>
                <w:b w:val="0"/>
                <w:i w:val="0"/>
                <w:strike w:val="0"/>
              </w:rPr>
              <w:t xml:space="preserve">, replacing the prose framing in Part 5.3 — which also reorders the three consequences so the </w:t>
            </w:r>
            <w:r>
              <w:rPr>
                <w:b/>
                <w:i w:val="0"/>
                <w:strike w:val="0"/>
              </w:rPr>
              <w:t>403(b)/457(b) funding loss leads</w:t>
            </w:r>
            <w:r>
              <w:rPr>
                <w:b w:val="0"/>
                <w:i w:val="0"/>
                <w:strike w:val="0"/>
              </w:rPr>
              <w:t xml:space="preserve"> and § 415(c) is labelled the edge case it is, and records that clause (iii) of § 415(n)(3)(A) </w:t>
            </w:r>
            <w:r>
              <w:rPr>
                <w:b/>
                <w:i w:val="0"/>
                <w:strike w:val="0"/>
              </w:rPr>
              <w:t>is</w:t>
            </w:r>
            <w:r>
              <w:rPr>
                <w:b w:val="0"/>
                <w:i w:val="0"/>
                <w:strike w:val="0"/>
              </w:rPr>
              <w:t xml:space="preserve"> satisfied, a point in the bill's favour the package had not made.</w:t>
            </w:r>
          </w:p>
        </w:tc>
        <w:tc>
          <w:tcPr>
            <w:tcW w:type="dxa" w:w="2160"/>
          </w:tcPr>
          <w:p>
            <w:r>
              <w:rPr>
                <w:b w:val="0"/>
                <w:i w:val="0"/>
                <w:strike w:val="0"/>
              </w:rPr>
              <w:t xml:space="preserve">Material </w:t>
            </w:r>
            <w:r>
              <w:rPr>
                <w:b/>
                <w:i w:val="0"/>
                <w:strike w:val="0"/>
              </w:rPr>
              <w:t>M-15</w:t>
            </w:r>
          </w:p>
        </w:tc>
        <w:tc>
          <w:tcPr>
            <w:tcW w:type="dxa" w:w="2160"/>
          </w:tcPr>
          <w:p>
            <w:r>
              <w:rPr>
                <w:b w:val="0"/>
                <w:i w:val="0"/>
                <w:strike w:val="0"/>
              </w:rPr>
              <w:t>memo Parts 5.3 and 6.3; bill note 8</w:t>
            </w:r>
          </w:p>
        </w:tc>
      </w:tr>
      <w:tr>
        <w:tc>
          <w:tcPr>
            <w:tcW w:type="dxa" w:w="2160"/>
          </w:tcPr>
          <w:p>
            <w:r>
              <w:rPr>
                <w:b w:val="0"/>
                <w:i w:val="0"/>
                <w:strike w:val="0"/>
              </w:rPr>
              <w:t>8</w:t>
            </w:r>
          </w:p>
        </w:tc>
        <w:tc>
          <w:tcPr>
            <w:tcW w:type="dxa" w:w="2160"/>
          </w:tcPr>
          <w:p>
            <w:r>
              <w:rPr>
                <w:b/>
                <w:i w:val="0"/>
                <w:strike w:val="0"/>
              </w:rPr>
              <w:t>Seven stakeholder findings answered in a new document, `13-council-engagement-answers.docx`.</w:t>
            </w:r>
            <w:r>
              <w:rPr>
                <w:b w:val="0"/>
                <w:i w:val="0"/>
                <w:strike w:val="0"/>
              </w:rPr>
              <w:t xml:space="preserve"> These are things that get </w:t>
            </w:r>
            <w:r>
              <w:rPr>
                <w:b/>
                <w:i w:val="0"/>
                <w:strike w:val="0"/>
              </w:rPr>
              <w:t>said in the room</w:t>
            </w:r>
            <w:r>
              <w:rPr>
                <w:b w:val="0"/>
                <w:i w:val="0"/>
                <w:strike w:val="0"/>
              </w:rPr>
              <w:t xml:space="preserve"> and cannot be fixed in the bill: the Council's and the Board's leadership are substantially the career retirees the bill excludes (</w:t>
            </w:r>
            <w:r>
              <w:rPr>
                <w:b/>
                <w:i w:val="0"/>
                <w:strike w:val="0"/>
              </w:rPr>
              <w:t>S-04</w:t>
            </w:r>
            <w:r>
              <w:rPr>
                <w:b w:val="0"/>
                <w:i w:val="0"/>
                <w:strike w:val="0"/>
              </w:rPr>
              <w:t>); the DVS Commissioner's documented adoption test — "investing in transitioning service members whose needs are very different than older retirees" — is adverse, and the answer is to concede it rather than claim a strategic-plan hook (</w:t>
            </w:r>
            <w:r>
              <w:rPr>
                <w:b/>
                <w:i w:val="0"/>
                <w:strike w:val="0"/>
              </w:rPr>
              <w:t>S-05</w:t>
            </w:r>
            <w:r>
              <w:rPr>
                <w:b w:val="0"/>
                <w:i w:val="0"/>
                <w:strike w:val="0"/>
              </w:rPr>
              <w:t xml:space="preserve">); </w:t>
            </w:r>
            <w:r>
              <w:rPr>
                <w:b/>
                <w:i w:val="0"/>
                <w:strike w:val="0"/>
              </w:rPr>
              <w:t>§ 2.2-2682 C</w:t>
            </w:r>
            <w:r>
              <w:rPr>
                <w:b w:val="0"/>
                <w:i w:val="0"/>
                <w:strike w:val="0"/>
              </w:rPr>
              <w:t xml:space="preserve"> ("shall not impose unreasonable burdens or costs in connection with requests of agencies") is a statutory objection available inside the Council (</w:t>
            </w:r>
            <w:r>
              <w:rPr>
                <w:b/>
                <w:i w:val="0"/>
                <w:strike w:val="0"/>
              </w:rPr>
              <w:t>S-06</w:t>
            </w:r>
            <w:r>
              <w:rPr>
                <w:b w:val="0"/>
                <w:i w:val="0"/>
                <w:strike w:val="0"/>
              </w:rPr>
              <w:t xml:space="preserve">); the venue is a </w:t>
            </w:r>
            <w:r>
              <w:rPr>
                <w:b/>
                <w:i w:val="0"/>
                <w:strike w:val="0"/>
              </w:rPr>
              <w:t>seven-member subcommittee</w:t>
            </w:r>
            <w:r>
              <w:rPr>
                <w:b w:val="0"/>
                <w:i w:val="0"/>
                <w:strike w:val="0"/>
              </w:rPr>
              <w:t xml:space="preserve"> and the patron shortlist follows from that (</w:t>
            </w:r>
            <w:r>
              <w:rPr>
                <w:b/>
                <w:i w:val="0"/>
                <w:strike w:val="0"/>
              </w:rPr>
              <w:t>S-07, S-08</w:t>
            </w:r>
            <w:r>
              <w:rPr>
                <w:b w:val="0"/>
                <w:i w:val="0"/>
                <w:strike w:val="0"/>
              </w:rPr>
              <w:t>); "closed and shrinking" needs an answer for a 2026-hire veteran (</w:t>
            </w:r>
            <w:r>
              <w:rPr>
                <w:b/>
                <w:i w:val="0"/>
                <w:strike w:val="0"/>
              </w:rPr>
              <w:t>S-09</w:t>
            </w:r>
            <w:r>
              <w:rPr>
                <w:b w:val="0"/>
                <w:i w:val="0"/>
                <w:strike w:val="0"/>
              </w:rPr>
              <w:t>); three Council member organisations represent the Guard and Reserve population the § 12736 question is about, and one of them sits on the Legislative Committee (</w:t>
            </w:r>
            <w:r>
              <w:rPr>
                <w:b/>
                <w:i w:val="0"/>
                <w:strike w:val="0"/>
              </w:rPr>
              <w:t>S-10</w:t>
            </w:r>
            <w:r>
              <w:rPr>
                <w:b w:val="0"/>
                <w:i w:val="0"/>
                <w:strike w:val="0"/>
              </w:rPr>
              <w:t xml:space="preserve">); and the </w:t>
            </w:r>
            <w:r>
              <w:rPr>
                <w:b/>
                <w:i w:val="0"/>
                <w:strike w:val="0"/>
              </w:rPr>
              <w:t>18%</w:t>
            </w:r>
            <w:r>
              <w:rPr>
                <w:b w:val="0"/>
                <w:i w:val="0"/>
                <w:strike w:val="0"/>
              </w:rPr>
              <w:t xml:space="preserve"> retired-pay exclusion share is an assumption with no source (</w:t>
            </w:r>
            <w:r>
              <w:rPr>
                <w:b/>
                <w:i w:val="0"/>
                <w:strike w:val="0"/>
              </w:rPr>
              <w:t>S-17</w:t>
            </w:r>
            <w:r>
              <w:rPr>
                <w:b w:val="0"/>
                <w:i w:val="0"/>
                <w:strike w:val="0"/>
              </w:rPr>
              <w:t>).</w:t>
            </w:r>
          </w:p>
        </w:tc>
        <w:tc>
          <w:tcPr>
            <w:tcW w:type="dxa" w:w="2160"/>
          </w:tcPr>
          <w:p>
            <w:r>
              <w:rPr>
                <w:b w:val="0"/>
                <w:i w:val="0"/>
                <w:strike w:val="0"/>
              </w:rPr>
              <w:t>S-04 … S-17</w:t>
            </w:r>
          </w:p>
        </w:tc>
        <w:tc>
          <w:tcPr>
            <w:tcW w:type="dxa" w:w="2160"/>
          </w:tcPr>
          <w:p>
            <w:r>
              <w:rPr>
                <w:b w:val="0"/>
                <w:i w:val="0"/>
                <w:strike w:val="0"/>
              </w:rPr>
              <w:t xml:space="preserve">new document </w:t>
            </w:r>
            <w:r>
              <w:rPr>
                <w:rFonts w:ascii="Consolas" w:hAnsi="Consolas"/>
                <w:b w:val="0"/>
                <w:i w:val="0"/>
                <w:strike w:val="0"/>
                <w:color w:val="303030"/>
                <w:sz w:val="19"/>
              </w:rPr>
              <w:t>13</w:t>
            </w:r>
            <w:r>
              <w:rPr>
                <w:b w:val="0"/>
                <w:i w:val="0"/>
                <w:strike w:val="0"/>
              </w:rPr>
              <w:t xml:space="preserve">; </w:t>
            </w:r>
            <w:r>
              <w:rPr>
                <w:rFonts w:ascii="Consolas" w:hAnsi="Consolas"/>
                <w:b w:val="0"/>
                <w:i w:val="0"/>
                <w:strike w:val="0"/>
                <w:color w:val="303030"/>
                <w:sz w:val="19"/>
              </w:rPr>
              <w:t>07</w:t>
            </w:r>
            <w:r>
              <w:rPr>
                <w:b w:val="0"/>
                <w:i w:val="0"/>
                <w:strike w:val="0"/>
              </w:rPr>
              <w:t xml:space="preserve"> §§ 4 and 4A</w:t>
            </w:r>
          </w:p>
        </w:tc>
      </w:tr>
      <w:tr>
        <w:tc>
          <w:tcPr>
            <w:tcW w:type="dxa" w:w="2160"/>
          </w:tcPr>
          <w:p>
            <w:r>
              <w:rPr>
                <w:b w:val="0"/>
                <w:i w:val="0"/>
                <w:strike w:val="0"/>
              </w:rPr>
              <w:t>9</w:t>
            </w:r>
          </w:p>
        </w:tc>
        <w:tc>
          <w:tcPr>
            <w:tcW w:type="dxa" w:w="2160"/>
          </w:tcPr>
          <w:p>
            <w:r>
              <w:rPr>
                <w:b/>
                <w:i w:val="0"/>
                <w:strike w:val="0"/>
              </w:rPr>
              <w:t>The Blended Retirement System is now in the package</w:t>
            </w:r>
            <w:r>
              <w:rPr>
                <w:b w:val="0"/>
                <w:i w:val="0"/>
                <w:strike w:val="0"/>
              </w:rPr>
              <w:t xml:space="preserve">, as a VRS characterisation question rather than an answer. Subdivision H 5 inherits § 51.1-142.2 B's bar on purchase where "there is a balance in a defined contribution account that serves as a primary retirement account related to such service," and a BRS Thrift Savings Plan balance is at least arguably such an account. The live case is a pre-2014 VRS member who left for active duty after 2017 and returned. </w:t>
            </w:r>
            <w:r>
              <w:rPr>
                <w:b/>
                <w:i w:val="0"/>
                <w:strike w:val="0"/>
              </w:rPr>
              <w:t>The question is stated in the form VRS can answer.</w:t>
            </w:r>
          </w:p>
        </w:tc>
        <w:tc>
          <w:tcPr>
            <w:tcW w:type="dxa" w:w="2160"/>
          </w:tcPr>
          <w:p>
            <w:r>
              <w:rPr>
                <w:b w:val="0"/>
                <w:i w:val="0"/>
                <w:strike w:val="0"/>
              </w:rPr>
              <w:t xml:space="preserve">Low </w:t>
            </w:r>
            <w:r>
              <w:rPr>
                <w:b/>
                <w:i w:val="0"/>
                <w:strike w:val="0"/>
              </w:rPr>
              <w:t>S-19</w:t>
            </w:r>
          </w:p>
        </w:tc>
        <w:tc>
          <w:tcPr>
            <w:tcW w:type="dxa" w:w="2160"/>
          </w:tcPr>
          <w:p>
            <w:r>
              <w:rPr>
                <w:b w:val="0"/>
                <w:i w:val="0"/>
                <w:strike w:val="0"/>
              </w:rPr>
              <w:t xml:space="preserve">bill note 18; </w:t>
            </w:r>
            <w:r>
              <w:rPr>
                <w:rFonts w:ascii="Consolas" w:hAnsi="Consolas"/>
                <w:b w:val="0"/>
                <w:i w:val="0"/>
                <w:strike w:val="0"/>
                <w:color w:val="303030"/>
                <w:sz w:val="19"/>
              </w:rPr>
              <w:t>13</w:t>
            </w:r>
            <w:r>
              <w:rPr>
                <w:b w:val="0"/>
                <w:i w:val="0"/>
                <w:strike w:val="0"/>
              </w:rPr>
              <w:t xml:space="preserve"> §7</w:t>
            </w:r>
          </w:p>
        </w:tc>
      </w:tr>
    </w:tbl>
    <w:p/>
    <w:p>
      <w:r>
        <w:rPr>
          <w:b/>
          <w:i w:val="0"/>
          <w:strike w:val="0"/>
        </w:rPr>
        <w:t>Why the stakeholder answers are in a new document rather than in the briefs.</w:t>
      </w:r>
      <w:r>
        <w:rPr>
          <w:b w:val="0"/>
          <w:i w:val="0"/>
          <w:strike w:val="0"/>
        </w:rPr>
        <w:t xml:space="preserve"> Both briefs are named for a page count, which makes length a correctness property, and both are </w:t>
      </w:r>
      <w:r>
        <w:rPr>
          <w:b/>
          <w:i w:val="0"/>
          <w:strike w:val="0"/>
        </w:rPr>
        <w:t>already at 95.0% fill with under one point of slack</w:t>
      </w:r>
      <w:r>
        <w:rPr>
          <w:b w:val="0"/>
          <w:i w:val="0"/>
          <w:strike w:val="0"/>
        </w:rPr>
        <w:t xml:space="preserve"> (</w:t>
      </w:r>
      <w:r>
        <w:rPr>
          <w:rFonts w:ascii="Consolas" w:hAnsi="Consolas"/>
          <w:b w:val="0"/>
          <w:i w:val="0"/>
          <w:strike w:val="0"/>
          <w:color w:val="303030"/>
          <w:sz w:val="19"/>
        </w:rPr>
        <w:t>pagecheck.py</w:t>
      </w:r>
      <w:r>
        <w:rPr>
          <w:b w:val="0"/>
          <w:i w:val="0"/>
          <w:strike w:val="0"/>
        </w:rPr>
        <w:t xml:space="preserve">, October 20, 2026). Seven additions could not go in without cutting approved content, and cutting the written case to make room for the spoken one is the wrong trade. Six of the seven items in </w:t>
      </w:r>
      <w:r>
        <w:rPr>
          <w:rFonts w:ascii="Consolas" w:hAnsi="Consolas"/>
          <w:b w:val="0"/>
          <w:i w:val="0"/>
          <w:strike w:val="0"/>
          <w:color w:val="303030"/>
          <w:sz w:val="19"/>
        </w:rPr>
        <w:t>13</w:t>
      </w:r>
      <w:r>
        <w:rPr>
          <w:b w:val="0"/>
          <w:i w:val="0"/>
          <w:strike w:val="0"/>
        </w:rPr>
        <w:t xml:space="preserve"> carry a short bracketed </w:t>
      </w:r>
      <w:r>
        <w:rPr>
          <w:rFonts w:ascii="Consolas" w:hAnsi="Consolas"/>
          <w:b w:val="0"/>
          <w:i w:val="0"/>
          <w:strike w:val="0"/>
          <w:color w:val="303030"/>
          <w:sz w:val="19"/>
        </w:rPr>
        <w:t>[FOR 03]</w:t>
      </w:r>
      <w:r>
        <w:rPr>
          <w:b w:val="0"/>
          <w:i w:val="0"/>
          <w:strike w:val="0"/>
        </w:rPr>
        <w:t xml:space="preserve"> or </w:t>
      </w:r>
      <w:r>
        <w:rPr>
          <w:rFonts w:ascii="Consolas" w:hAnsi="Consolas"/>
          <w:b w:val="0"/>
          <w:i w:val="0"/>
          <w:strike w:val="0"/>
          <w:color w:val="303030"/>
          <w:sz w:val="19"/>
        </w:rPr>
        <w:t>[FOR 04]</w:t>
      </w:r>
      <w:r>
        <w:rPr>
          <w:b w:val="0"/>
          <w:i w:val="0"/>
          <w:strike w:val="0"/>
        </w:rPr>
        <w:t xml:space="preserve"> line — a one- or two-sentence version to fold in at the next brief revision.</w:t>
      </w:r>
    </w:p>
    <w:p>
      <w:r>
        <w:rPr>
          <w:b/>
          <w:i w:val="0"/>
          <w:strike w:val="0"/>
        </w:rPr>
        <w:t>What is still open after this pass.</w:t>
      </w:r>
      <w:r>
        <w:rPr>
          <w:b w:val="0"/>
          <w:i w:val="0"/>
          <w:strike w:val="0"/>
        </w:rPr>
        <w:t xml:space="preserve"> The </w:t>
      </w:r>
      <w:r>
        <w:rPr>
          <w:b/>
          <w:i w:val="0"/>
          <w:strike w:val="0"/>
        </w:rPr>
        <w:t>fiscal model refresh against the bill as introduced</w:t>
      </w:r>
      <w:r>
        <w:rPr>
          <w:b w:val="0"/>
          <w:i w:val="0"/>
          <w:strike w:val="0"/>
        </w:rPr>
        <w:t xml:space="preserve"> — which must carry clauses B 1(iv) and B 1(v), subdivision E 3, and the FY2030–FY2039 window shift, and which is where the health insurance credit should be added to the Python model if it is to be added at all. The </w:t>
      </w:r>
      <w:r>
        <w:rPr>
          <w:b/>
          <w:i w:val="0"/>
          <w:strike w:val="0"/>
        </w:rPr>
        <w:t>three VRS confirmation items</w:t>
      </w:r>
      <w:r>
        <w:rPr>
          <w:b w:val="0"/>
          <w:i w:val="0"/>
          <w:strike w:val="0"/>
        </w:rPr>
        <w:t xml:space="preserve"> (the subdivision B 4 reading, the BRS/TSP characterisation, and the approximate normal cost rate for pre-2014 B 4 public-safety members). The </w:t>
      </w:r>
      <w:r>
        <w:rPr>
          <w:b/>
          <w:i w:val="0"/>
          <w:strike w:val="0"/>
        </w:rPr>
        <w:t>four tax-counsel questions</w:t>
      </w:r>
      <w:r>
        <w:rPr>
          <w:b w:val="0"/>
          <w:i w:val="0"/>
          <w:strike w:val="0"/>
        </w:rPr>
        <w:t xml:space="preserve">, not yet sent. The </w:t>
      </w:r>
      <w:r>
        <w:rPr>
          <w:b/>
          <w:i w:val="0"/>
          <w:strike w:val="0"/>
        </w:rPr>
        <w:t>§ 30-19.1:7 statement</w:t>
      </w:r>
      <w:r>
        <w:rPr>
          <w:b w:val="0"/>
          <w:i w:val="0"/>
          <w:strike w:val="0"/>
        </w:rPr>
        <w:t xml:space="preserve">, not yet requested. The </w:t>
      </w:r>
      <w:r>
        <w:rPr>
          <w:b/>
          <w:i w:val="0"/>
          <w:strike w:val="0"/>
        </w:rPr>
        <w:t>approved-leave question</w:t>
      </w:r>
      <w:r>
        <w:rPr>
          <w:b w:val="0"/>
          <w:i w:val="0"/>
          <w:strike w:val="0"/>
        </w:rPr>
        <w:t xml:space="preserve"> for the Council. And the two cheap verification items — the enactment clauses of 2026 c. 563, and the LIS full-text search.</w:t>
      </w:r>
    </w:p>
    <w:p>
      <w:pPr>
        <w:jc w:val="center"/>
      </w:pPr>
      <w:r>
        <w:rPr>
          <w:color w:val="909090"/>
          <w:sz w:val="18"/>
        </w:rPr>
        <w:t>* * *</w:t>
      </w:r>
    </w:p>
    <w:p>
      <w:pPr>
        <w:pStyle w:val="Heading2"/>
      </w:pPr>
      <w:r>
        <w:rPr>
          <w:b w:val="0"/>
          <w:i w:val="0"/>
          <w:strike w:val="0"/>
        </w:rPr>
        <w:t>Version 1.3 change log — External-Review Cleanup (October 20, 2026)</w:t>
      </w:r>
    </w:p>
    <w:p>
      <w:r>
        <w:rPr>
          <w:b w:val="0"/>
          <w:i w:val="0"/>
          <w:strike w:val="0"/>
        </w:rPr>
        <w:t xml:space="preserve">A consistency and accuracy pass across all nine documents before outside legal review. </w:t>
      </w:r>
      <w:r>
        <w:rPr>
          <w:b/>
          <w:i w:val="0"/>
          <w:strike w:val="0"/>
        </w:rPr>
        <w:t>No settled policy decision was reopened and no operative bill provision changed</w:t>
      </w:r>
      <w:r>
        <w:rPr>
          <w:b w:val="0"/>
          <w:i w:val="0"/>
          <w:strike w:val="0"/>
        </w:rPr>
        <w:t xml:space="preserve">; the operative text remains at </w:t>
      </w:r>
      <w:r>
        <w:rPr>
          <w:b/>
          <w:i w:val="0"/>
          <w:strike w:val="0"/>
        </w:rPr>
        <w:t>version 1.2</w:t>
      </w:r>
      <w:r>
        <w:rPr>
          <w:b w:val="0"/>
          <w:i w:val="0"/>
          <w:strike w:val="0"/>
        </w:rPr>
        <w:t>. Each correction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w:t>
            </w:r>
          </w:p>
        </w:tc>
        <w:tc>
          <w:tcPr>
            <w:tcW w:type="dxa" w:w="2880"/>
          </w:tcPr>
          <w:p>
            <w:r>
              <w:rPr>
                <w:b/>
                <w:i w:val="0"/>
                <w:strike w:val="0"/>
              </w:rPr>
              <w:t>Correction</w:t>
            </w:r>
          </w:p>
        </w:tc>
        <w:tc>
          <w:tcPr>
            <w:tcW w:type="dxa" w:w="2880"/>
          </w:tcPr>
          <w:p>
            <w:r>
              <w:rPr>
                <w:b/>
                <w:i w:val="0"/>
                <w:strike w:val="0"/>
              </w:rPr>
              <w:t>Where</w:t>
            </w:r>
          </w:p>
        </w:tc>
      </w:tr>
      <w:tr>
        <w:tc>
          <w:tcPr>
            <w:tcW w:type="dxa" w:w="2880"/>
          </w:tcPr>
          <w:p>
            <w:r>
              <w:rPr>
                <w:b w:val="0"/>
                <w:i w:val="0"/>
                <w:strike w:val="0"/>
              </w:rPr>
              <w:t>1</w:t>
            </w:r>
          </w:p>
        </w:tc>
        <w:tc>
          <w:tcPr>
            <w:tcW w:type="dxa" w:w="2880"/>
          </w:tcPr>
          <w:p>
            <w:r>
              <w:rPr>
                <w:b w:val="0"/>
                <w:i w:val="0"/>
                <w:strike w:val="0"/>
              </w:rPr>
              <w:t xml:space="preserve">The MOO-260 adversarial pass is labeled </w:t>
            </w:r>
            <w:r>
              <w:rPr>
                <w:b/>
                <w:i w:val="0"/>
                <w:strike w:val="0"/>
              </w:rPr>
              <w:t>"internal adversarial review"</w:t>
            </w:r>
            <w:r>
              <w:rPr>
                <w:b w:val="0"/>
                <w:i w:val="0"/>
                <w:strike w:val="0"/>
              </w:rPr>
              <w:t xml:space="preserve"> throughout. Nothing describes it as independent. Residual attorney-persona references ("this office," "counsel recommended") replaced with </w:t>
            </w:r>
            <w:r>
              <w:rPr>
                <w:b/>
                <w:i w:val="0"/>
                <w:strike w:val="0"/>
              </w:rPr>
              <w:t>"policy-development team."</w:t>
            </w:r>
          </w:p>
        </w:tc>
        <w:tc>
          <w:tcPr>
            <w:tcW w:type="dxa" w:w="2880"/>
          </w:tcPr>
          <w:p>
            <w:r>
              <w:rPr>
                <w:b w:val="0"/>
                <w:i w:val="0"/>
                <w:strike w:val="0"/>
              </w:rPr>
              <w:t>All nine documents</w:t>
            </w:r>
          </w:p>
        </w:tc>
      </w:tr>
      <w:tr>
        <w:tc>
          <w:tcPr>
            <w:tcW w:type="dxa" w:w="2880"/>
          </w:tcPr>
          <w:p>
            <w:r>
              <w:rPr>
                <w:b w:val="0"/>
                <w:i w:val="0"/>
                <w:strike w:val="0"/>
              </w:rPr>
              <w:t>2</w:t>
            </w:r>
          </w:p>
        </w:tc>
        <w:tc>
          <w:tcPr>
            <w:tcW w:type="dxa" w:w="2880"/>
          </w:tcPr>
          <w:p>
            <w:r>
              <w:rPr>
                <w:b w:val="0"/>
                <w:i w:val="0"/>
                <w:strike w:val="0"/>
              </w:rPr>
              <w:t xml:space="preserve">Removed the claim that the bridge has </w:t>
            </w:r>
            <w:r>
              <w:rPr>
                <w:b/>
                <w:i w:val="0"/>
                <w:strike w:val="0"/>
              </w:rPr>
              <w:t>"no effect on any other VRS benefit."</w:t>
            </w:r>
            <w:r>
              <w:rPr>
                <w:b w:val="0"/>
                <w:i w:val="0"/>
                <w:strike w:val="0"/>
              </w:rPr>
              <w:t xml:space="preserve"> Replaced with: it does not increase benefit-calculation service, the pension formula, or service-credit-based benefits, while </w:t>
            </w:r>
            <w:r>
              <w:rPr>
                <w:b/>
                <w:i w:val="0"/>
                <w:strike w:val="0"/>
              </w:rPr>
              <w:t>ordinary consequences of an earlier retirement date remain applicable</w:t>
            </w:r>
          </w:p>
        </w:tc>
        <w:tc>
          <w:tcPr>
            <w:tcW w:type="dxa" w:w="2880"/>
          </w:tcPr>
          <w:p>
            <w:r>
              <w:rPr>
                <w:b w:val="0"/>
                <w:i w:val="0"/>
                <w:strike w:val="0"/>
              </w:rPr>
              <w:t>README core policy principle, both briefs, bill drafting note 4, memo Part 4 reading note</w:t>
            </w:r>
          </w:p>
        </w:tc>
      </w:tr>
      <w:tr>
        <w:tc>
          <w:tcPr>
            <w:tcW w:type="dxa" w:w="2880"/>
          </w:tcPr>
          <w:p>
            <w:r>
              <w:rPr>
                <w:b w:val="0"/>
                <w:i w:val="0"/>
                <w:strike w:val="0"/>
              </w:rPr>
              <w:t>3</w:t>
            </w:r>
          </w:p>
        </w:tc>
        <w:tc>
          <w:tcPr>
            <w:tcW w:type="dxa" w:w="2880"/>
          </w:tcPr>
          <w:p>
            <w:r>
              <w:rPr>
                <w:b/>
                <w:i w:val="0"/>
                <w:strike w:val="0"/>
              </w:rPr>
              <w:t>HIC and COLA</w:t>
            </w:r>
            <w:r>
              <w:rPr>
                <w:b w:val="0"/>
                <w:i w:val="0"/>
                <w:strike w:val="0"/>
              </w:rPr>
              <w:t xml:space="preserve"> standardized to: </w:t>
            </w:r>
            <w:r>
              <w:rPr>
                <w:b w:val="0"/>
                <w:i/>
                <w:strike w:val="0"/>
              </w:rPr>
              <w:t>both follow the retirement date, so preventing earlier commencement would require separate statutory changes outside the bridge</w:t>
            </w:r>
            <w:r>
              <w:rPr>
                <w:b w:val="0"/>
                <w:i w:val="0"/>
                <w:strike w:val="0"/>
              </w:rPr>
              <w:t xml:space="preserve">, and the proposal </w:t>
            </w:r>
            <w:r>
              <w:rPr>
                <w:b/>
                <w:i w:val="0"/>
                <w:strike w:val="0"/>
              </w:rPr>
              <w:t>deliberately accepts and discloses</w:t>
            </w:r>
            <w:r>
              <w:rPr>
                <w:b w:val="0"/>
                <w:i w:val="0"/>
                <w:strike w:val="0"/>
              </w:rPr>
              <w:t xml:space="preserve"> that commencement rather than adding separate delay provisions. Removed every statement that preventing it is impossible or unreachable</w:t>
            </w:r>
          </w:p>
        </w:tc>
        <w:tc>
          <w:tcPr>
            <w:tcW w:type="dxa" w:w="2880"/>
          </w:tcPr>
          <w:p>
            <w:r>
              <w:rPr>
                <w:b w:val="0"/>
                <w:i w:val="0"/>
                <w:strike w:val="0"/>
              </w:rPr>
              <w:t>README, bill notes 4 and 7(b), memo Part 6, both briefs, fiscal memo § 4, internal review F-02 disposition</w:t>
            </w:r>
          </w:p>
        </w:tc>
      </w:tr>
      <w:tr>
        <w:tc>
          <w:tcPr>
            <w:tcW w:type="dxa" w:w="2880"/>
          </w:tcPr>
          <w:p>
            <w:r>
              <w:rPr>
                <w:b w:val="0"/>
                <w:i w:val="0"/>
                <w:strike w:val="0"/>
              </w:rPr>
              <w:t>4</w:t>
            </w:r>
          </w:p>
        </w:tc>
        <w:tc>
          <w:tcPr>
            <w:tcW w:type="dxa" w:w="2880"/>
          </w:tcPr>
          <w:p>
            <w:r>
              <w:rPr>
                <w:b/>
                <w:i w:val="0"/>
                <w:strike w:val="0"/>
              </w:rPr>
              <w:t>"Every policy question is settled"</w:t>
            </w:r>
            <w:r>
              <w:rPr>
                <w:b w:val="0"/>
                <w:i w:val="0"/>
                <w:strike w:val="0"/>
              </w:rPr>
              <w:t xml:space="preserve"> → </w:t>
            </w:r>
            <w:r>
              <w:rPr>
                <w:b/>
                <w:i w:val="0"/>
                <w:strike w:val="0"/>
              </w:rPr>
              <w:t>"All principal policy questions are settled,"</w:t>
            </w:r>
            <w:r>
              <w:rPr>
                <w:b w:val="0"/>
                <w:i w:val="0"/>
                <w:strike w:val="0"/>
              </w:rPr>
              <w:t xml:space="preserve"> with the </w:t>
            </w:r>
            <w:r>
              <w:rPr>
                <w:b/>
                <w:i w:val="0"/>
                <w:strike w:val="0"/>
              </w:rPr>
              <w:t>approved-leave / long-term-disability</w:t>
            </w:r>
            <w:r>
              <w:rPr>
                <w:b w:val="0"/>
                <w:i w:val="0"/>
                <w:strike w:val="0"/>
              </w:rPr>
              <w:t xml:space="preserve"> question flagged as the one narrow item still open</w:t>
            </w:r>
          </w:p>
        </w:tc>
        <w:tc>
          <w:tcPr>
            <w:tcW w:type="dxa" w:w="2880"/>
          </w:tcPr>
          <w:p>
            <w:r>
              <w:rPr>
                <w:b w:val="0"/>
                <w:i w:val="0"/>
                <w:strike w:val="0"/>
              </w:rPr>
              <w:t>README, two-page brief, bill note 10, memo Part 6</w:t>
            </w:r>
          </w:p>
        </w:tc>
      </w:tr>
      <w:tr>
        <w:tc>
          <w:tcPr>
            <w:tcW w:type="dxa" w:w="2880"/>
          </w:tcPr>
          <w:p>
            <w:r>
              <w:rPr>
                <w:b w:val="0"/>
                <w:i w:val="0"/>
                <w:strike w:val="0"/>
              </w:rPr>
              <w:t>5</w:t>
            </w:r>
          </w:p>
        </w:tc>
        <w:tc>
          <w:tcPr>
            <w:tcW w:type="dxa" w:w="2880"/>
          </w:tcPr>
          <w:p>
            <w:r>
              <w:rPr>
                <w:b w:val="0"/>
                <w:i w:val="0"/>
                <w:strike w:val="0"/>
              </w:rPr>
              <w:t>The one-page brief's pre-patron checklist rebuilt as five required items: fiscal model re-run against version 1.2; outstanding source verifications; federal tax review by veterans' legal counsel; approved-leave/LTD question resolved or expressly deferred; VRS § 30-19.1:7 statement at the appropriate stage</w:t>
            </w:r>
          </w:p>
        </w:tc>
        <w:tc>
          <w:tcPr>
            <w:tcW w:type="dxa" w:w="2880"/>
          </w:tcPr>
          <w:p>
            <w:r>
              <w:rPr>
                <w:b w:val="0"/>
                <w:i w:val="0"/>
                <w:strike w:val="0"/>
              </w:rPr>
              <w:t>One-page brief</w:t>
            </w:r>
          </w:p>
        </w:tc>
      </w:tr>
      <w:tr>
        <w:tc>
          <w:tcPr>
            <w:tcW w:type="dxa" w:w="2880"/>
          </w:tcPr>
          <w:p>
            <w:r>
              <w:rPr>
                <w:b w:val="0"/>
                <w:i w:val="0"/>
                <w:strike w:val="0"/>
              </w:rPr>
              <w:t>6</w:t>
            </w:r>
          </w:p>
        </w:tc>
        <w:tc>
          <w:tcPr>
            <w:tcW w:type="dxa" w:w="2880"/>
          </w:tcPr>
          <w:p>
            <w:r>
              <w:rPr>
                <w:b w:val="0"/>
                <w:i w:val="0"/>
                <w:strike w:val="0"/>
              </w:rPr>
              <w:t xml:space="preserve">Fiscal model status is no longer "Complete." It reads </w:t>
            </w:r>
            <w:r>
              <w:rPr>
                <w:b/>
                <w:i w:val="0"/>
                <w:strike w:val="0"/>
              </w:rPr>
              <w:t>"Complete for version 1.1; refresh against the bill as introduced required before external use"</w:t>
            </w:r>
          </w:p>
        </w:tc>
        <w:tc>
          <w:tcPr>
            <w:tcW w:type="dxa" w:w="2880"/>
          </w:tcPr>
          <w:p>
            <w:r>
              <w:rPr>
                <w:b w:val="0"/>
                <w:i w:val="0"/>
                <w:strike w:val="0"/>
              </w:rPr>
              <w:t>README index, two-page brief, fiscal memo, memo Part 6</w:t>
            </w:r>
          </w:p>
        </w:tc>
      </w:tr>
      <w:tr>
        <w:tc>
          <w:tcPr>
            <w:tcW w:type="dxa" w:w="2880"/>
          </w:tcPr>
          <w:p>
            <w:r>
              <w:rPr>
                <w:b w:val="0"/>
                <w:i w:val="0"/>
                <w:strike w:val="0"/>
              </w:rPr>
              <w:t>7</w:t>
            </w:r>
          </w:p>
        </w:tc>
        <w:tc>
          <w:tcPr>
            <w:tcW w:type="dxa" w:w="2880"/>
          </w:tcPr>
          <w:p>
            <w:r>
              <w:rPr>
                <w:b w:val="0"/>
                <w:i w:val="0"/>
                <w:strike w:val="0"/>
              </w:rPr>
              <w:t xml:space="preserve">Every public use of </w:t>
            </w:r>
            <w:r>
              <w:rPr>
                <w:b/>
                <w:i w:val="0"/>
                <w:strike w:val="0"/>
              </w:rPr>
              <w:t>0.19 bp</w:t>
            </w:r>
            <w:r>
              <w:rPr>
                <w:b w:val="0"/>
                <w:i w:val="0"/>
                <w:strike w:val="0"/>
              </w:rPr>
              <w:t xml:space="preserve"> now states that it is the </w:t>
            </w:r>
            <w:r>
              <w:rPr>
                <w:b/>
                <w:i w:val="0"/>
                <w:strike w:val="0"/>
              </w:rPr>
              <w:t>modeled retirement-plan employer contribution impact and excludes separately funded HIC and COLA effects, including unquantified COLA exposure</w:t>
            </w:r>
          </w:p>
        </w:tc>
        <w:tc>
          <w:tcPr>
            <w:tcW w:type="dxa" w:w="2880"/>
          </w:tcPr>
          <w:p>
            <w:r>
              <w:rPr>
                <w:b w:val="0"/>
                <w:i w:val="0"/>
                <w:strike w:val="0"/>
              </w:rPr>
              <w:t>README, both briefs, bill note 7(c), memo Part 5.1, fiscal memo §§ 1 and 13</w:t>
            </w:r>
          </w:p>
        </w:tc>
      </w:tr>
      <w:tr>
        <w:tc>
          <w:tcPr>
            <w:tcW w:type="dxa" w:w="2880"/>
          </w:tcPr>
          <w:p>
            <w:r>
              <w:rPr>
                <w:b w:val="0"/>
                <w:i w:val="0"/>
                <w:strike w:val="0"/>
              </w:rPr>
              <w:t>8</w:t>
            </w:r>
          </w:p>
        </w:tc>
        <w:tc>
          <w:tcPr>
            <w:tcW w:type="dxa" w:w="2880"/>
          </w:tcPr>
          <w:p>
            <w:r>
              <w:rPr>
                <w:b/>
                <w:i w:val="0"/>
                <w:strike w:val="0"/>
              </w:rPr>
              <w:t>B-4 cutoff standardized.</w:t>
            </w:r>
            <w:r>
              <w:rPr>
                <w:b w:val="0"/>
                <w:i w:val="0"/>
                <w:strike w:val="0"/>
              </w:rPr>
              <w:t xml:space="preserve"> No document now says merely "first hired after January 1, 2014." All use the § 51.1-169 A membership test — </w:t>
            </w:r>
            <w:r>
              <w:rPr>
                <w:b/>
                <w:i w:val="0"/>
                <w:strike w:val="0"/>
              </w:rPr>
              <w:t>first entered the VRS-administered retirement system on or after the January 1, 2014 Hybrid transition</w:t>
            </w:r>
            <w:r>
              <w:rPr>
                <w:b w:val="0"/>
                <w:i w:val="0"/>
                <w:strike w:val="0"/>
              </w:rPr>
              <w:t xml:space="preserve"> — and note that a pre-2014 member rehired later remains potentially eligible</w:t>
            </w:r>
          </w:p>
        </w:tc>
        <w:tc>
          <w:tcPr>
            <w:tcW w:type="dxa" w:w="2880"/>
          </w:tcPr>
          <w:p>
            <w:r>
              <w:rPr>
                <w:b w:val="0"/>
                <w:i w:val="0"/>
                <w:strike w:val="0"/>
              </w:rPr>
              <w:t>All documents referring to clause B 1(iv)</w:t>
            </w:r>
          </w:p>
        </w:tc>
      </w:tr>
      <w:tr>
        <w:tc>
          <w:tcPr>
            <w:tcW w:type="dxa" w:w="2880"/>
          </w:tcPr>
          <w:p>
            <w:r>
              <w:rPr>
                <w:b w:val="0"/>
                <w:i w:val="0"/>
                <w:strike w:val="0"/>
              </w:rPr>
              <w:t>9</w:t>
            </w:r>
          </w:p>
        </w:tc>
        <w:tc>
          <w:tcPr>
            <w:tcW w:type="dxa" w:w="2880"/>
          </w:tcPr>
          <w:p>
            <w:r>
              <w:rPr>
                <w:b/>
                <w:i w:val="0"/>
                <w:strike w:val="0"/>
              </w:rPr>
              <w:t>12.50% / 10.74%</w:t>
            </w:r>
            <w:r>
              <w:rPr>
                <w:b w:val="0"/>
                <w:i w:val="0"/>
                <w:strike w:val="0"/>
              </w:rPr>
              <w:t xml:space="preserve"> qualified as rates for </w:t>
            </w:r>
            <w:r>
              <w:rPr>
                <w:b/>
                <w:i w:val="0"/>
                <w:strike w:val="0"/>
              </w:rPr>
              <w:t>ordinary non-hazardous members</w:t>
            </w:r>
            <w:r>
              <w:rPr>
                <w:b w:val="0"/>
                <w:i w:val="0"/>
                <w:strike w:val="0"/>
              </w:rPr>
              <w:t xml:space="preserve">, with the rate for eligible pre-2014 B 4 public-safety members stated to </w:t>
            </w:r>
            <w:r>
              <w:rPr>
                <w:b/>
                <w:i w:val="0"/>
                <w:strike w:val="0"/>
              </w:rPr>
              <w:t>require VRS confirmation</w:t>
            </w:r>
          </w:p>
        </w:tc>
        <w:tc>
          <w:tcPr>
            <w:tcW w:type="dxa" w:w="2880"/>
          </w:tcPr>
          <w:p>
            <w:r>
              <w:rPr>
                <w:b w:val="0"/>
                <w:i w:val="0"/>
                <w:strike w:val="0"/>
              </w:rPr>
              <w:t>README, both briefs, memo Parts 1.1 and 5.1, fiscal memo</w:t>
            </w:r>
          </w:p>
        </w:tc>
      </w:tr>
      <w:tr>
        <w:tc>
          <w:tcPr>
            <w:tcW w:type="dxa" w:w="2880"/>
          </w:tcPr>
          <w:p>
            <w:r>
              <w:rPr>
                <w:b w:val="0"/>
                <w:i w:val="0"/>
                <w:strike w:val="0"/>
              </w:rPr>
              <w:t>10</w:t>
            </w:r>
          </w:p>
        </w:tc>
        <w:tc>
          <w:tcPr>
            <w:tcW w:type="dxa" w:w="2880"/>
          </w:tcPr>
          <w:p>
            <w:r>
              <w:rPr>
                <w:b/>
                <w:i w:val="0"/>
                <w:strike w:val="0"/>
              </w:rPr>
              <w:t>Reserve/Guard language narrowed.</w:t>
            </w:r>
            <w:r>
              <w:rPr>
                <w:b w:val="0"/>
                <w:i w:val="0"/>
                <w:strike w:val="0"/>
              </w:rPr>
              <w:t xml:space="preserve"> No document asserts that all Reserve and Guard service is protected. Federal law protects qualifying service associated with </w:t>
            </w:r>
            <w:r>
              <w:rPr>
                <w:b/>
                <w:i w:val="0"/>
                <w:strike w:val="0"/>
              </w:rPr>
              <w:t>non-regular Reserve-component retired pay under 10 U.S.C. chapter 1223</w:t>
            </w:r>
            <w:r>
              <w:rPr>
                <w:b w:val="0"/>
                <w:i w:val="0"/>
                <w:strike w:val="0"/>
              </w:rPr>
              <w:t xml:space="preserve">, with </w:t>
            </w:r>
            <w:r>
              <w:rPr>
                <w:b/>
                <w:i w:val="0"/>
                <w:strike w:val="0"/>
              </w:rPr>
              <w:t>§ 12736 established not to preempt this bill</w:t>
            </w:r>
            <w:r>
              <w:rPr>
                <w:b w:val="0"/>
                <w:i w:val="0"/>
                <w:strike w:val="0"/>
              </w:rPr>
              <w:t xml:space="preserve"> (version 1.4: it reaches only service a plan "otherwise properly credits," and Virginia credits this service only on purchase)</w:t>
            </w:r>
          </w:p>
        </w:tc>
        <w:tc>
          <w:tcPr>
            <w:tcW w:type="dxa" w:w="2880"/>
          </w:tcPr>
          <w:p>
            <w:r>
              <w:rPr>
                <w:b w:val="0"/>
                <w:i w:val="0"/>
                <w:strike w:val="0"/>
              </w:rPr>
              <w:t>Both briefs, memo Parts 5.2 and 5.3, bill note 8</w:t>
            </w:r>
          </w:p>
        </w:tc>
      </w:tr>
      <w:tr>
        <w:tc>
          <w:tcPr>
            <w:tcW w:type="dxa" w:w="2880"/>
          </w:tcPr>
          <w:p>
            <w:r>
              <w:rPr>
                <w:b w:val="0"/>
                <w:i w:val="0"/>
                <w:strike w:val="0"/>
              </w:rPr>
              <w:t>11</w:t>
            </w:r>
          </w:p>
        </w:tc>
        <w:tc>
          <w:tcPr>
            <w:tcW w:type="dxa" w:w="2880"/>
          </w:tcPr>
          <w:p>
            <w:r>
              <w:rPr>
                <w:b w:val="0"/>
                <w:i w:val="0"/>
                <w:strike w:val="0"/>
              </w:rPr>
              <w:t>Attorney-authorship implications removed; the package attribution is retained verbatim on every document</w:t>
            </w:r>
          </w:p>
        </w:tc>
        <w:tc>
          <w:tcPr>
            <w:tcW w:type="dxa" w:w="2880"/>
          </w:tcPr>
          <w:p>
            <w:r>
              <w:rPr>
                <w:b w:val="0"/>
                <w:i w:val="0"/>
                <w:strike w:val="0"/>
              </w:rPr>
              <w:t>All nine documents</w:t>
            </w:r>
          </w:p>
        </w:tc>
      </w:tr>
      <w:tr>
        <w:tc>
          <w:tcPr>
            <w:tcW w:type="dxa" w:w="2880"/>
          </w:tcPr>
          <w:p>
            <w:r>
              <w:rPr>
                <w:b w:val="0"/>
                <w:i w:val="0"/>
                <w:strike w:val="0"/>
              </w:rPr>
              <w:t>12</w:t>
            </w:r>
          </w:p>
        </w:tc>
        <w:tc>
          <w:tcPr>
            <w:tcW w:type="dxa" w:w="2880"/>
          </w:tcPr>
          <w:p>
            <w:r>
              <w:rPr>
                <w:b w:val="0"/>
                <w:i w:val="0"/>
                <w:strike w:val="0"/>
              </w:rPr>
              <w:t>Advocacy phrasing replaced with analytical phrasing. The "new hire in their twenties, who has neither the money nor a reason to care" formulation is gone; the point is now that the low-cost window falls early in a career, when disposable income is typically lower and retirement eligibility is remote</w:t>
            </w:r>
          </w:p>
        </w:tc>
        <w:tc>
          <w:tcPr>
            <w:tcW w:type="dxa" w:w="2880"/>
          </w:tcPr>
          <w:p>
            <w:r>
              <w:rPr>
                <w:b w:val="0"/>
                <w:i w:val="0"/>
                <w:strike w:val="0"/>
              </w:rPr>
              <w:t>Both briefs</w:t>
            </w:r>
          </w:p>
        </w:tc>
      </w:tr>
      <w:tr>
        <w:tc>
          <w:tcPr>
            <w:tcW w:type="dxa" w:w="2880"/>
          </w:tcPr>
          <w:p>
            <w:r>
              <w:rPr>
                <w:b w:val="0"/>
                <w:i w:val="0"/>
                <w:strike w:val="0"/>
              </w:rPr>
              <w:t>13</w:t>
            </w:r>
          </w:p>
        </w:tc>
        <w:tc>
          <w:tcPr>
            <w:tcW w:type="dxa" w:w="2880"/>
          </w:tcPr>
          <w:p>
            <w:r>
              <w:rPr>
                <w:b/>
                <w:i w:val="0"/>
                <w:strike w:val="0"/>
              </w:rPr>
              <w:t>$341,065</w:t>
            </w:r>
            <w:r>
              <w:rPr>
                <w:b w:val="0"/>
                <w:i w:val="0"/>
                <w:strike w:val="0"/>
              </w:rPr>
              <w:t xml:space="preserve"> identified as the </w:t>
            </w:r>
            <w:r>
              <w:rPr>
                <w:b/>
                <w:i w:val="0"/>
                <w:strike w:val="0"/>
              </w:rPr>
              <w:t>modeled net value above the member purchase price in the single most favorable published profile</w:t>
            </w:r>
            <w:r>
              <w:rPr>
                <w:b w:val="0"/>
                <w:i w:val="0"/>
                <w:strike w:val="0"/>
              </w:rPr>
              <w:t xml:space="preserve"> — not a cost per veteran. The model's finding that members who would otherwise work to unreduced eligibility </w:t>
            </w:r>
            <w:r>
              <w:rPr>
                <w:b/>
                <w:i w:val="0"/>
                <w:strike w:val="0"/>
              </w:rPr>
              <w:t>overpay</w:t>
            </w:r>
            <w:r>
              <w:rPr>
                <w:b w:val="0"/>
                <w:i w:val="0"/>
                <w:strike w:val="0"/>
              </w:rPr>
              <w:t xml:space="preserve"> in the modeled WTE scenarios is carried alongside it everywhere the figure appears</w:t>
            </w:r>
          </w:p>
        </w:tc>
        <w:tc>
          <w:tcPr>
            <w:tcW w:type="dxa" w:w="2880"/>
          </w:tcPr>
          <w:p>
            <w:r>
              <w:rPr>
                <w:b w:val="0"/>
                <w:i w:val="0"/>
                <w:strike w:val="0"/>
              </w:rPr>
              <w:t>README, both briefs, bill note 7(c), memo Part 5.1, fiscal memo</w:t>
            </w:r>
          </w:p>
        </w:tc>
      </w:tr>
      <w:tr>
        <w:tc>
          <w:tcPr>
            <w:tcW w:type="dxa" w:w="2880"/>
          </w:tcPr>
          <w:p>
            <w:r>
              <w:rPr>
                <w:b w:val="0"/>
                <w:i w:val="0"/>
                <w:strike w:val="0"/>
              </w:rPr>
              <w:t>14</w:t>
            </w:r>
          </w:p>
        </w:tc>
        <w:tc>
          <w:tcPr>
            <w:tcW w:type="dxa" w:w="2880"/>
          </w:tcPr>
          <w:p>
            <w:r>
              <w:rPr>
                <w:b w:val="0"/>
                <w:i w:val="0"/>
                <w:strike w:val="0"/>
              </w:rPr>
              <w:t xml:space="preserve">Cross-document sweep: version numbers and dates; </w:t>
            </w:r>
            <w:r>
              <w:rPr>
                <w:b/>
                <w:i w:val="0"/>
                <w:strike w:val="0"/>
              </w:rPr>
              <w:t>six conforming amendments across five sections</w:t>
            </w:r>
            <w:r>
              <w:rPr>
                <w:b w:val="0"/>
                <w:i w:val="0"/>
                <w:strike w:val="0"/>
              </w:rPr>
              <w:t>; HIC/COLA treatment; deferred-retirement treatment; B-4 treatment; retired-pay bar; PLOP; fiscal figures and their exclusions; and the status of every open counsel/VRS item</w:t>
            </w:r>
          </w:p>
        </w:tc>
        <w:tc>
          <w:tcPr>
            <w:tcW w:type="dxa" w:w="2880"/>
          </w:tcPr>
          <w:p>
            <w:r>
              <w:rPr>
                <w:b w:val="0"/>
                <w:i w:val="0"/>
                <w:strike w:val="0"/>
              </w:rPr>
              <w:t>All nine documents</w:t>
            </w:r>
          </w:p>
        </w:tc>
      </w:tr>
    </w:tbl>
    <w:p/>
    <w:p>
      <w:r>
        <w:rPr>
          <w:b/>
          <w:i w:val="0"/>
          <w:strike w:val="0"/>
        </w:rPr>
        <w:t>Both briefs still fit their stated lengths</w:t>
      </w:r>
      <w:r>
        <w:rPr>
          <w:b w:val="0"/>
          <w:i w:val="0"/>
          <w:strike w:val="0"/>
        </w:rPr>
        <w:t xml:space="preserve"> after these additions, measured with </w:t>
      </w:r>
      <w:r>
        <w:rPr>
          <w:rFonts w:ascii="Consolas" w:hAnsi="Consolas"/>
          <w:b w:val="0"/>
          <w:i w:val="0"/>
          <w:strike w:val="0"/>
          <w:color w:val="303030"/>
          <w:sz w:val="19"/>
        </w:rPr>
        <w:t>source-markdown/pagecheck.py</w:t>
      </w:r>
      <w:r>
        <w:rPr>
          <w:b w:val="0"/>
          <w:i w:val="0"/>
          <w:strike w:val="0"/>
        </w:rPr>
        <w:t xml:space="preserve"> against the compact brief layout: one-pager </w:t>
      </w:r>
      <w:r>
        <w:rPr>
          <w:b/>
          <w:i w:val="0"/>
          <w:strike w:val="0"/>
        </w:rPr>
        <w:t>0.94 page</w:t>
      </w:r>
      <w:r>
        <w:rPr>
          <w:b w:val="0"/>
          <w:i w:val="0"/>
          <w:strike w:val="0"/>
        </w:rPr>
        <w:t xml:space="preserve">, two-pager </w:t>
      </w:r>
      <w:r>
        <w:rPr>
          <w:b/>
          <w:i w:val="0"/>
          <w:strike w:val="0"/>
        </w:rPr>
        <w:t>1.85 pages</w:t>
      </w:r>
      <w:r>
        <w:rPr>
          <w:b w:val="0"/>
          <w:i w:val="0"/>
          <w:strike w:val="0"/>
        </w:rPr>
        <w:t>. To hold the page budget, the briefs' section headings were converted to bold run-in headings; no item on the do-not-drop list was removed — the Plan 1 and Plan 2 worked examples, the HIC/COLA correction, the PLOP disclosure, all seven recorded decisions, the three blockers and the subsidy framing are intact.</w:t>
      </w:r>
    </w:p>
    <w:p>
      <w:pPr>
        <w:pStyle w:val="Heading3"/>
      </w:pPr>
      <w:r>
        <w:rPr>
          <w:b w:val="0"/>
          <w:i w:val="0"/>
          <w:strike w:val="0"/>
        </w:rPr>
        <w:t>Still requiring outside confirmation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Item</w:t>
            </w:r>
          </w:p>
        </w:tc>
        <w:tc>
          <w:tcPr>
            <w:tcW w:type="dxa" w:w="2880"/>
          </w:tcPr>
          <w:p>
            <w:r>
              <w:rPr>
                <w:b/>
                <w:i w:val="0"/>
                <w:strike w:val="0"/>
              </w:rPr>
              <w:t>Owner</w:t>
            </w:r>
          </w:p>
        </w:tc>
        <w:tc>
          <w:tcPr>
            <w:tcW w:type="dxa" w:w="2880"/>
          </w:tcPr>
          <w:p>
            <w:r>
              <w:rPr>
                <w:b/>
                <w:i w:val="0"/>
                <w:strike w:val="0"/>
              </w:rPr>
              <w:t>Status</w:t>
            </w:r>
          </w:p>
        </w:tc>
      </w:tr>
      <w:tr>
        <w:tc>
          <w:tcPr>
            <w:tcW w:type="dxa" w:w="2880"/>
          </w:tcPr>
          <w:p>
            <w:r>
              <w:rPr>
                <w:b/>
                <w:i w:val="0"/>
                <w:strike w:val="0"/>
              </w:rPr>
              <w:t>VRS Board impact statement under § 30-19.1:7</w:t>
            </w:r>
            <w:r>
              <w:rPr>
                <w:b w:val="0"/>
                <w:i w:val="0"/>
                <w:strike w:val="0"/>
              </w:rPr>
              <w:t xml:space="preserve"> — mandatory for every VRS bill</w:t>
            </w:r>
          </w:p>
        </w:tc>
        <w:tc>
          <w:tcPr>
            <w:tcW w:type="dxa" w:w="2880"/>
          </w:tcPr>
          <w:p>
            <w:r>
              <w:rPr>
                <w:b w:val="0"/>
                <w:i w:val="0"/>
                <w:strike w:val="0"/>
              </w:rPr>
              <w:t>VRS Board / actuary</w:t>
            </w:r>
          </w:p>
        </w:tc>
        <w:tc>
          <w:tcPr>
            <w:tcW w:type="dxa" w:w="2880"/>
          </w:tcPr>
          <w:p>
            <w:r>
              <w:rPr>
                <w:b/>
                <w:i w:val="0"/>
                <w:strike w:val="0"/>
              </w:rPr>
              <w:t>Not requested.</w:t>
            </w:r>
            <w:r>
              <w:rPr>
                <w:b w:val="0"/>
                <w:i w:val="0"/>
                <w:strike w:val="0"/>
              </w:rPr>
              <w:t xml:space="preserve"> The MOO-259 model is illustrative and is not a substitute</w:t>
            </w:r>
          </w:p>
        </w:tc>
      </w:tr>
      <w:tr>
        <w:tc>
          <w:tcPr>
            <w:tcW w:type="dxa" w:w="2880"/>
          </w:tcPr>
          <w:p>
            <w:r>
              <w:rPr>
                <w:b/>
                <w:i w:val="0"/>
                <w:strike w:val="0"/>
              </w:rPr>
              <w:t>Federal tax</w:t>
            </w:r>
            <w:r>
              <w:rPr>
                <w:b w:val="0"/>
                <w:i w:val="0"/>
                <w:strike w:val="0"/>
              </w:rPr>
              <w:t xml:space="preserve"> — IRC § 415(n)(3)(A) and § 415(c) exposure; loss of 403(b)/457(b) trustee-to-trustee funding; § 414(h)(2) pick-up</w:t>
            </w:r>
          </w:p>
        </w:tc>
        <w:tc>
          <w:tcPr>
            <w:tcW w:type="dxa" w:w="2880"/>
          </w:tcPr>
          <w:p>
            <w:r>
              <w:rPr>
                <w:b w:val="0"/>
                <w:i w:val="0"/>
                <w:strike w:val="0"/>
              </w:rPr>
              <w:t>Veterans' legal counsel</w:t>
            </w:r>
          </w:p>
        </w:tc>
        <w:tc>
          <w:tcPr>
            <w:tcW w:type="dxa" w:w="2880"/>
          </w:tcPr>
          <w:p>
            <w:r>
              <w:rPr>
                <w:b w:val="0"/>
                <w:i w:val="0"/>
                <w:strike w:val="0"/>
              </w:rPr>
              <w:t>Open. Must be met before committee, not in it</w:t>
            </w:r>
          </w:p>
        </w:tc>
      </w:tr>
      <w:tr>
        <w:tc>
          <w:tcPr>
            <w:tcW w:type="dxa" w:w="2880"/>
          </w:tcPr>
          <w:p>
            <w:r>
              <w:rPr>
                <w:b/>
                <w:i w:val="0"/>
                <w:strike w:val="0"/>
              </w:rPr>
              <w:t>10 U.S.C. § 12736</w:t>
            </w:r>
            <w:r>
              <w:rPr>
                <w:b w:val="0"/>
                <w:i w:val="0"/>
                <w:strike w:val="0"/>
              </w:rPr>
              <w:t xml:space="preserve"> application to an eligibility-only credit</w:t>
            </w:r>
          </w:p>
        </w:tc>
        <w:tc>
          <w:tcPr>
            <w:tcW w:type="dxa" w:w="2880"/>
          </w:tcPr>
          <w:p>
            <w:r>
              <w:rPr>
                <w:b w:val="0"/>
                <w:i w:val="0"/>
                <w:strike w:val="0"/>
              </w:rPr>
              <w:t>Veterans' legal counsel</w:t>
            </w:r>
          </w:p>
        </w:tc>
        <w:tc>
          <w:tcPr>
            <w:tcW w:type="dxa" w:w="2880"/>
          </w:tcPr>
          <w:p>
            <w:r>
              <w:rPr>
                <w:b w:val="0"/>
                <w:i w:val="0"/>
                <w:strike w:val="0"/>
              </w:rPr>
              <w:t xml:space="preserve">Open. The bill's entire subject is </w:t>
            </w:r>
            <w:r>
              <w:rPr>
                <w:b w:val="0"/>
                <w:i/>
                <w:strike w:val="0"/>
              </w:rPr>
              <w:t>eligibility</w:t>
            </w:r>
            <w:r>
              <w:rPr>
                <w:b w:val="0"/>
                <w:i w:val="0"/>
                <w:strike w:val="0"/>
              </w:rPr>
              <w:t>, which is § 12736's operative word</w:t>
            </w:r>
          </w:p>
        </w:tc>
      </w:tr>
      <w:tr>
        <w:tc>
          <w:tcPr>
            <w:tcW w:type="dxa" w:w="2880"/>
          </w:tcPr>
          <w:p>
            <w:r>
              <w:rPr>
                <w:b/>
                <w:i w:val="0"/>
                <w:strike w:val="0"/>
              </w:rPr>
              <w:t>Approximate normal cost rate for eligible pre-2014 § 51.1-153 B 4 public-safety members</w:t>
            </w:r>
          </w:p>
        </w:tc>
        <w:tc>
          <w:tcPr>
            <w:tcW w:type="dxa" w:w="2880"/>
          </w:tcPr>
          <w:p>
            <w:r>
              <w:rPr>
                <w:b w:val="0"/>
                <w:i w:val="0"/>
                <w:strike w:val="0"/>
              </w:rPr>
              <w:t>VRS</w:t>
            </w:r>
          </w:p>
        </w:tc>
        <w:tc>
          <w:tcPr>
            <w:tcW w:type="dxa" w:w="2880"/>
          </w:tcPr>
          <w:p>
            <w:r>
              <w:rPr>
                <w:b w:val="0"/>
                <w:i w:val="0"/>
                <w:strike w:val="0"/>
              </w:rPr>
              <w:t>Open. The non-hazardous 12.50% / 10.74% rates do not apply to them</w:t>
            </w:r>
          </w:p>
        </w:tc>
      </w:tr>
      <w:tr>
        <w:tc>
          <w:tcPr>
            <w:tcW w:type="dxa" w:w="2880"/>
          </w:tcPr>
          <w:p>
            <w:r>
              <w:rPr>
                <w:b/>
                <w:i w:val="0"/>
                <w:strike w:val="0"/>
              </w:rPr>
              <w:t>Fiscal model re-run against version 1.2</w:t>
            </w:r>
          </w:p>
        </w:tc>
        <w:tc>
          <w:tcPr>
            <w:tcW w:type="dxa" w:w="2880"/>
          </w:tcPr>
          <w:p>
            <w:r>
              <w:rPr>
                <w:b w:val="0"/>
                <w:i w:val="0"/>
                <w:strike w:val="0"/>
              </w:rPr>
              <w:t>Policy-development team / VRS actuary</w:t>
            </w:r>
          </w:p>
        </w:tc>
        <w:tc>
          <w:tcPr>
            <w:tcW w:type="dxa" w:w="2880"/>
          </w:tcPr>
          <w:p>
            <w:r>
              <w:rPr>
                <w:b w:val="0"/>
                <w:i w:val="0"/>
                <w:strike w:val="0"/>
              </w:rPr>
              <w:t>Open. Both October 20 decisions move the model downward</w:t>
            </w:r>
          </w:p>
        </w:tc>
      </w:tr>
      <w:tr>
        <w:tc>
          <w:tcPr>
            <w:tcW w:type="dxa" w:w="2880"/>
          </w:tcPr>
          <w:p>
            <w:r>
              <w:rPr>
                <w:b/>
                <w:i w:val="0"/>
                <w:strike w:val="0"/>
              </w:rPr>
              <w:t>Approved-leave / long-term-disability treatment under subdivision E 3</w:t>
            </w:r>
          </w:p>
        </w:tc>
        <w:tc>
          <w:tcPr>
            <w:tcW w:type="dxa" w:w="2880"/>
          </w:tcPr>
          <w:p>
            <w:r>
              <w:rPr>
                <w:b w:val="0"/>
                <w:i w:val="0"/>
                <w:strike w:val="0"/>
              </w:rPr>
              <w:t>JLCVSO</w:t>
            </w:r>
          </w:p>
        </w:tc>
        <w:tc>
          <w:tcPr>
            <w:tcW w:type="dxa" w:w="2880"/>
          </w:tcPr>
          <w:p>
            <w:r>
              <w:rPr>
                <w:b w:val="0"/>
                <w:i w:val="0"/>
                <w:strike w:val="0"/>
              </w:rPr>
              <w:t>Open — the one narrow policy question left. Resolve or expressly defer</w:t>
            </w:r>
          </w:p>
        </w:tc>
      </w:tr>
      <w:tr>
        <w:tc>
          <w:tcPr>
            <w:tcW w:type="dxa" w:w="2880"/>
          </w:tcPr>
          <w:p>
            <w:r>
              <w:rPr>
                <w:b/>
                <w:i w:val="0"/>
                <w:strike w:val="0"/>
              </w:rPr>
              <w:t>COLA commencement exposure</w:t>
            </w:r>
          </w:p>
        </w:tc>
        <w:tc>
          <w:tcPr>
            <w:tcW w:type="dxa" w:w="2880"/>
          </w:tcPr>
          <w:p>
            <w:r>
              <w:rPr>
                <w:b w:val="0"/>
                <w:i w:val="0"/>
                <w:strike w:val="0"/>
              </w:rPr>
              <w:t>VRS actuary</w:t>
            </w:r>
          </w:p>
        </w:tc>
        <w:tc>
          <w:tcPr>
            <w:tcW w:type="dxa" w:w="2880"/>
          </w:tcPr>
          <w:p>
            <w:r>
              <w:rPr>
                <w:b/>
                <w:i w:val="0"/>
                <w:strike w:val="0"/>
              </w:rPr>
              <w:t>Unquantified.</w:t>
            </w:r>
            <w:r>
              <w:rPr>
                <w:b w:val="0"/>
                <w:i w:val="0"/>
                <w:strike w:val="0"/>
              </w:rPr>
              <w:t xml:space="preserve"> No figure in the package covers it</w:t>
            </w:r>
          </w:p>
        </w:tc>
      </w:tr>
      <w:tr>
        <w:tc>
          <w:tcPr>
            <w:tcW w:type="dxa" w:w="2880"/>
          </w:tcPr>
          <w:p>
            <w:r>
              <w:rPr>
                <w:b/>
                <w:i w:val="0"/>
                <w:strike w:val="0"/>
              </w:rPr>
              <w:t>Enactment clauses of 2026 c. 563</w:t>
            </w:r>
            <w:r>
              <w:rPr>
                <w:b w:val="0"/>
                <w:i w:val="0"/>
                <w:strike w:val="0"/>
              </w:rPr>
              <w:t xml:space="preserve">; </w:t>
            </w:r>
            <w:r>
              <w:rPr>
                <w:b/>
                <w:i w:val="0"/>
                <w:strike w:val="0"/>
              </w:rPr>
              <w:t>LIS full-text search</w:t>
            </w:r>
            <w:r>
              <w:rPr>
                <w:b w:val="0"/>
                <w:i w:val="0"/>
                <w:strike w:val="0"/>
              </w:rPr>
              <w:t xml:space="preserve"> for a comparable bill</w:t>
            </w:r>
          </w:p>
        </w:tc>
        <w:tc>
          <w:tcPr>
            <w:tcW w:type="dxa" w:w="2880"/>
          </w:tcPr>
          <w:p>
            <w:r>
              <w:rPr>
                <w:b w:val="0"/>
                <w:i w:val="0"/>
                <w:strike w:val="0"/>
              </w:rPr>
              <w:t>Policy-development team</w:t>
            </w:r>
          </w:p>
        </w:tc>
        <w:tc>
          <w:tcPr>
            <w:tcW w:type="dxa" w:w="2880"/>
          </w:tcPr>
          <w:p>
            <w:r>
              <w:rPr>
                <w:b w:val="0"/>
                <w:i w:val="0"/>
                <w:strike w:val="0"/>
              </w:rPr>
              <w:t>Open, and cheap to close</w:t>
            </w:r>
          </w:p>
        </w:tc>
      </w:tr>
      <w:tr>
        <w:tc>
          <w:tcPr>
            <w:tcW w:type="dxa" w:w="2880"/>
          </w:tcPr>
          <w:p>
            <w:r>
              <w:rPr>
                <w:b/>
                <w:i w:val="0"/>
                <w:strike w:val="0"/>
              </w:rPr>
              <w:t>Independent read of the package</w:t>
            </w:r>
          </w:p>
        </w:tc>
        <w:tc>
          <w:tcPr>
            <w:tcW w:type="dxa" w:w="2880"/>
          </w:tcPr>
          <w:p>
            <w:r>
              <w:rPr>
                <w:b w:val="0"/>
                <w:i w:val="0"/>
                <w:strike w:val="0"/>
              </w:rPr>
              <w:t>Independent reviewer / veterans' legal counsel</w:t>
            </w:r>
          </w:p>
        </w:tc>
        <w:tc>
          <w:tcPr>
            <w:tcW w:type="dxa" w:w="2880"/>
          </w:tcPr>
          <w:p>
            <w:r>
              <w:rPr>
                <w:b w:val="0"/>
                <w:i w:val="0"/>
                <w:strike w:val="0"/>
              </w:rPr>
              <w:t>Open. MOO-260 was internal, not independent</w:t>
            </w:r>
          </w:p>
        </w:tc>
      </w:tr>
      <w:tr>
        <w:tc>
          <w:tcPr>
            <w:tcW w:type="dxa" w:w="2880"/>
          </w:tcPr>
          <w:p>
            <w:r>
              <w:rPr>
                <w:b/>
                <w:i w:val="0"/>
                <w:strike w:val="0"/>
              </w:rPr>
              <w:t>Conversion to DLS drafting convention</w:t>
            </w:r>
            <w:r>
              <w:rPr>
                <w:b w:val="0"/>
                <w:i w:val="0"/>
                <w:strike w:val="0"/>
              </w:rPr>
              <w:t xml:space="preserve"> (underscore/strikethrough)</w:t>
            </w:r>
          </w:p>
        </w:tc>
        <w:tc>
          <w:tcPr>
            <w:tcW w:type="dxa" w:w="2880"/>
          </w:tcPr>
          <w:p>
            <w:r>
              <w:rPr>
                <w:b w:val="0"/>
                <w:i w:val="0"/>
                <w:strike w:val="0"/>
              </w:rPr>
              <w:t>Division of Legislative Services</w:t>
            </w:r>
          </w:p>
        </w:tc>
        <w:tc>
          <w:tcPr>
            <w:tcW w:type="dxa" w:w="2880"/>
          </w:tcPr>
          <w:p>
            <w:r>
              <w:rPr>
                <w:b w:val="0"/>
                <w:i w:val="0"/>
                <w:strike w:val="0"/>
              </w:rPr>
              <w:t>Expected at introduction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