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Two-page brief for the Joint Leadership Council of Veterans Service Organizations</w:t>
      </w:r>
    </w:p>
    <w:p>
      <w:r>
        <w:rPr>
          <w:b/>
          <w:i w:val="0"/>
          <w:strike w:val="0"/>
        </w:rPr>
        <w:t>Prepared by:</w:t>
      </w:r>
      <w:r>
        <w:rPr>
          <w:b w:val="0"/>
          <w:i w:val="0"/>
          <w:strike w:val="0"/>
        </w:rPr>
        <w:t xml:space="preserve"> VRS2 — Virginia Public Pension Benefits Attorney | </w:t>
      </w:r>
      <w:r>
        <w:rPr>
          <w:b/>
          <w:i w:val="0"/>
          <w:strike w:val="0"/>
        </w:rPr>
        <w:t>Date:</w:t>
      </w:r>
      <w:r>
        <w:rPr>
          <w:b w:val="0"/>
          <w:i w:val="0"/>
          <w:strike w:val="0"/>
        </w:rPr>
        <w:t xml:space="preserve"> October 19, 2026 </w:t>
      </w:r>
      <w:r>
        <w:rPr>
          <w:b/>
          <w:i w:val="0"/>
          <w:strike w:val="0"/>
        </w:rPr>
        <w:t>Target session:</w:t>
      </w:r>
      <w:r>
        <w:rPr>
          <w:b w:val="0"/>
          <w:i w:val="0"/>
          <w:strike w:val="0"/>
        </w:rPr>
        <w:t xml:space="preserve"> 2027 General Assembly | </w:t>
      </w:r>
      <w:r>
        <w:rPr>
          <w:b/>
          <w:i w:val="0"/>
          <w:strike w:val="0"/>
        </w:rPr>
        <w:t>Code sections involved:</w:t>
      </w:r>
      <w:r>
        <w:rPr>
          <w:b w:val="0"/>
          <w:i w:val="0"/>
          <w:strike w:val="0"/>
        </w:rPr>
        <w:t xml:space="preserve"> §§ 51.1-124.3, 51.1-142.2, 51.1-153, 51.1-155, 51.1-162, 51.1-165.01, 51.1-166 amended; new § 51.1-142.4 </w:t>
      </w:r>
      <w:r>
        <w:rPr>
          <w:b/>
          <w:i w:val="0"/>
          <w:strike w:val="0"/>
        </w:rPr>
        <w:t>Companion materials:</w:t>
      </w:r>
      <w:r>
        <w:rPr>
          <w:b w:val="0"/>
          <w:i w:val="0"/>
          <w:strike w:val="0"/>
        </w:rPr>
        <w:t xml:space="preserve"> draft bill, legal analysis memorandum, source appendix</w:t>
      </w:r>
    </w:p>
    <w:p>
      <w:pPr>
        <w:jc w:val="center"/>
      </w:pPr>
      <w:r>
        <w:rPr>
          <w:color w:val="909090"/>
          <w:sz w:val="18"/>
        </w:rPr>
        <w:t>* * *</w:t>
      </w:r>
    </w:p>
    <w:p>
      <w:pPr>
        <w:pStyle w:val="Heading2"/>
      </w:pPr>
      <w:r>
        <w:rPr>
          <w:b w:val="0"/>
          <w:i w:val="0"/>
          <w:strike w:val="0"/>
        </w:rPr>
        <w:t>1. The problem</w:t>
      </w:r>
    </w:p>
    <w:p>
      <w:r>
        <w:rPr>
          <w:b w:val="0"/>
          <w:i w:val="0"/>
          <w:strike w:val="0"/>
        </w:rPr>
        <w:t xml:space="preserve">Virginia already lets public employees buy up to </w:t>
      </w:r>
      <w:r>
        <w:rPr>
          <w:b/>
          <w:i w:val="0"/>
          <w:strike w:val="0"/>
        </w:rPr>
        <w:t>four years</w:t>
      </w:r>
      <w:r>
        <w:rPr>
          <w:b w:val="0"/>
          <w:i w:val="0"/>
          <w:strike w:val="0"/>
        </w:rPr>
        <w:t xml:space="preserve"> of prior active duty military service toward their VRS retirement. The right is real, it is generous on paper, and it is almost unusable by the people who need it most — because of </w:t>
      </w:r>
      <w:r>
        <w:rPr>
          <w:b/>
          <w:i w:val="0"/>
          <w:strike w:val="0"/>
        </w:rPr>
        <w:t>when</w:t>
      </w:r>
      <w:r>
        <w:rPr>
          <w:b w:val="0"/>
          <w:i w:val="0"/>
          <w:strike w:val="0"/>
        </w:rPr>
        <w:t xml:space="preserve"> it is priced.</w:t>
      </w:r>
    </w:p>
    <w:p>
      <w:r>
        <w:rPr>
          <w:b w:val="0"/>
          <w:i w:val="0"/>
          <w:strike w:val="0"/>
        </w:rPr>
        <w:t xml:space="preserve">Under § 51.1-142.2, a member who buys (or signs a purchase contract) within the </w:t>
      </w:r>
      <w:r>
        <w:rPr>
          <w:b/>
          <w:i w:val="0"/>
          <w:strike w:val="0"/>
        </w:rPr>
        <w:t>first 24 months</w:t>
      </w:r>
      <w:r>
        <w:rPr>
          <w:b w:val="0"/>
          <w:i w:val="0"/>
          <w:strike w:val="0"/>
        </w:rPr>
        <w:t xml:space="preserve"> of employment pays the </w:t>
      </w:r>
      <w:r>
        <w:rPr>
          <w:b/>
          <w:i w:val="0"/>
          <w:strike w:val="0"/>
        </w:rPr>
        <w:t>approximate normal cost</w:t>
      </w:r>
      <w:r>
        <w:rPr>
          <w:b w:val="0"/>
          <w:i w:val="0"/>
          <w:strike w:val="0"/>
        </w:rPr>
        <w:t xml:space="preserve">: 12.50% of salary per year purchased in Plan 1, 10.74% in Plan 2. After 24 months, the same service costs the </w:t>
      </w:r>
      <w:r>
        <w:rPr>
          <w:b/>
          <w:i w:val="0"/>
          <w:strike w:val="0"/>
        </w:rPr>
        <w:t>actuarial equivalent cost</w:t>
      </w:r>
      <w:r>
        <w:rPr>
          <w:b w:val="0"/>
          <w:i w:val="0"/>
          <w:strike w:val="0"/>
        </w:rPr>
        <w:t xml:space="preserve"> — a figure that rises steeply with age, salary, and proximity to retirement, and that commonly runs to tens of thousands of dollars for four years.</w:t>
      </w:r>
    </w:p>
    <w:p>
      <w:r>
        <w:rPr>
          <w:b w:val="0"/>
          <w:i w:val="0"/>
          <w:strike w:val="0"/>
        </w:rPr>
        <w:t>So the cheap price is offered to the new hire in their twenties, who usually has neither the money nor a reason to care. The expensive price is charged to the twenty-five-year veteran employee at age 52 who is three years short of an unreduced retirement and knows to the dollar what those three years are worth.</w:t>
      </w:r>
    </w:p>
    <w:p>
      <w:r>
        <w:rPr>
          <w:b/>
          <w:i w:val="0"/>
          <w:strike w:val="0"/>
        </w:rPr>
        <w:t>There is no second door.</w:t>
      </w:r>
      <w:r>
        <w:rPr>
          <w:b w:val="0"/>
          <w:i w:val="0"/>
          <w:strike w:val="0"/>
        </w:rPr>
        <w:t xml:space="preserve"> The 24-month window is a pricing cliff. Current law contains no mechanism that lets a long-serving public employee use military service, at an affordable price, to finish a Virginia career on time. That is the gap.</w:t>
      </w:r>
    </w:p>
    <w:p>
      <w:pPr>
        <w:jc w:val="center"/>
      </w:pPr>
      <w:r>
        <w:rPr>
          <w:color w:val="909090"/>
          <w:sz w:val="18"/>
        </w:rPr>
        <w:t>* * *</w:t>
      </w:r>
    </w:p>
    <w:p>
      <w:pPr>
        <w:pStyle w:val="Heading2"/>
      </w:pPr>
      <w:r>
        <w:rPr>
          <w:b w:val="0"/>
          <w:i w:val="0"/>
          <w:strike w:val="0"/>
        </w:rPr>
        <w:t>2. The proposal in one sentence</w:t>
      </w:r>
    </w:p>
    <w:p>
      <w:r>
        <w:rPr>
          <w:b w:val="0"/>
          <w:i w:val="0"/>
          <w:strike w:val="0"/>
        </w:rPr>
        <w:t xml:space="preserve">Create a </w:t>
      </w:r>
      <w:r>
        <w:rPr>
          <w:b/>
          <w:i w:val="0"/>
          <w:strike w:val="0"/>
        </w:rPr>
        <w:t>narrow, second purchase right</w:t>
      </w:r>
      <w:r>
        <w:rPr>
          <w:b w:val="0"/>
          <w:i w:val="0"/>
          <w:strike w:val="0"/>
        </w:rPr>
        <w:t xml:space="preserve"> — available after the 24-month window closes, at the same approximate normal cost — that lets a vested Plan 1 or Plan 2 member use prior active duty military service </w:t>
      </w:r>
      <w:r>
        <w:rPr>
          <w:b/>
          <w:i w:val="0"/>
          <w:strike w:val="0"/>
        </w:rPr>
        <w:t>only to qualify for an unreduced retirement</w:t>
      </w:r>
      <w:r>
        <w:rPr>
          <w:b w:val="0"/>
          <w:i w:val="0"/>
          <w:strike w:val="0"/>
        </w:rPr>
        <w:t>, with no increase in the pension amount and no effect on any other VRS benefit.</w:t>
      </w:r>
    </w:p>
    <w:p>
      <w:pPr>
        <w:pStyle w:val="Heading3"/>
      </w:pPr>
      <w:r>
        <w:rPr>
          <w:b w:val="0"/>
          <w:i w:val="0"/>
          <w:strike w:val="0"/>
        </w:rPr>
        <w:t>How it works</w:t>
      </w:r>
    </w:p>
    <w:p>
      <w:r>
        <w:rPr>
          <w:b/>
          <w:i w:val="0"/>
          <w:strike w:val="0"/>
        </w:rPr>
        <w:t>Plan 1</w:t>
      </w:r>
      <w:r>
        <w:rPr>
          <w:b w:val="0"/>
          <w:i w:val="0"/>
          <w:strike w:val="0"/>
        </w:rPr>
        <w:t xml:space="preserve"> — unreduced retirement requires </w:t>
      </w:r>
      <w:r>
        <w:rPr>
          <w:b/>
          <w:i w:val="0"/>
          <w:strike w:val="0"/>
        </w:rPr>
        <w:t>age 50 and 30 years</w:t>
      </w:r>
      <w:r>
        <w:rPr>
          <w:b w:val="0"/>
          <w:i w:val="0"/>
          <w:strike w:val="0"/>
        </w:rPr>
        <w:t xml:space="preserve"> of service. Bridge years count toward the 30-year requirement only. </w:t>
      </w:r>
      <w:r>
        <w:rPr>
          <w:b w:val="0"/>
          <w:i/>
          <w:strike w:val="0"/>
        </w:rPr>
        <w:t>Example:</w:t>
      </w:r>
      <w:r>
        <w:rPr>
          <w:b w:val="0"/>
          <w:i w:val="0"/>
          <w:strike w:val="0"/>
        </w:rPr>
        <w:t xml:space="preserve"> age 52, 27 years of service. Three bridge years satisfy the 30-year test. The member retires unreduced now instead of at 55. The monthly benefit is still calculated on </w:t>
      </w:r>
      <w:r>
        <w:rPr>
          <w:b/>
          <w:i w:val="0"/>
          <w:strike w:val="0"/>
        </w:rPr>
        <w:t>27</w:t>
      </w:r>
      <w:r>
        <w:rPr>
          <w:b w:val="0"/>
          <w:i w:val="0"/>
          <w:strike w:val="0"/>
        </w:rPr>
        <w:t xml:space="preserve"> years.</w:t>
      </w:r>
    </w:p>
    <w:p>
      <w:r>
        <w:rPr>
          <w:b/>
          <w:i w:val="0"/>
          <w:strike w:val="0"/>
        </w:rPr>
        <w:t>Plan 2</w:t>
      </w:r>
      <w:r>
        <w:rPr>
          <w:b w:val="0"/>
          <w:i w:val="0"/>
          <w:strike w:val="0"/>
        </w:rPr>
        <w:t xml:space="preserve"> — unreduced retirement requires the </w:t>
      </w:r>
      <w:r>
        <w:rPr>
          <w:b/>
          <w:i w:val="0"/>
          <w:strike w:val="0"/>
        </w:rPr>
        <w:t>Rule of 90</w:t>
      </w:r>
      <w:r>
        <w:rPr>
          <w:b w:val="0"/>
          <w:i w:val="0"/>
          <w:strike w:val="0"/>
        </w:rPr>
        <w:t xml:space="preserve"> (age + service = 90). Bridge years count </w:t>
      </w:r>
      <w:r>
        <w:rPr>
          <w:b/>
          <w:i w:val="0"/>
          <w:strike w:val="0"/>
        </w:rPr>
        <w:t>one-for-one</w:t>
      </w:r>
      <w:r>
        <w:rPr>
          <w:b w:val="0"/>
          <w:i w:val="0"/>
          <w:strike w:val="0"/>
        </w:rPr>
        <w:t xml:space="preserve"> as Rule-of-90 points; partial years count proportionally. </w:t>
      </w:r>
      <w:r>
        <w:rPr>
          <w:b w:val="0"/>
          <w:i/>
          <w:strike w:val="0"/>
        </w:rPr>
        <w:t>Example:</w:t>
      </w:r>
      <w:r>
        <w:rPr>
          <w:b w:val="0"/>
          <w:i w:val="0"/>
          <w:strike w:val="0"/>
        </w:rPr>
        <w:t xml:space="preserve"> age 58, 28 years of service = 86 points. Four bridge years bring the total to 90. The member retires unreduced two years early. The monthly benefit is still calculated on </w:t>
      </w:r>
      <w:r>
        <w:rPr>
          <w:b/>
          <w:i w:val="0"/>
          <w:strike w:val="0"/>
        </w:rPr>
        <w:t>28</w:t>
      </w:r>
      <w:r>
        <w:rPr>
          <w:b w:val="0"/>
          <w:i w:val="0"/>
          <w:strike w:val="0"/>
        </w:rPr>
        <w:t xml:space="preserve"> years.</w:t>
      </w:r>
    </w:p>
    <w:p>
      <w:pPr>
        <w:pStyle w:val="Heading3"/>
      </w:pPr>
      <w:r>
        <w:rPr>
          <w:b w:val="0"/>
          <w:i w:val="0"/>
          <w:strike w:val="0"/>
        </w:rPr>
        <w:t>Guardrails built into the bill</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Guardrail</w:t>
            </w:r>
          </w:p>
        </w:tc>
        <w:tc>
          <w:tcPr>
            <w:tcW w:type="dxa" w:w="4320"/>
          </w:tcPr>
          <w:p>
            <w:r>
              <w:rPr>
                <w:b/>
                <w:i w:val="0"/>
                <w:strike w:val="0"/>
              </w:rPr>
              <w:t>Effect</w:t>
            </w:r>
          </w:p>
        </w:tc>
      </w:tr>
      <w:tr>
        <w:tc>
          <w:tcPr>
            <w:tcW w:type="dxa" w:w="4320"/>
          </w:tcPr>
          <w:p>
            <w:r>
              <w:rPr>
                <w:b w:val="0"/>
                <w:i w:val="0"/>
                <w:strike w:val="0"/>
              </w:rPr>
              <w:t>Must be vested first (5 years of service)</w:t>
            </w:r>
          </w:p>
        </w:tc>
        <w:tc>
          <w:tcPr>
            <w:tcW w:type="dxa" w:w="4320"/>
          </w:tcPr>
          <w:p>
            <w:r>
              <w:rPr>
                <w:b w:val="0"/>
                <w:i w:val="0"/>
                <w:strike w:val="0"/>
              </w:rPr>
              <w:t>No day-one eligibility purchasing</w:t>
            </w:r>
          </w:p>
        </w:tc>
      </w:tr>
      <w:tr>
        <w:tc>
          <w:tcPr>
            <w:tcW w:type="dxa" w:w="4320"/>
          </w:tcPr>
          <w:p>
            <w:r>
              <w:rPr>
                <w:b w:val="0"/>
                <w:i w:val="0"/>
                <w:strike w:val="0"/>
              </w:rPr>
              <w:t>Capped at the shortfall to the threshold</w:t>
            </w:r>
          </w:p>
        </w:tc>
        <w:tc>
          <w:tcPr>
            <w:tcW w:type="dxa" w:w="4320"/>
          </w:tcPr>
          <w:p>
            <w:r>
              <w:rPr>
                <w:b w:val="0"/>
                <w:i w:val="0"/>
                <w:strike w:val="0"/>
              </w:rPr>
              <w:t>Never buy more than needed</w:t>
            </w:r>
          </w:p>
        </w:tc>
      </w:tr>
      <w:tr>
        <w:tc>
          <w:tcPr>
            <w:tcW w:type="dxa" w:w="4320"/>
          </w:tcPr>
          <w:p>
            <w:r>
              <w:rPr>
                <w:b w:val="0"/>
                <w:i w:val="0"/>
                <w:strike w:val="0"/>
              </w:rPr>
              <w:t>No purchase once you already qualify</w:t>
            </w:r>
          </w:p>
        </w:tc>
        <w:tc>
          <w:tcPr>
            <w:tcW w:type="dxa" w:w="4320"/>
          </w:tcPr>
          <w:p>
            <w:r>
              <w:rPr>
                <w:b w:val="0"/>
                <w:i w:val="0"/>
                <w:strike w:val="0"/>
              </w:rPr>
              <w:t>No post-threshold stockpiling</w:t>
            </w:r>
          </w:p>
        </w:tc>
      </w:tr>
      <w:tr>
        <w:tc>
          <w:tcPr>
            <w:tcW w:type="dxa" w:w="4320"/>
          </w:tcPr>
          <w:p>
            <w:r>
              <w:rPr>
                <w:b w:val="0"/>
                <w:i w:val="0"/>
                <w:strike w:val="0"/>
              </w:rPr>
              <w:t>Counts inside the existing 4-year military cap</w:t>
            </w:r>
          </w:p>
        </w:tc>
        <w:tc>
          <w:tcPr>
            <w:tcW w:type="dxa" w:w="4320"/>
          </w:tcPr>
          <w:p>
            <w:r>
              <w:rPr>
                <w:b w:val="0"/>
                <w:i w:val="0"/>
                <w:strike w:val="0"/>
              </w:rPr>
              <w:t>No expansion of the aggregate limit</w:t>
            </w:r>
          </w:p>
        </w:tc>
      </w:tr>
      <w:tr>
        <w:tc>
          <w:tcPr>
            <w:tcW w:type="dxa" w:w="4320"/>
          </w:tcPr>
          <w:p>
            <w:r>
              <w:rPr>
                <w:b w:val="0"/>
                <w:i w:val="0"/>
                <w:strike w:val="0"/>
              </w:rPr>
              <w:t>Never increases your age on paper</w:t>
            </w:r>
          </w:p>
        </w:tc>
        <w:tc>
          <w:tcPr>
            <w:tcW w:type="dxa" w:w="4320"/>
          </w:tcPr>
          <w:p>
            <w:r>
              <w:rPr>
                <w:b w:val="0"/>
                <w:i w:val="0"/>
                <w:strike w:val="0"/>
              </w:rPr>
              <w:t>Rule of 90 still uses real age</w:t>
            </w:r>
          </w:p>
        </w:tc>
      </w:tr>
      <w:tr>
        <w:tc>
          <w:tcPr>
            <w:tcW w:type="dxa" w:w="4320"/>
          </w:tcPr>
          <w:p>
            <w:r>
              <w:rPr>
                <w:b w:val="0"/>
                <w:i w:val="0"/>
                <w:strike w:val="0"/>
              </w:rPr>
              <w:t>Not creditable service for any other purpose</w:t>
            </w:r>
          </w:p>
        </w:tc>
        <w:tc>
          <w:tcPr>
            <w:tcW w:type="dxa" w:w="4320"/>
          </w:tcPr>
          <w:p>
            <w:r>
              <w:rPr>
                <w:b w:val="0"/>
                <w:i w:val="0"/>
                <w:strike w:val="0"/>
              </w:rPr>
              <w:t>No spillover into other benefits</w:t>
            </w:r>
          </w:p>
        </w:tc>
      </w:tr>
      <w:tr>
        <w:tc>
          <w:tcPr>
            <w:tcW w:type="dxa" w:w="4320"/>
          </w:tcPr>
          <w:p>
            <w:r>
              <w:rPr>
                <w:b w:val="0"/>
                <w:i w:val="0"/>
                <w:strike w:val="0"/>
              </w:rPr>
              <w:t>Full-value purchase at actuarial cost stays open</w:t>
            </w:r>
          </w:p>
        </w:tc>
        <w:tc>
          <w:tcPr>
            <w:tcW w:type="dxa" w:w="4320"/>
          </w:tcPr>
          <w:p>
            <w:r>
              <w:rPr>
                <w:b w:val="0"/>
                <w:i w:val="0"/>
                <w:strike w:val="0"/>
              </w:rPr>
              <w:t>Members who want full credit keep that route</w:t>
            </w:r>
          </w:p>
        </w:tc>
      </w:tr>
      <w:tr>
        <w:tc>
          <w:tcPr>
            <w:tcW w:type="dxa" w:w="4320"/>
          </w:tcPr>
          <w:p>
            <w:r>
              <w:rPr>
                <w:b w:val="0"/>
                <w:i w:val="0"/>
                <w:strike w:val="0"/>
              </w:rPr>
              <w:t>New: convert later if you change your mind</w:t>
            </w:r>
          </w:p>
        </w:tc>
        <w:tc>
          <w:tcPr>
            <w:tcW w:type="dxa" w:w="4320"/>
          </w:tcPr>
          <w:p>
            <w:r>
              <w:rPr>
                <w:b w:val="0"/>
                <w:i w:val="0"/>
                <w:strike w:val="0"/>
              </w:rPr>
              <w:t>Pay the actuarial difference, get full credit, with what you already paid applied</w:t>
            </w:r>
          </w:p>
        </w:tc>
      </w:tr>
    </w:tbl>
    <w:p/>
    <w:p>
      <w:pPr>
        <w:jc w:val="center"/>
      </w:pPr>
      <w:r>
        <w:rPr>
          <w:color w:val="909090"/>
          <w:sz w:val="18"/>
        </w:rPr>
        <w:t>* * *</w:t>
      </w:r>
    </w:p>
    <w:p>
      <w:pPr>
        <w:pStyle w:val="Heading2"/>
      </w:pPr>
      <w:r>
        <w:rPr>
          <w:b w:val="0"/>
          <w:i w:val="0"/>
          <w:strike w:val="0"/>
        </w:rPr>
        <w:t>3. What stays untouched — and how the bill guarantees it</w:t>
      </w:r>
    </w:p>
    <w:p>
      <w:r>
        <w:rPr>
          <w:b w:val="0"/>
          <w:i w:val="0"/>
          <w:strike w:val="0"/>
        </w:rPr>
        <w:t xml:space="preserve">The pension amount is protected by a single move: the bill </w:t>
      </w:r>
      <w:r>
        <w:rPr>
          <w:b/>
          <w:i w:val="0"/>
          <w:strike w:val="0"/>
        </w:rPr>
        <w:t>expressly excludes bridge credit from the statutory definition of "creditable service"</w:t>
      </w:r>
      <w:r>
        <w:rPr>
          <w:b w:val="0"/>
          <w:i w:val="0"/>
          <w:strike w:val="0"/>
        </w:rPr>
        <w:t xml:space="preserve"> in § 51.1-124.3. Because every VRS benefit formula and service threshold runs on creditable service, that one amendment protects the benefit formula, average final compensation, the health insurance credit (both its 15-year eligibility threshold and its per-year dollar amount), group life insurance thresholds, disability allowances, and vesting — automatically.</w:t>
      </w:r>
    </w:p>
    <w:p>
      <w:r>
        <w:rPr>
          <w:b w:val="0"/>
          <w:i w:val="0"/>
          <w:strike w:val="0"/>
        </w:rPr>
        <w:t xml:space="preserve">But the definition alone was </w:t>
      </w:r>
      <w:r>
        <w:rPr>
          <w:b/>
          <w:i w:val="0"/>
          <w:strike w:val="0"/>
        </w:rPr>
        <w:t>not enough</w:t>
      </w:r>
      <w:r>
        <w:rPr>
          <w:b w:val="0"/>
          <w:i w:val="0"/>
          <w:strike w:val="0"/>
        </w:rPr>
        <w:t xml:space="preserve">, and this is where the drafting work mattered. Three VRS provisions key off the </w:t>
      </w:r>
      <w:r>
        <w:rPr>
          <w:b/>
          <w:i w:val="0"/>
          <w:strike w:val="0"/>
        </w:rPr>
        <w:t>date a member first becomes eligible for an unreduced retirement</w:t>
      </w:r>
      <w:r>
        <w:rPr>
          <w:b w:val="0"/>
          <w:i w:val="0"/>
          <w:strike w:val="0"/>
        </w:rPr>
        <w:t>, not off creditable service. Left alone, the bridge would have moved that date earlier and leaked value into all three:</w:t>
      </w:r>
    </w:p>
    <w:p>
      <w:pPr>
        <w:pStyle w:val="ListBullet"/>
      </w:pPr>
      <w:r>
        <w:rPr>
          <w:b/>
          <w:i w:val="0"/>
          <w:strike w:val="0"/>
        </w:rPr>
        <w:t>PLOP</w:t>
      </w:r>
      <w:r>
        <w:rPr>
          <w:b w:val="0"/>
          <w:i w:val="0"/>
          <w:strike w:val="0"/>
        </w:rPr>
        <w:t xml:space="preserve"> (§ 51.1-165.01) — eligibility depends on service performed </w:t>
      </w:r>
      <w:r>
        <w:rPr>
          <w:b w:val="0"/>
          <w:i/>
          <w:strike w:val="0"/>
        </w:rPr>
        <w:t>after</w:t>
      </w:r>
      <w:r>
        <w:rPr>
          <w:b w:val="0"/>
          <w:i w:val="0"/>
          <w:strike w:val="0"/>
        </w:rPr>
        <w:t xml:space="preserve"> the unreduced-eligibility date. Moving that date earlier would start the PLOP clock earlier.</w:t>
      </w:r>
    </w:p>
    <w:p>
      <w:pPr>
        <w:pStyle w:val="ListBullet"/>
      </w:pPr>
      <w:r>
        <w:rPr>
          <w:b/>
          <w:i w:val="0"/>
          <w:strike w:val="0"/>
        </w:rPr>
        <w:t>COLA</w:t>
      </w:r>
      <w:r>
        <w:rPr>
          <w:b w:val="0"/>
          <w:i w:val="0"/>
          <w:strike w:val="0"/>
        </w:rPr>
        <w:t xml:space="preserve"> (§ 51.1-166) — for retirees with under 20 years of service, cost-of-living increases begin a year after the unreduced-eligibility date. Moving the date earlier would start COLA earlier.</w:t>
      </w:r>
    </w:p>
    <w:p>
      <w:pPr>
        <w:pStyle w:val="ListBullet"/>
      </w:pPr>
      <w:r>
        <w:rPr>
          <w:b/>
          <w:i w:val="0"/>
          <w:strike w:val="0"/>
        </w:rPr>
        <w:t>Death-in-service benefits</w:t>
      </w:r>
      <w:r>
        <w:rPr>
          <w:b w:val="0"/>
          <w:i w:val="0"/>
          <w:strike w:val="0"/>
        </w:rPr>
        <w:t xml:space="preserve"> (§ 51.1-162) — the survivor allowance is computed on the pension the member "would have received," which turns on whether the member was unreduced-eligible.</w:t>
      </w:r>
    </w:p>
    <w:p>
      <w:r>
        <w:rPr>
          <w:b/>
          <w:i w:val="0"/>
          <w:strike w:val="0"/>
        </w:rPr>
        <w:t>Each of the three is closed by an express conforming amendment.</w:t>
      </w:r>
      <w:r>
        <w:rPr>
          <w:b w:val="0"/>
          <w:i w:val="0"/>
          <w:strike w:val="0"/>
        </w:rPr>
        <w:t xml:space="preserve"> None of these three leaks appeared in the original concept paper; they were found by reading the statutes. A bill without them would have failed its own stated policy.</w:t>
      </w:r>
    </w:p>
    <w:p>
      <w:r>
        <w:rPr>
          <w:b w:val="0"/>
          <w:i w:val="0"/>
          <w:strike w:val="0"/>
        </w:rPr>
        <w:t xml:space="preserve">The bill also fixes a gap the concept paper left open: it makes a member's bridge payment part of their </w:t>
      </w:r>
      <w:r>
        <w:rPr>
          <w:b/>
          <w:i w:val="0"/>
          <w:strike w:val="0"/>
        </w:rPr>
        <w:t>accumulated contributions</w:t>
      </w:r>
      <w:r>
        <w:rPr>
          <w:b w:val="0"/>
          <w:i w:val="0"/>
          <w:strike w:val="0"/>
        </w:rPr>
        <w:t>, so the member's own money is refundable and is returned to a beneficiary on death — rather than being stranded because the credit is not "creditable service."</w:t>
      </w:r>
    </w:p>
    <w:p>
      <w:pPr>
        <w:jc w:val="center"/>
      </w:pPr>
      <w:r>
        <w:rPr>
          <w:color w:val="909090"/>
          <w:sz w:val="18"/>
        </w:rPr>
        <w:t>* * *</w:t>
      </w:r>
    </w:p>
    <w:p>
      <w:pPr>
        <w:pStyle w:val="Heading2"/>
      </w:pPr>
      <w:r>
        <w:rPr>
          <w:b w:val="0"/>
          <w:i w:val="0"/>
          <w:strike w:val="0"/>
        </w:rPr>
        <w:t>4. Four things JLCVSO must decide or be ready to answer</w:t>
      </w:r>
    </w:p>
    <w:p>
      <w:r>
        <w:rPr>
          <w:b/>
          <w:i w:val="0"/>
          <w:strike w:val="0"/>
        </w:rPr>
        <w:t>1. The price does not match the value — and we should lead with that, not be caught by it.</w:t>
      </w:r>
      <w:r>
        <w:rPr>
          <w:b w:val="0"/>
          <w:i w:val="0"/>
          <w:strike w:val="0"/>
        </w:rPr>
        <w:t xml:space="preserve"> Approximate normal cost is the price of one year of </w:t>
      </w:r>
      <w:r>
        <w:rPr>
          <w:b w:val="0"/>
          <w:i/>
          <w:strike w:val="0"/>
        </w:rPr>
        <w:t>pension accrual</w:t>
      </w:r>
      <w:r>
        <w:rPr>
          <w:b w:val="0"/>
          <w:i w:val="0"/>
          <w:strike w:val="0"/>
        </w:rPr>
        <w:t xml:space="preserve">. The bridge sells a different thing: removal of the actuarial early-retirement reduction. Illustratively, a Plan 1 member at $70,000 buying four bridge years pays roughly </w:t>
      </w:r>
      <w:r>
        <w:rPr>
          <w:b/>
          <w:i w:val="0"/>
          <w:strike w:val="0"/>
        </w:rPr>
        <w:t>$35,000</w:t>
      </w:r>
      <w:r>
        <w:rPr>
          <w:b w:val="0"/>
          <w:i w:val="0"/>
          <w:strike w:val="0"/>
        </w:rPr>
        <w:t xml:space="preserve"> and receives four additional years of an unreduced pension worth roughly 44% of final average pay. VRS actuaries will likely find a shortfall charged to employer contribution rates. Every VRS bill triggers a mandatory Board of Trustees impact statement under </w:t>
      </w:r>
      <w:r>
        <w:rPr>
          <w:b/>
          <w:i w:val="0"/>
          <w:strike w:val="0"/>
        </w:rPr>
        <w:t>§ 30-19.1:7</w:t>
      </w:r>
      <w:r>
        <w:rPr>
          <w:b w:val="0"/>
          <w:i w:val="0"/>
          <w:strike w:val="0"/>
        </w:rPr>
        <w:t xml:space="preserve"> that must address financial impact on the general fund and on participating localities. </w:t>
      </w:r>
      <w:r>
        <w:rPr>
          <w:b/>
          <w:i w:val="0"/>
          <w:strike w:val="0"/>
        </w:rPr>
        <w:t>The winning frame is a deliberate, quantified subsidy for Virginia's veterans — the same choice the General Assembly makes for other priorities — not a cost-neutral technical correction.</w:t>
      </w:r>
      <w:r>
        <w:rPr>
          <w:b w:val="0"/>
          <w:i w:val="0"/>
          <w:strike w:val="0"/>
        </w:rPr>
        <w:t xml:space="preserve"> Our actuarial estimate is in progress and will carry the number.</w:t>
      </w:r>
    </w:p>
    <w:p>
      <w:r>
        <w:rPr>
          <w:b/>
          <w:i w:val="0"/>
          <w:strike w:val="0"/>
        </w:rPr>
        <w:t>2. Career military retirees may be excluded by existing law.</w:t>
      </w:r>
      <w:r>
        <w:rPr>
          <w:b w:val="0"/>
          <w:i w:val="0"/>
          <w:strike w:val="0"/>
        </w:rPr>
        <w:t xml:space="preserve"> § 51.1-142.2 bars purchasing service already counted in another retirement allowance — which includes </w:t>
      </w:r>
      <w:r>
        <w:rPr>
          <w:b/>
          <w:i w:val="0"/>
          <w:strike w:val="0"/>
        </w:rPr>
        <w:t>military retired pay</w:t>
      </w:r>
      <w:r>
        <w:rPr>
          <w:b w:val="0"/>
          <w:i w:val="0"/>
          <w:strike w:val="0"/>
        </w:rPr>
        <w:t xml:space="preserve">. Reserve and National Guard service is protected by federal law (10 U.S.C. ch. 1223). As drafted, the bridge inherits this bar, so the realistic beneficiaries are veterans who served and separated </w:t>
      </w:r>
      <w:r>
        <w:rPr>
          <w:b/>
          <w:i w:val="0"/>
          <w:strike w:val="0"/>
        </w:rPr>
        <w:t>without</w:t>
      </w:r>
      <w:r>
        <w:rPr>
          <w:b w:val="0"/>
          <w:i w:val="0"/>
          <w:strike w:val="0"/>
        </w:rPr>
        <w:t xml:space="preserve"> retirement-eligible service, plus reservists and Guard members. JLCVSO should decide whether to accept the bar, seek an express exception (which invites a double-dipping objection and a much larger fiscal number), or simply require VRS to state the rule plainly so members are not surprised.</w:t>
      </w:r>
    </w:p>
    <w:p>
      <w:r>
        <w:rPr>
          <w:b/>
          <w:i w:val="0"/>
          <w:strike w:val="0"/>
        </w:rPr>
        <w:t>3. Hybrid plan members are excluded as drafted — this is the biggest open choice.</w:t>
      </w:r>
      <w:r>
        <w:rPr>
          <w:b w:val="0"/>
          <w:i w:val="0"/>
          <w:strike w:val="0"/>
        </w:rPr>
        <w:t xml:space="preserve"> The hybrid retirement plan covers nearly everyone hired into a covered position on or after </w:t>
      </w:r>
      <w:r>
        <w:rPr>
          <w:b/>
          <w:i w:val="0"/>
          <w:strike w:val="0"/>
        </w:rPr>
        <w:t>January 1, 2014</w:t>
      </w:r>
      <w:r>
        <w:rPr>
          <w:b w:val="0"/>
          <w:i w:val="0"/>
          <w:strike w:val="0"/>
        </w:rPr>
        <w:t>. Those members are already subject to the Rule of 90, so including them is mechanically simple — but it raises the cost and it is a policy call, not a technical one. Excluding them means the bill helps today's late-career veterans and progressively fewer veterans each year. JLCVSO should make this call consciously.</w:t>
      </w:r>
    </w:p>
    <w:p>
      <w:r>
        <w:rPr>
          <w:b/>
          <w:i w:val="0"/>
          <w:strike w:val="0"/>
        </w:rPr>
        <w:t>4. PLOP and the bridge are practically either/or.</w:t>
      </w:r>
      <w:r>
        <w:rPr>
          <w:b w:val="0"/>
          <w:i w:val="0"/>
          <w:strike w:val="0"/>
        </w:rPr>
        <w:t xml:space="preserve"> Keeping PLOP untouched means a member who retires at the accelerated date will usually have no PLOP eligibility, because PLOP requires service performed after the </w:t>
      </w:r>
      <w:r>
        <w:rPr>
          <w:b w:val="0"/>
          <w:i/>
          <w:strike w:val="0"/>
        </w:rPr>
        <w:t>unaffected</w:t>
      </w:r>
      <w:r>
        <w:rPr>
          <w:b w:val="0"/>
          <w:i w:val="0"/>
          <w:strike w:val="0"/>
        </w:rPr>
        <w:t xml:space="preserve"> eligibility date. A member who uses the bridge and keeps working keeps the normal PLOP timetable. This is the correct trade given the stated policy, and it should be explained to members up front rather than discovered at retirement counseling.</w:t>
      </w:r>
    </w:p>
    <w:p>
      <w:pPr>
        <w:jc w:val="center"/>
      </w:pPr>
      <w:r>
        <w:rPr>
          <w:color w:val="909090"/>
          <w:sz w:val="18"/>
        </w:rPr>
        <w:t>* * *</w:t>
      </w:r>
    </w:p>
    <w:p>
      <w:pPr>
        <w:pStyle w:val="Heading2"/>
      </w:pPr>
      <w:r>
        <w:rPr>
          <w:b w:val="0"/>
          <w:i w:val="0"/>
          <w:strike w:val="0"/>
        </w:rPr>
        <w:t>5. Status and next steps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Component</w:t>
            </w:r>
          </w:p>
        </w:tc>
        <w:tc>
          <w:tcPr>
            <w:tcW w:type="dxa" w:w="4320"/>
          </w:tcPr>
          <w:p>
            <w:r>
              <w:rPr>
                <w:b/>
                <w:i w:val="0"/>
                <w:strike w:val="0"/>
              </w:rPr>
              <w:t>Status</w:t>
            </w:r>
          </w:p>
        </w:tc>
      </w:tr>
      <w:tr>
        <w:tc>
          <w:tcPr>
            <w:tcW w:type="dxa" w:w="4320"/>
          </w:tcPr>
          <w:p>
            <w:r>
              <w:rPr>
                <w:b w:val="0"/>
                <w:i w:val="0"/>
                <w:strike w:val="0"/>
              </w:rPr>
              <w:t>Draft bill text with conforming amendments</w:t>
            </w:r>
          </w:p>
        </w:tc>
        <w:tc>
          <w:tcPr>
            <w:tcW w:type="dxa" w:w="4320"/>
          </w:tcPr>
          <w:p>
            <w:r>
              <w:rPr>
                <w:b/>
                <w:i w:val="0"/>
                <w:strike w:val="0"/>
              </w:rPr>
              <w:t>Complete</w:t>
            </w:r>
            <w:r>
              <w:rPr>
                <w:b w:val="0"/>
                <w:i w:val="0"/>
                <w:strike w:val="0"/>
              </w:rPr>
              <w:t xml:space="preserve"> — ready for a patron and Division of Legislative Services</w:t>
            </w:r>
          </w:p>
        </w:tc>
      </w:tr>
      <w:tr>
        <w:tc>
          <w:tcPr>
            <w:tcW w:type="dxa" w:w="4320"/>
          </w:tcPr>
          <w:p>
            <w:r>
              <w:rPr>
                <w:b w:val="0"/>
                <w:i w:val="0"/>
                <w:strike w:val="0"/>
              </w:rPr>
              <w:t>Legal analysis: defined terms, conflicts, unintended-effects review, open questions</w:t>
            </w:r>
          </w:p>
        </w:tc>
        <w:tc>
          <w:tcPr>
            <w:tcW w:type="dxa" w:w="4320"/>
          </w:tcPr>
          <w:p>
            <w:r>
              <w:rPr>
                <w:b/>
                <w:i w:val="0"/>
                <w:strike w:val="0"/>
              </w:rPr>
              <w:t>Complete</w:t>
            </w:r>
          </w:p>
        </w:tc>
      </w:tr>
      <w:tr>
        <w:tc>
          <w:tcPr>
            <w:tcW w:type="dxa" w:w="4320"/>
          </w:tcPr>
          <w:p>
            <w:r>
              <w:rPr>
                <w:b w:val="0"/>
                <w:i w:val="0"/>
                <w:strike w:val="0"/>
              </w:rPr>
              <w:t>Source appendix with pinpoint citations and retrieval dates</w:t>
            </w:r>
          </w:p>
        </w:tc>
        <w:tc>
          <w:tcPr>
            <w:tcW w:type="dxa" w:w="4320"/>
          </w:tcPr>
          <w:p>
            <w:r>
              <w:rPr>
                <w:b/>
                <w:i w:val="0"/>
                <w:strike w:val="0"/>
              </w:rPr>
              <w:t>Complete</w:t>
            </w:r>
          </w:p>
        </w:tc>
      </w:tr>
      <w:tr>
        <w:tc>
          <w:tcPr>
            <w:tcW w:type="dxa" w:w="4320"/>
          </w:tcPr>
          <w:p>
            <w:r>
              <w:rPr>
                <w:b w:val="0"/>
                <w:i w:val="0"/>
                <w:strike w:val="0"/>
              </w:rPr>
              <w:t>Actuarial cost and affected-population estimate</w:t>
            </w:r>
          </w:p>
        </w:tc>
        <w:tc>
          <w:tcPr>
            <w:tcW w:type="dxa" w:w="4320"/>
          </w:tcPr>
          <w:p>
            <w:r>
              <w:rPr>
                <w:b/>
                <w:i w:val="0"/>
                <w:strike w:val="0"/>
              </w:rPr>
              <w:t>In progress</w:t>
            </w:r>
            <w:r>
              <w:rPr>
                <w:b w:val="0"/>
                <w:i w:val="0"/>
                <w:strike w:val="0"/>
              </w:rPr>
              <w:t xml:space="preserve"> — delegated</w:t>
            </w:r>
          </w:p>
        </w:tc>
      </w:tr>
      <w:tr>
        <w:tc>
          <w:tcPr>
            <w:tcW w:type="dxa" w:w="4320"/>
          </w:tcPr>
          <w:p>
            <w:r>
              <w:rPr>
                <w:b w:val="0"/>
                <w:i w:val="0"/>
                <w:strike w:val="0"/>
              </w:rPr>
              <w:t>Independent adversarial legal and policy review</w:t>
            </w:r>
          </w:p>
        </w:tc>
        <w:tc>
          <w:tcPr>
            <w:tcW w:type="dxa" w:w="4320"/>
          </w:tcPr>
          <w:p>
            <w:r>
              <w:rPr>
                <w:b/>
                <w:i w:val="0"/>
                <w:strike w:val="0"/>
              </w:rPr>
              <w:t>In progress</w:t>
            </w:r>
            <w:r>
              <w:rPr>
                <w:b w:val="0"/>
                <w:i w:val="0"/>
                <w:strike w:val="0"/>
              </w:rPr>
              <w:t xml:space="preserve"> — delegated</w:t>
            </w:r>
          </w:p>
        </w:tc>
      </w:tr>
      <w:tr>
        <w:tc>
          <w:tcPr>
            <w:tcW w:type="dxa" w:w="4320"/>
          </w:tcPr>
          <w:p>
            <w:r>
              <w:rPr>
                <w:b w:val="0"/>
                <w:i w:val="0"/>
                <w:strike w:val="0"/>
              </w:rPr>
              <w:t>JLCVSO decisions on the four items in Part 4</w:t>
            </w:r>
          </w:p>
        </w:tc>
        <w:tc>
          <w:tcPr>
            <w:tcW w:type="dxa" w:w="4320"/>
          </w:tcPr>
          <w:p>
            <w:r>
              <w:rPr>
                <w:b/>
                <w:i w:val="0"/>
                <w:strike w:val="0"/>
              </w:rPr>
              <w:t>Pending</w:t>
            </w:r>
            <w:r>
              <w:rPr>
                <w:b w:val="0"/>
                <w:i w:val="0"/>
                <w:strike w:val="0"/>
              </w:rPr>
              <w:t xml:space="preserve"> — these change the bill</w:t>
            </w:r>
          </w:p>
        </w:tc>
      </w:tr>
    </w:tbl>
    <w:p/>
    <w:p>
      <w:r>
        <w:rPr>
          <w:b/>
          <w:i w:val="0"/>
          <w:strike w:val="0"/>
        </w:rPr>
        <w:t>Recommended sequence:</w:t>
      </w:r>
      <w:r>
        <w:rPr>
          <w:b w:val="0"/>
          <w:i w:val="0"/>
          <w:strike w:val="0"/>
        </w:rPr>
        <w:t xml:space="preserve"> JLCVSO resolves the four Part 4 items → actuarial estimate and red-team review land → final sign-off on Title 51.1 language → patron identified → DLS drafting request → VRS pre-filing briefing so the § 30-19.1:7 statement is informed rather than adversarial.</w:t>
      </w:r>
    </w:p>
    <w:p>
      <w:r>
        <w:rPr>
          <w:b w:val="0"/>
          <w:i/>
          <w:strike w:val="0"/>
        </w:rPr>
        <w:t>All statutory text in this package was verified against the official Code of Virginia at law.lis.virginia.gov on October 19, 2026, including the 2026 amendments to § 51.1-142.2. No Code section was inferred. "Plan 1," "Plan 2," and "vesting" are VRS administrative labels that do not appear in Title 51.1; the bill operates on the statutory provisions that actually control.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