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  <w:strike w:val="0"/>
        </w:rPr>
        <w:t>Military Service Retirement Bridge — Legislative Package</w:t>
      </w:r>
    </w:p>
    <w:p>
      <w:r>
        <w:rPr>
          <w:b/>
          <w:i w:val="0"/>
          <w:strike w:val="0"/>
        </w:rPr>
        <w:t>Issue:</w:t>
      </w:r>
      <w:r>
        <w:rPr>
          <w:b w:val="0"/>
          <w:i w:val="0"/>
          <w:strike w:val="0"/>
        </w:rPr>
        <w:t xml:space="preserve"> MOO-257 · </w:t>
      </w:r>
      <w:r>
        <w:rPr>
          <w:b/>
          <w:i w:val="0"/>
          <w:strike w:val="0"/>
        </w:rPr>
        <w:t>Owner:</w:t>
      </w:r>
      <w:r>
        <w:rPr>
          <w:b w:val="0"/>
          <w:i w:val="0"/>
          <w:strike w:val="0"/>
        </w:rPr>
        <w:t xml:space="preserve"> VRS2 — Virginia Public Pension Benefits Attorney · </w:t>
      </w:r>
      <w:r>
        <w:rPr>
          <w:b/>
          <w:i w:val="0"/>
          <w:strike w:val="0"/>
        </w:rPr>
        <w:t>Version 1.0, October 19, 2026</w:t>
      </w:r>
      <w:r>
        <w:rPr>
          <w:b w:val="0"/>
          <w:i w:val="0"/>
          <w:strike w:val="0"/>
        </w:rPr>
        <w:t xml:space="preserve"> </w:t>
      </w:r>
      <w:r>
        <w:rPr>
          <w:b/>
          <w:i w:val="0"/>
          <w:strike w:val="0"/>
        </w:rPr>
        <w:t>Target:</w:t>
      </w:r>
      <w:r>
        <w:rPr>
          <w:b w:val="0"/>
          <w:i w:val="0"/>
          <w:strike w:val="0"/>
        </w:rPr>
        <w:t xml:space="preserve"> 2027 Virginia General Assembly · </w:t>
      </w:r>
      <w:r>
        <w:rPr>
          <w:b/>
          <w:i w:val="0"/>
          <w:strike w:val="0"/>
        </w:rPr>
        <w:t>Client:</w:t>
      </w:r>
      <w:r>
        <w:rPr>
          <w:b w:val="0"/>
          <w:i w:val="0"/>
          <w:strike w:val="0"/>
        </w:rPr>
        <w:t xml:space="preserve"> Joint Leadership Council of Veterans Service Organizations (JLCVSO)</w:t>
      </w:r>
    </w:p>
    <w:p>
      <w:r>
        <w:rPr>
          <w:b/>
          <w:i w:val="0"/>
          <w:strike w:val="0"/>
        </w:rPr>
        <w:t>Format:</w:t>
      </w:r>
      <w:r>
        <w:rPr>
          <w:b w:val="0"/>
          <w:i w:val="0"/>
          <w:strike w:val="0"/>
        </w:rPr>
        <w:t xml:space="preserve"> every document is provided as an editable Microsoft Word file (</w:t>
      </w:r>
      <w:r>
        <w:rPr>
          <w:rFonts w:ascii="Consolas" w:hAnsi="Consolas"/>
          <w:b w:val="0"/>
          <w:i w:val="0"/>
          <w:strike w:val="0"/>
          <w:color w:val="303030"/>
          <w:sz w:val="19"/>
        </w:rPr>
        <w:t>.docx</w:t>
      </w:r>
      <w:r>
        <w:rPr>
          <w:b w:val="0"/>
          <w:i w:val="0"/>
          <w:strike w:val="0"/>
        </w:rPr>
        <w:t xml:space="preserve">) at the root of this folder. The Markdown sources used to generate them are kept in </w:t>
      </w:r>
      <w:r>
        <w:rPr>
          <w:rFonts w:ascii="Consolas" w:hAnsi="Consolas"/>
          <w:b w:val="0"/>
          <w:i w:val="0"/>
          <w:strike w:val="0"/>
          <w:color w:val="303030"/>
          <w:sz w:val="19"/>
        </w:rPr>
        <w:t>source-markdown/</w:t>
      </w:r>
      <w:r>
        <w:rPr>
          <w:b w:val="0"/>
          <w:i w:val="0"/>
          <w:strike w:val="0"/>
        </w:rPr>
        <w:t xml:space="preserve"> for version history and diffing; edit the </w:t>
      </w:r>
      <w:r>
        <w:rPr>
          <w:rFonts w:ascii="Consolas" w:hAnsi="Consolas"/>
          <w:b w:val="0"/>
          <w:i w:val="0"/>
          <w:strike w:val="0"/>
          <w:color w:val="303030"/>
          <w:sz w:val="19"/>
        </w:rPr>
        <w:t>.docx</w:t>
      </w:r>
      <w:r>
        <w:rPr>
          <w:b w:val="0"/>
          <w:i w:val="0"/>
          <w:strike w:val="0"/>
        </w:rPr>
        <w:t xml:space="preserve"> files.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i w:val="0"/>
                <w:strike w:val="0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strike w:val="0"/>
              </w:rPr>
              <w:t>Component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strike w:val="0"/>
              </w:rPr>
              <w:t>Audience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strike w:val="0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strike w:val="0"/>
                <w:color w:val="303030"/>
                <w:sz w:val="19"/>
              </w:rPr>
              <w:t>01-bill-draft.docx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Draft bill text: new § 51.1-142.4 plus conforming amendments to §§ 51.1-124.3, 51.1-142.2, 51.1-153, 51.1-155, 51.1-162, 51.1-165.01, 51.1-166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Patron, Division of Legislative Services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Draft — not final statutory text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strike w:val="0"/>
                <w:color w:val="303030"/>
                <w:sz w:val="19"/>
              </w:rPr>
              <w:t>02-legal-analysis-memo.docx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Current-law baseline, terminology discipline, statutory conflicts and conforming amendments, unintended-effects review, risks, open questions (DECISION / ACTUARY / COUNSEL items)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Counsel, VRS, JLCVSO leadership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Complete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strike w:val="0"/>
                <w:color w:val="303030"/>
                <w:sz w:val="19"/>
              </w:rPr>
              <w:t>03-jlc-one-page-brief.docx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One-page brief: the proposal and the gap it fills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JLCVSO members, legislators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Complete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strike w:val="0"/>
                <w:color w:val="303030"/>
                <w:sz w:val="19"/>
              </w:rPr>
              <w:t>04-jlc-two-page-brief.docx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Two-page brief: fuller explanation, examples, and the four decisions JLCVSO must make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JLCVSO members, legislators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Complete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strike w:val="0"/>
                <w:color w:val="303030"/>
                <w:sz w:val="19"/>
              </w:rPr>
              <w:t>05-source-appendix.docx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Claim/evidence table, pinpoint citations, source links, amendment histories, and what is deliberately unsourced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All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trike w:val="0"/>
              </w:rPr>
              <w:t>Complete</w:t>
            </w:r>
          </w:p>
        </w:tc>
      </w:tr>
    </w:tbl>
    <w:p/>
    <w:p>
      <w:r>
        <w:rPr>
          <w:b w:val="0"/>
          <w:i w:val="0"/>
          <w:strike w:val="0"/>
        </w:rPr>
        <w:t xml:space="preserve">In the bill draft, </w:t>
      </w:r>
      <w:r>
        <w:rPr>
          <w:b/>
          <w:i w:val="0"/>
          <w:strike w:val="0"/>
        </w:rPr>
        <w:t>bold</w:t>
      </w:r>
      <w:r>
        <w:rPr>
          <w:b w:val="0"/>
          <w:i w:val="0"/>
          <w:strike w:val="0"/>
        </w:rPr>
        <w:t xml:space="preserve"> marks language proposed to be added and </w:t>
      </w:r>
      <w:r>
        <w:rPr>
          <w:b w:val="0"/>
          <w:i w:val="0"/>
          <w:strike/>
        </w:rPr>
        <w:t>strikethrough</w:t>
      </w:r>
      <w:r>
        <w:rPr>
          <w:b w:val="0"/>
          <w:i w:val="0"/>
          <w:strike w:val="0"/>
        </w:rPr>
        <w:t xml:space="preserve"> marks language proposed to be struck. DLS will convert to the underscore/strikethrough convention used in introduced bills.</w:t>
      </w:r>
    </w:p>
    <w:p>
      <w:pPr>
        <w:pStyle w:val="Heading2"/>
      </w:pPr>
      <w:r>
        <w:rPr>
          <w:b w:val="0"/>
          <w:i w:val="0"/>
          <w:strike w:val="0"/>
        </w:rPr>
        <w:t>Core policy principle</w:t>
      </w:r>
    </w:p>
    <w:p>
      <w:r>
        <w:rPr>
          <w:b w:val="0"/>
          <w:i w:val="0"/>
          <w:strike w:val="0"/>
        </w:rPr>
        <w:t xml:space="preserve">The bridge is an </w:t>
      </w:r>
      <w:r>
        <w:rPr>
          <w:b/>
          <w:i w:val="0"/>
          <w:strike w:val="0"/>
        </w:rPr>
        <w:t>eligibility benefit, not a pension-accrual benefit</w:t>
      </w:r>
      <w:r>
        <w:rPr>
          <w:b w:val="0"/>
          <w:i w:val="0"/>
          <w:strike w:val="0"/>
        </w:rPr>
        <w:t xml:space="preserve">. It lets a vested VRS Plan 1 or Plan 2 member use up to four years of prior active duty military service, at approximate normal cost after the existing 24-month window has closed, </w:t>
      </w:r>
      <w:r>
        <w:rPr>
          <w:b/>
          <w:i w:val="0"/>
          <w:strike w:val="0"/>
        </w:rPr>
        <w:t>solely</w:t>
      </w:r>
      <w:r>
        <w:rPr>
          <w:b w:val="0"/>
          <w:i w:val="0"/>
          <w:strike w:val="0"/>
        </w:rPr>
        <w:t xml:space="preserve"> to reach the threshold for an unreduced retirement allowance — with no increase in the retirement allowance and no effect on any other VRS benefit.</w:t>
      </w:r>
    </w:p>
    <w:p>
      <w:pPr>
        <w:pStyle w:val="Heading2"/>
      </w:pPr>
      <w:r>
        <w:rPr>
          <w:b w:val="0"/>
          <w:i w:val="0"/>
          <w:strike w:val="0"/>
        </w:rPr>
        <w:t>The three moves that make it work</w:t>
      </w:r>
    </w:p>
    <w:p>
      <w:pPr>
        <w:pStyle w:val="ListNumber"/>
      </w:pPr>
      <w:r>
        <w:rPr>
          <w:b/>
          <w:i w:val="0"/>
          <w:strike w:val="0"/>
        </w:rPr>
        <w:t>New § 51.1-142.4</w:t>
      </w:r>
      <w:r>
        <w:rPr>
          <w:b w:val="0"/>
          <w:i w:val="0"/>
          <w:strike w:val="0"/>
        </w:rPr>
        <w:t>, not an amendment inside § 51.1-142.2 — because "creditable service" is defined as "prior service as set forth in § 51.1-142.2 plus membership service," so anything added there becomes creditable service automatically.</w:t>
      </w:r>
    </w:p>
    <w:p>
      <w:pPr>
        <w:pStyle w:val="ListNumber"/>
      </w:pPr>
      <w:r>
        <w:rPr>
          <w:b/>
          <w:i w:val="0"/>
          <w:strike w:val="0"/>
        </w:rPr>
        <w:t>Express carve-out from the "creditable service" definition</w:t>
      </w:r>
      <w:r>
        <w:rPr>
          <w:b w:val="0"/>
          <w:i w:val="0"/>
          <w:strike w:val="0"/>
        </w:rPr>
        <w:t xml:space="preserve"> in § 51.1-124.3, which protects the benefit formula, AFC, the health insurance credit, group life thresholds, disability allowances, and the five-year vesting analogue in one stroke.</w:t>
      </w:r>
    </w:p>
    <w:p>
      <w:pPr>
        <w:pStyle w:val="ListNumber"/>
      </w:pPr>
      <w:r>
        <w:rPr>
          <w:b/>
          <w:i w:val="0"/>
          <w:strike w:val="0"/>
        </w:rPr>
        <w:t>Four conforming amendments</w:t>
      </w:r>
      <w:r>
        <w:rPr>
          <w:b w:val="0"/>
          <w:i w:val="0"/>
          <w:strike w:val="0"/>
        </w:rPr>
        <w:t xml:space="preserve"> to §§ 51.1-162, 51.1-165.01, and 51.1-166, which key off the </w:t>
      </w:r>
      <w:r>
        <w:rPr>
          <w:b w:val="0"/>
          <w:i/>
          <w:strike w:val="0"/>
        </w:rPr>
        <w:t>date of unreduced-retirement eligibility</w:t>
      </w:r>
      <w:r>
        <w:rPr>
          <w:b w:val="0"/>
          <w:i w:val="0"/>
          <w:strike w:val="0"/>
        </w:rPr>
        <w:t xml:space="preserve"> rather than off creditable service. Without them, the credit leaks into PLOP, COLA commencement, and the death-in-service benefit even though it is not creditable service. None of these three leaks was identified in the originating concept paper.</w:t>
      </w:r>
    </w:p>
    <w:p>
      <w:pPr>
        <w:pStyle w:val="Heading2"/>
      </w:pPr>
      <w:r>
        <w:rPr>
          <w:b w:val="0"/>
          <w:i w:val="0"/>
          <w:strike w:val="0"/>
        </w:rPr>
        <w:t>Open items that change the bill</w:t>
      </w:r>
    </w:p>
    <w:p>
      <w:r>
        <w:rPr>
          <w:b w:val="0"/>
          <w:i w:val="0"/>
          <w:strike w:val="0"/>
        </w:rPr>
        <w:t xml:space="preserve">See </w:t>
      </w:r>
      <w:r>
        <w:rPr>
          <w:rFonts w:ascii="Consolas" w:hAnsi="Consolas"/>
          <w:b w:val="0"/>
          <w:i w:val="0"/>
          <w:strike w:val="0"/>
          <w:color w:val="303030"/>
          <w:sz w:val="19"/>
        </w:rPr>
        <w:t>02-legal-analysis-memo.md</w:t>
      </w:r>
      <w:r>
        <w:rPr>
          <w:b w:val="0"/>
          <w:i w:val="0"/>
          <w:strike w:val="0"/>
        </w:rPr>
        <w:t>, Part 6. Headline items: hybrid plan scope (DECISION 2), the military retired pay bar (DECISION 3), and the gap between approximate normal cost and the actuarial value of the acceleration (ACTUARY 1).</w:t>
      </w:r>
    </w:p>
    <w:p>
      <w:pPr>
        <w:pStyle w:val="Heading2"/>
      </w:pPr>
      <w:r>
        <w:rPr>
          <w:b w:val="0"/>
          <w:i w:val="0"/>
          <w:strike w:val="0"/>
        </w:rPr>
        <w:t>Verification note</w:t>
      </w:r>
    </w:p>
    <w:p>
      <w:r>
        <w:rPr>
          <w:b w:val="0"/>
          <w:i w:val="0"/>
          <w:strike w:val="0"/>
        </w:rPr>
        <w:t>All statutory text was read in the official Code of Virginia at law.lis.virginia.gov on October 19, 2026, including the 2026 amendments to § 51.1-142.2. § 51.1-142.4 was confirmed unoccupied. No Code section was inferred. "Plan 1," "Plan 2," "vesting," "earned service," and "benefit-calculation service" are not operative terms in Title 51.1 and are not used in the bill.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