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b/>
          <w:sz w:val="30"/>
        </w:rPr>
        <w:t>DAMAK KUMAR VARSHNEY</w:t>
      </w:r>
    </w:p>
    <w:p>
      <w:pPr>
        <w:spacing w:before="0" w:after="20" w:line="264" w:lineRule="auto"/>
        <w:jc w:val="center"/>
      </w:pPr>
      <w:r>
        <w:rPr>
          <w:sz w:val="19"/>
        </w:rPr>
        <w:t>Gurugram, India  |  +91-8077293920  |  damakvarshney@gmail.com</w:t>
      </w:r>
    </w:p>
    <w:p>
      <w:pPr>
        <w:spacing w:before="0" w:after="40" w:line="264" w:lineRule="auto"/>
        <w:jc w:val="center"/>
      </w:pPr>
      <w:r>
        <w:rPr>
          <w:sz w:val="19"/>
        </w:rPr>
        <w:t>linkedin.com/in/damak-varshney  |  damak-varshney.vercel.app</w:t>
      </w:r>
    </w:p>
    <w:p>
      <w:pPr>
        <w:spacing w:before="40" w:after="120" w:line="264" w:lineRule="auto"/>
        <w:jc w:val="center"/>
        <w:pBdr>
          <w:bottom w:val="single" w:sz="6" w:space="1" w:color="000000"/>
        </w:pBdr>
      </w:pPr>
      <w:r>
        <w:rPr>
          <w:b/>
          <w:sz w:val="20"/>
        </w:rPr>
        <w:t>AI PRODUCT MANAGER  |  BUSINESS TRANSFORMATION  |  ENTERPRISE AI STRATEGY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 w:after="80" w:line="264" w:lineRule="auto"/>
      </w:pPr>
      <w:r>
        <w:rPr>
          <w:sz w:val="19"/>
        </w:rPr>
        <w:t>AI Product Manager with 2+ years driving enterprise AI automation at OSTTRA, a KKR portfolio company. Architected and contributed to AI systems processing 200,000+ monthly cases with &gt;99% routing accuracy. Delivered 20+ FTE in annualized savings and 80%+ adoption across 1,500+ enterprise users. Expertise spans Vertex AI, RAG pipelines, predictive sentiment analytics, financial services automation, and process reengineering. Combines technical build depth, financial-services domain expertise, and enterprise adoption discipline.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WORK EXPERIENCE</w:t>
      </w:r>
    </w:p>
    <w:p>
      <w:pPr>
        <w:tabs>
          <w:tab w:pos="10080" w:val="right"/>
        </w:tabs>
        <w:spacing w:before="40" w:after="20" w:line="264" w:lineRule="auto"/>
      </w:pPr>
      <w:r>
        <w:rPr>
          <w:b/>
        </w:rPr>
        <w:t>Associate, AI Strategy &amp; Ops Excellence (DigiOps Programme)</w:t>
      </w:r>
      <w:r>
        <w:tab/>
      </w:r>
      <w:r>
        <w:rPr>
          <w:b/>
        </w:rPr>
        <w:t>Apr 2025 – Present</w:t>
      </w:r>
    </w:p>
    <w:p>
      <w:pPr>
        <w:spacing w:before="0" w:after="40" w:line="264" w:lineRule="auto"/>
      </w:pPr>
      <w:r>
        <w:rPr>
          <w:i/>
        </w:rPr>
        <w:t>OSTTRA (KKR Portfolio Company) | Gurugram,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Architected NEXUS global capacity intelligence platform consolidating 150+ spreadsheets using Python predictive modeling, Business Intelligence dashboards via Looker, and Data Analytics pipelines; drove 80%+ adoption across 1,500+ users and compressed planning cycles 45%</w:t>
      </w:r>
    </w:p>
    <w:p>
      <w:pPr>
        <w:pStyle w:val="ListBullet"/>
        <w:spacing w:before="0" w:after="20" w:line="264" w:lineRule="auto"/>
      </w:pPr>
      <w:r>
        <w:rPr>
          <w:sz w:val="19"/>
        </w:rPr>
        <w:t>Spearheaded Generative AI-powered Auto-Triaging ecosystem processing 200,000+ monthly cases with &gt;99% routing accuracy; reclaimed 4.9 FTEs through Process Automation and scaled duplicate flagging to 15,206 monthly checks recovering 3.88 additional FTEs</w:t>
      </w:r>
    </w:p>
    <w:p>
      <w:pPr>
        <w:pStyle w:val="ListBullet"/>
        <w:spacing w:before="0" w:after="20" w:line="264" w:lineRule="auto"/>
      </w:pPr>
      <w:r>
        <w:rPr>
          <w:sz w:val="19"/>
        </w:rPr>
        <w:t>Led intelligent KYC and onboarding automation through API Integration with reference registry systems executing 751 monthly compliance screenings; shortened cycle time 55% from 18 to 8 days, reclaimed 1.0 FTE, and established 100% audit traceability</w:t>
      </w:r>
    </w:p>
    <w:p>
      <w:pPr>
        <w:pStyle w:val="ListBullet"/>
        <w:spacing w:before="0" w:after="20" w:line="264" w:lineRule="auto"/>
      </w:pPr>
      <w:r>
        <w:rPr>
          <w:sz w:val="19"/>
        </w:rPr>
        <w:t>Engineered autonomous failure management for 4,500+ monthly complex system alerts including LimitHub and TOC FIX disconnections; eliminated reactive triage burden by routing non-actionable items without human intervention</w:t>
      </w:r>
    </w:p>
    <w:p>
      <w:pPr>
        <w:pStyle w:val="ListBullet"/>
        <w:spacing w:before="0" w:after="20" w:line="264" w:lineRule="auto"/>
      </w:pPr>
      <w:r>
        <w:rPr>
          <w:sz w:val="19"/>
        </w:rPr>
        <w:t>Contributed to the design and rollout of Dot, ODA, and Transformer Bot, RAG-based Conversational AI assistants powered by Vertex AI; supported the team that cut routine client information cases from 16% to 3%, freed 4+ FTE annually, and deployed across 24 knowledge initiatives</w:t>
      </w:r>
    </w:p>
    <w:p>
      <w:pPr>
        <w:pStyle w:val="ListBullet"/>
        <w:spacing w:before="0" w:after="20" w:line="264" w:lineRule="auto"/>
      </w:pPr>
      <w:r>
        <w:rPr>
          <w:sz w:val="19"/>
        </w:rPr>
        <w:t>Part of the team that delivered AI-powered case management with predictive sentiment analytics across 20,000+ client emails on MarkitWire and TriResolve; supported deployment of live call transcription and Salesforce summary glances accelerating resolution 40%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Senior Operational Excellence Analyst</w:t>
      </w:r>
      <w:r>
        <w:tab/>
      </w:r>
      <w:r>
        <w:rPr>
          <w:b/>
        </w:rPr>
        <w:t>Feb 2024 – Dec 2024</w:t>
      </w:r>
    </w:p>
    <w:p>
      <w:pPr>
        <w:spacing w:before="0" w:after="40" w:line="264" w:lineRule="auto"/>
      </w:pPr>
      <w:r>
        <w:rPr>
          <w:i/>
        </w:rPr>
        <w:t>OSTTRA | Gurugram,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Engineered SOX Compliance automation using Google Apps Script; eliminated 4.1 FTEs of manual audit work, achieved 100% compliance, and compressed audit cycle from 45 to 5 days</w:t>
      </w:r>
    </w:p>
    <w:p>
      <w:pPr>
        <w:pStyle w:val="ListBullet"/>
        <w:spacing w:before="0" w:after="20" w:line="264" w:lineRule="auto"/>
      </w:pPr>
      <w:r>
        <w:rPr>
          <w:sz w:val="19"/>
        </w:rPr>
        <w:t>Delivered 10+ continuous improvement initiatives applying Lean Six Sigma and Agile across client services and trading operations; unlocked 2+ FTE in quantitative savings</w:t>
      </w:r>
    </w:p>
    <w:p>
      <w:pPr>
        <w:pStyle w:val="ListBullet"/>
        <w:spacing w:before="0" w:after="20" w:line="264" w:lineRule="auto"/>
      </w:pPr>
      <w:r>
        <w:rPr>
          <w:sz w:val="19"/>
        </w:rPr>
        <w:t>Directed Microsoft to Google Workspace migration during Tel Aviv-to-India transition; removed VDI dependency, cut access latency 40%, and freed 0.4 FTEs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Credit Analyst Intern</w:t>
      </w:r>
      <w:r>
        <w:tab/>
      </w:r>
      <w:r>
        <w:rPr>
          <w:b/>
        </w:rPr>
        <w:t>Feb 2023 – Apr 2023</w:t>
      </w:r>
    </w:p>
    <w:p>
      <w:pPr>
        <w:spacing w:before="0" w:after="40" w:line="264" w:lineRule="auto"/>
      </w:pPr>
      <w:r>
        <w:rPr>
          <w:i/>
        </w:rPr>
        <w:t>Kotak Mahindra Bank | Delhi NCR,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Evaluated 20+ MSME credit applications analyzing financial statements and working capital dynamics; delivered recommendations with 95%+ accuracy contributing to $3M+ underwriting decisions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React Native Developer</w:t>
      </w:r>
      <w:r>
        <w:tab/>
      </w:r>
      <w:r>
        <w:rPr>
          <w:b/>
        </w:rPr>
        <w:t>Apr 2021 – May 2022</w:t>
      </w:r>
    </w:p>
    <w:p>
      <w:pPr>
        <w:spacing w:before="0" w:after="40" w:line="264" w:lineRule="auto"/>
      </w:pPr>
      <w:r>
        <w:rPr>
          <w:i/>
        </w:rPr>
        <w:t>RPQ IT Services | Remote,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Developed 5+ production mobile applications using React Native; designed UI/UX wireframes in Figma and shipped cross-platform iOS and Android builds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Post Graduate Programme, Finance &amp; Analytics </w:t>
      </w:r>
      <w:r>
        <w:rPr>
          <w:sz w:val="19"/>
        </w:rPr>
        <w:t>— ICFAI Business School, Gurgaon  |  2022 – Apr 2024  |  CGPA: 9.0/10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MBA, Finance &amp; Analytics (Online, concurrent with OSTTRA role) </w:t>
      </w:r>
      <w:r>
        <w:rPr>
          <w:sz w:val="19"/>
        </w:rPr>
        <w:t>— IFHE Hyderabad  |  2022 – Jul 2024  |  CGPA: 8.75/10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Bachelor of Computer Applications </w:t>
      </w:r>
      <w:r>
        <w:rPr>
          <w:sz w:val="19"/>
        </w:rPr>
        <w:t>— Birla Institute of Technology, Mesra  |  2017 – 2020  |  CGPA: 7.52/10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SKILLS</w:t>
      </w:r>
    </w:p>
    <w:p>
      <w:pPr>
        <w:spacing w:before="0" w:after="20" w:line="264" w:lineRule="auto"/>
      </w:pPr>
      <w:r>
        <w:rPr>
          <w:b/>
          <w:sz w:val="19"/>
        </w:rPr>
        <w:t xml:space="preserve">AI and LLM Stack: </w:t>
      </w:r>
      <w:r>
        <w:rPr>
          <w:sz w:val="19"/>
        </w:rPr>
        <w:t>Vertex AI, Google Gemini, Generative AI (GenAI), RAG Pipelines, Vector Embeddings, Prompt Engineering, Conversational AI, Predictive Sentiment Analysis, Agentic Workflows, LLM-Powered Automation, ChatGPT</w:t>
      </w:r>
    </w:p>
    <w:p>
      <w:pPr>
        <w:spacing w:before="0" w:after="20" w:line="264" w:lineRule="auto"/>
      </w:pPr>
      <w:r>
        <w:rPr>
          <w:b/>
          <w:sz w:val="19"/>
        </w:rPr>
        <w:t xml:space="preserve">Cloud and Data: </w:t>
      </w:r>
      <w:r>
        <w:rPr>
          <w:sz w:val="19"/>
        </w:rPr>
        <w:t>Python, SQL, Google BigQuery, ChromaDB, Google Cloud Platform (GCP), Looker Studio, Power BI, Data Analytics, Business Intelligence, Data Engineering</w:t>
      </w:r>
    </w:p>
    <w:p>
      <w:pPr>
        <w:spacing w:before="0" w:after="20" w:line="264" w:lineRule="auto"/>
      </w:pPr>
      <w:r>
        <w:rPr>
          <w:b/>
          <w:sz w:val="19"/>
        </w:rPr>
        <w:t xml:space="preserve">Product and Tools: </w:t>
      </w:r>
      <w:r>
        <w:rPr>
          <w:sz w:val="19"/>
        </w:rPr>
        <w:t>Salesforce (Administration, Dashboards, Case Management, Custom Fields), Jira, Confluence, Google AppSheet, Google Apps Script, REST APIs, API Integration</w:t>
      </w:r>
    </w:p>
    <w:p>
      <w:pPr>
        <w:spacing w:before="0" w:after="20" w:line="264" w:lineRule="auto"/>
      </w:pPr>
      <w:r>
        <w:rPr>
          <w:b/>
          <w:sz w:val="19"/>
        </w:rPr>
        <w:t xml:space="preserve">Methodologies: </w:t>
      </w:r>
      <w:r>
        <w:rPr>
          <w:sz w:val="19"/>
        </w:rPr>
        <w:t>Lean Six Sigma, Agile/Scrum, LUMA Design Thinking, Process Reengineering, Change Management, Stakeholder Enablement, Continuous Improvement</w:t>
      </w:r>
    </w:p>
    <w:p>
      <w:pPr>
        <w:spacing w:before="0" w:after="20" w:line="264" w:lineRule="auto"/>
      </w:pPr>
      <w:r>
        <w:rPr>
          <w:b/>
          <w:sz w:val="19"/>
        </w:rPr>
        <w:t xml:space="preserve">Financial Domain: </w:t>
      </w:r>
      <w:r>
        <w:rPr>
          <w:sz w:val="19"/>
        </w:rPr>
        <w:t>OTC Markets, Reference Data, KYC/AML, SOX Compliance, Trade Failure Management, Financial Services Infrastructure, Credit Analysis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CERTIFICATIONS</w:t>
      </w:r>
    </w:p>
    <w:p>
      <w:pPr>
        <w:pStyle w:val="ListBullet"/>
        <w:spacing w:before="0" w:after="20" w:line="264" w:lineRule="auto"/>
      </w:pPr>
      <w:r>
        <w:rPr>
          <w:sz w:val="19"/>
        </w:rPr>
        <w:t>Google Data Analytics Professional Certificate, Google (2022)</w:t>
      </w:r>
    </w:p>
    <w:p>
      <w:pPr>
        <w:pStyle w:val="ListBullet"/>
        <w:spacing w:before="0" w:after="20" w:line="264" w:lineRule="auto"/>
      </w:pPr>
      <w:r>
        <w:rPr>
          <w:sz w:val="19"/>
        </w:rPr>
        <w:t>Certified Data Scientist, Henry Harvin Education (2022)</w:t>
      </w:r>
    </w:p>
    <w:p>
      <w:pPr>
        <w:pStyle w:val="ListBullet"/>
        <w:spacing w:before="0" w:after="20" w:line="264" w:lineRule="auto"/>
      </w:pPr>
      <w:r>
        <w:rPr>
          <w:sz w:val="19"/>
        </w:rPr>
        <w:t>SQL Certification, DataCamp (2022)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RECOGNITION</w:t>
      </w:r>
    </w:p>
    <w:p>
      <w:pPr>
        <w:pStyle w:val="ListBullet"/>
        <w:spacing w:before="0" w:after="20" w:line="264" w:lineRule="auto"/>
      </w:pPr>
      <w:r>
        <w:rPr>
          <w:sz w:val="19"/>
        </w:rPr>
        <w:t>Featured in Times of India, InspireTech 2025 — Enterprise AI and Automation Systems</w:t>
      </w:r>
    </w:p>
    <w:p>
      <w:pPr>
        <w:pStyle w:val="ListBullet"/>
        <w:spacing w:before="0" w:after="20" w:line="264" w:lineRule="auto"/>
      </w:pPr>
      <w:r>
        <w:rPr>
          <w:sz w:val="19"/>
        </w:rPr>
        <w:t>Highflyer Award, OSTTRA Q1 2026 — Looker analytics and Salesforce auto-triaging impact</w:t>
      </w:r>
    </w:p>
    <w:p>
      <w:pPr>
        <w:pStyle w:val="ListBullet"/>
        <w:spacing w:before="0" w:after="20" w:line="264" w:lineRule="auto"/>
      </w:pPr>
      <w:r>
        <w:rPr>
          <w:sz w:val="19"/>
        </w:rPr>
        <w:t>Trendsetter Award, OSTTRA Q1 2025 — SOX Compliance automation</w:t>
      </w:r>
    </w:p>
    <w:p>
      <w:pPr>
        <w:pStyle w:val="ListBullet"/>
        <w:spacing w:before="0" w:after="20" w:line="264" w:lineRule="auto"/>
      </w:pPr>
      <w:r>
        <w:rPr>
          <w:sz w:val="19"/>
        </w:rPr>
        <w:t>1st Prize, LUMA Design Thinking Challenge, Protiviti 2023</w:t>
      </w:r>
    </w:p>
    <w:p>
      <w:pPr>
        <w:pStyle w:val="ListBullet"/>
        <w:spacing w:before="0" w:after="20" w:line="264" w:lineRule="auto"/>
      </w:pPr>
      <w:r>
        <w:rPr>
          <w:sz w:val="19"/>
        </w:rPr>
        <w:t>Multiple Quarterly Spot Awards, OSTTRA 2024 – 2026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