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p240p5t8msm" w:id="0"/>
    <w:bookmarkEnd w:id="0"/>
    <w:p w:rsidR="00000000" w:rsidDel="00000000" w:rsidP="00000000" w:rsidRDefault="00000000" w:rsidRPr="00000000" w14:paraId="00000001">
      <w:pPr>
        <w:pStyle w:val="Heading1"/>
        <w:rPr>
          <w:color w:val="000000"/>
        </w:rPr>
      </w:pPr>
      <w:r w:rsidDel="00000000" w:rsidR="00000000" w:rsidRPr="00000000">
        <w:rPr>
          <w:color w:val="000000"/>
          <w:rtl w:val="0"/>
        </w:rPr>
        <w:t xml:space="preserve">Meta-Analysis of Recent Advancements in Large Language Models (2024-2025)</w:t>
      </w:r>
    </w:p>
    <w:bookmarkStart w:colFirst="0" w:colLast="0" w:name="bprfoaimqwn6" w:id="1"/>
    <w:bookmarkEnd w:id="1"/>
    <w:p w:rsidR="00000000" w:rsidDel="00000000" w:rsidP="00000000" w:rsidRDefault="00000000" w:rsidRPr="00000000" w14:paraId="00000002">
      <w:pPr>
        <w:pStyle w:val="Heading2"/>
        <w:rPr>
          <w:color w:val="000000"/>
        </w:rPr>
      </w:pPr>
      <w:r w:rsidDel="00000000" w:rsidR="00000000" w:rsidRPr="00000000">
        <w:rPr>
          <w:color w:val="000000"/>
          <w:rtl w:val="0"/>
        </w:rPr>
        <w:t xml:space="preserve">Introduction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rapid evolution of Large Language Models (LLMs) over the past two years has fundamentally redefined the boundaries of artificial intelligence. While earlier iterations focused primarily on scaling model size and data volumes, recent research marks a significant shift toward architectural efficiency and the refinement of reasoning capabilities. This meta-analysis examines four major contributions published between 2024 and 2025, which perfectly illustrate these new directions. We explore how innovations such as pure reinforcement learning and expert architectures are transforming our approach to foundation model design.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works selected for this study include the technical reports for DeepSeek-V3 and DeepSeek-R1, Meta’s presentation of the Llama 3 family, and the advancements made by the Kimi team with the k1.5 model.</w:t>
      </w:r>
    </w:p>
    <w:bookmarkStart w:colFirst="0" w:colLast="0" w:name="h3dizrhkghey" w:id="2"/>
    <w:bookmarkEnd w:id="2"/>
    <w:p w:rsidR="00000000" w:rsidDel="00000000" w:rsidP="00000000" w:rsidRDefault="00000000" w:rsidRPr="00000000" w14:paraId="00000005">
      <w:pPr>
        <w:pStyle w:val="Heading2"/>
        <w:rPr>
          <w:color w:val="000000"/>
        </w:rPr>
      </w:pPr>
      <w:r w:rsidDel="00000000" w:rsidR="00000000" w:rsidRPr="00000000">
        <w:rPr>
          <w:color w:val="000000"/>
          <w:rtl w:val="0"/>
        </w:rPr>
        <w:t xml:space="preserve">Analysis of Research Contributions</w:t>
      </w:r>
    </w:p>
    <w:bookmarkStart w:colFirst="0" w:colLast="0" w:name="aqyhc77lbflf" w:id="3"/>
    <w:bookmarkEnd w:id="3"/>
    <w:p w:rsidR="00000000" w:rsidDel="00000000" w:rsidP="00000000" w:rsidRDefault="00000000" w:rsidRPr="00000000" w14:paraId="00000006">
      <w:pPr>
        <w:pStyle w:val="Heading3"/>
        <w:rPr>
          <w:color w:val="000000"/>
        </w:rPr>
      </w:pPr>
      <w:r w:rsidDel="00000000" w:rsidR="00000000" w:rsidRPr="00000000">
        <w:rPr>
          <w:color w:val="000000"/>
          <w:rtl w:val="0"/>
        </w:rPr>
        <w:t xml:space="preserve">The Emergence of Reinforcement-Based Reasoning: DeepSeek-R1 and Kimi k1.5</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of the most striking developments of 2025 is the emphasis on autonomous reasoning. The DeepSeek-R1 project illustrates a departure from traditional supervised fine-tuning methods. By leveraging reinforcement learning with verifiable rewards (RLVR), researchers have demonstrated that a model can develop complex thinking patterns—such as self-correction and hypothesis testing—in an emergent manner. This approach significantly reduces reliance on human-annotated data, which is often costly and limited in complexity.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 similar vein, the Kimi k1.5 model has further pushed the scaling of reinforcement learning. By simplifying the RL framework and focusing on long-context management, the Kimi team successfully matched the performance of leading proprietary models like OpenAI’s o1. These works highlight a clear trend: the future of reasoning in LLMs lies in the model’s ability to explore and learn from its own mistakes within structured environments.</w:t>
      </w:r>
    </w:p>
    <w:bookmarkStart w:colFirst="0" w:colLast="0" w:name="27a9s571qeyi" w:id="4"/>
    <w:bookmarkEnd w:id="4"/>
    <w:p w:rsidR="00000000" w:rsidDel="00000000" w:rsidP="00000000" w:rsidRDefault="00000000" w:rsidRPr="00000000" w14:paraId="00000009">
      <w:pPr>
        <w:pStyle w:val="Heading3"/>
        <w:rPr>
          <w:color w:val="000000"/>
        </w:rPr>
      </w:pPr>
      <w:r w:rsidDel="00000000" w:rsidR="00000000" w:rsidRPr="00000000">
        <w:rPr>
          <w:color w:val="000000"/>
          <w:rtl w:val="0"/>
        </w:rPr>
        <w:t xml:space="preserve">Efficiency and Versatility: DeepSeek-V3 and Llama 3</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Parallel to breakthroughs in reasoning, architectural optimization remains a central pillar. DeepSeek-V3 introduced crucial innovations with its Mixture-of-Experts (MoE) architecture. By activating only a fraction of its 671 billion parameters for each token, the model achieves state-of-the-art performance while remaining economically viable for inference. The introduction of Multi-head Latent Attention (MLA) and auxiliary-loss-free load balancing strategies demonstrates technical maturity aimed at maximizing computational yield.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the other hand, Meta, with Llama 3, has reaffirmed the power of very large-scale dense architectures. The 405-billion-parameter model has established itself as a benchmark for versatility, excelling in multilinguality and the integration of multimodal capabilities. Unlike MoE approaches, Llama 3 relies on massive pre-training and rigorous post-training to ensure robustness across a vast range of tasks, from code generation to the use of complex tools.</w:t>
      </w:r>
    </w:p>
    <w:bookmarkStart w:colFirst="0" w:colLast="0" w:name="9ue2akn44gkd" w:id="5"/>
    <w:bookmarkEnd w:id="5"/>
    <w:p w:rsidR="00000000" w:rsidDel="00000000" w:rsidP="00000000" w:rsidRDefault="00000000" w:rsidRPr="00000000" w14:paraId="0000000C">
      <w:pPr>
        <w:pStyle w:val="Heading2"/>
        <w:rPr>
          <w:color w:val="000000"/>
        </w:rPr>
      </w:pPr>
      <w:r w:rsidDel="00000000" w:rsidR="00000000" w:rsidRPr="00000000">
        <w:rPr>
          <w:color w:val="000000"/>
          <w:rtl w:val="0"/>
        </w:rPr>
        <w:t xml:space="preserve">Comparison of Performances and Approaches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current research landscape shows an interesting divergence between general-purpose foundation models and those specialized in reasoning. The following table provides an overview of their respective capabilities across reference benchmarks.It is clear that models like DeepSeek-R1 and Kimi k1.5 dominate mathematical and logical benchmarks thanks to their extended thinking processes. Conversely, Llama 3 and DeepSeek-V3 maintain an advantage on tasks requiring a vast knowledge base and high linguistic flexibility.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tbl>
      <w:tblPr>
        <w:tblStyle w:val="Table1"/>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190"/>
        <w:gridCol w:w="2925"/>
        <w:gridCol w:w="2280"/>
        <w:tblGridChange w:id="0">
          <w:tblGrid>
            <w:gridCol w:w="2100"/>
            <w:gridCol w:w="2190"/>
            <w:gridCol w:w="2925"/>
            <w:gridCol w:w="2280"/>
          </w:tblGrid>
        </w:tblGridChange>
      </w:tblGrid>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spacing w:after="0" w:line="276" w:lineRule="auto"/>
              <w:jc w:val="center"/>
              <w:rPr>
                <w:rFonts w:ascii="Arial" w:cs="Arial" w:eastAsia="Arial" w:hAnsi="Arial"/>
                <w:sz w:val="20"/>
                <w:szCs w:val="20"/>
              </w:rPr>
            </w:pPr>
            <w:r w:rsidDel="00000000" w:rsidR="00000000" w:rsidRPr="00000000">
              <w:rPr>
                <w:rtl w:val="0"/>
              </w:rPr>
              <w:t xml:space="preserve">Model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spacing w:after="0" w:line="276" w:lineRule="auto"/>
              <w:jc w:val="center"/>
              <w:rPr>
                <w:rFonts w:ascii="Arial" w:cs="Arial" w:eastAsia="Arial" w:hAnsi="Arial"/>
                <w:sz w:val="20"/>
                <w:szCs w:val="20"/>
              </w:rPr>
            </w:pPr>
            <w:r w:rsidDel="00000000" w:rsidR="00000000" w:rsidRPr="00000000">
              <w:rPr>
                <w:rtl w:val="0"/>
              </w:rPr>
              <w:t xml:space="preserve">Architecture 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spacing w:after="0" w:line="276" w:lineRule="auto"/>
              <w:jc w:val="center"/>
              <w:rPr>
                <w:rFonts w:ascii="Arial" w:cs="Arial" w:eastAsia="Arial" w:hAnsi="Arial"/>
                <w:sz w:val="20"/>
                <w:szCs w:val="20"/>
              </w:rPr>
            </w:pPr>
            <w:r w:rsidDel="00000000" w:rsidR="00000000" w:rsidRPr="00000000">
              <w:rPr>
                <w:rtl w:val="0"/>
              </w:rPr>
              <w:t xml:space="preserve">Key Strengths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spacing w:after="0" w:line="276" w:lineRule="auto"/>
              <w:jc w:val="center"/>
              <w:rPr>
                <w:rFonts w:ascii="Arial" w:cs="Arial" w:eastAsia="Arial" w:hAnsi="Arial"/>
                <w:sz w:val="20"/>
                <w:szCs w:val="20"/>
              </w:rPr>
            </w:pPr>
            <w:r w:rsidDel="00000000" w:rsidR="00000000" w:rsidRPr="00000000">
              <w:rPr>
                <w:rtl w:val="0"/>
              </w:rPr>
              <w:t xml:space="preserve">Math Performance (MATH/GSM8K)</w:t>
            </w:r>
            <w:r w:rsidDel="00000000" w:rsidR="00000000" w:rsidRPr="00000000">
              <w:rPr>
                <w:rtl w:val="0"/>
              </w:rPr>
            </w:r>
          </w:p>
        </w:tc>
      </w:tr>
      <w:tr>
        <w:trPr>
          <w:cantSplit w:val="0"/>
          <w:trHeight w:val="9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spacing w:after="0" w:line="276" w:lineRule="auto"/>
              <w:rPr>
                <w:rFonts w:ascii="Arial" w:cs="Arial" w:eastAsia="Arial" w:hAnsi="Arial"/>
                <w:sz w:val="20"/>
                <w:szCs w:val="20"/>
              </w:rPr>
            </w:pPr>
            <w:r w:rsidDel="00000000" w:rsidR="00000000" w:rsidRPr="00000000">
              <w:rPr>
                <w:rtl w:val="0"/>
              </w:rPr>
              <w:t xml:space="preserve">DeepSeek-V3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after="0" w:line="276" w:lineRule="auto"/>
              <w:rPr>
                <w:rFonts w:ascii="Arial" w:cs="Arial" w:eastAsia="Arial" w:hAnsi="Arial"/>
                <w:sz w:val="20"/>
                <w:szCs w:val="20"/>
              </w:rPr>
            </w:pPr>
            <w:r w:rsidDel="00000000" w:rsidR="00000000" w:rsidRPr="00000000">
              <w:rPr>
                <w:rtl w:val="0"/>
              </w:rPr>
              <w:t xml:space="preserve">MoE (671B)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after="0" w:line="276" w:lineRule="auto"/>
              <w:rPr>
                <w:rFonts w:ascii="Arial" w:cs="Arial" w:eastAsia="Arial" w:hAnsi="Arial"/>
                <w:sz w:val="20"/>
                <w:szCs w:val="20"/>
              </w:rPr>
            </w:pPr>
            <w:r w:rsidDel="00000000" w:rsidR="00000000" w:rsidRPr="00000000">
              <w:rPr>
                <w:rtl w:val="0"/>
              </w:rPr>
              <w:t xml:space="preserve">Cost/Performance Efficiency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after="0" w:line="276" w:lineRule="auto"/>
              <w:rPr>
                <w:rFonts w:ascii="Arial" w:cs="Arial" w:eastAsia="Arial" w:hAnsi="Arial"/>
                <w:sz w:val="20"/>
                <w:szCs w:val="20"/>
              </w:rPr>
            </w:pPr>
            <w:r w:rsidDel="00000000" w:rsidR="00000000" w:rsidRPr="00000000">
              <w:rPr>
                <w:rtl w:val="0"/>
              </w:rPr>
              <w:t xml:space="preserve">High</w:t>
            </w:r>
            <w:r w:rsidDel="00000000" w:rsidR="00000000" w:rsidRPr="00000000">
              <w:rPr>
                <w:rtl w:val="0"/>
              </w:rPr>
            </w:r>
          </w:p>
        </w:tc>
      </w:tr>
      <w:tr>
        <w:trPr>
          <w:cantSplit w:val="0"/>
          <w:trHeight w:val="9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after="0" w:line="276" w:lineRule="auto"/>
              <w:rPr>
                <w:rFonts w:ascii="Arial" w:cs="Arial" w:eastAsia="Arial" w:hAnsi="Arial"/>
                <w:sz w:val="20"/>
                <w:szCs w:val="20"/>
              </w:rPr>
            </w:pPr>
            <w:r w:rsidDel="00000000" w:rsidR="00000000" w:rsidRPr="00000000">
              <w:rPr>
                <w:rtl w:val="0"/>
              </w:rPr>
              <w:t xml:space="preserve">DeepSeek-R1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after="0" w:line="276" w:lineRule="auto"/>
              <w:rPr>
                <w:rFonts w:ascii="Arial" w:cs="Arial" w:eastAsia="Arial" w:hAnsi="Arial"/>
                <w:sz w:val="20"/>
                <w:szCs w:val="20"/>
              </w:rPr>
            </w:pPr>
            <w:r w:rsidDel="00000000" w:rsidR="00000000" w:rsidRPr="00000000">
              <w:rPr>
                <w:rtl w:val="0"/>
              </w:rPr>
              <w:t xml:space="preserve">Reasoning (RL)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after="0" w:line="276" w:lineRule="auto"/>
              <w:rPr>
                <w:rFonts w:ascii="Arial" w:cs="Arial" w:eastAsia="Arial" w:hAnsi="Arial"/>
                <w:sz w:val="20"/>
                <w:szCs w:val="20"/>
              </w:rPr>
            </w:pPr>
            <w:r w:rsidDel="00000000" w:rsidR="00000000" w:rsidRPr="00000000">
              <w:rPr>
                <w:rtl w:val="0"/>
              </w:rPr>
              <w:t xml:space="preserve">Self-Correction, Logic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after="0" w:line="276" w:lineRule="auto"/>
              <w:rPr>
                <w:rFonts w:ascii="Arial" w:cs="Arial" w:eastAsia="Arial" w:hAnsi="Arial"/>
                <w:sz w:val="20"/>
                <w:szCs w:val="20"/>
              </w:rPr>
            </w:pPr>
            <w:r w:rsidDel="00000000" w:rsidR="00000000" w:rsidRPr="00000000">
              <w:rPr>
                <w:rtl w:val="0"/>
              </w:rPr>
              <w:t xml:space="preserve">Exceptional</w:t>
            </w:r>
            <w:r w:rsidDel="00000000" w:rsidR="00000000" w:rsidRPr="00000000">
              <w:rPr>
                <w:rtl w:val="0"/>
              </w:rPr>
            </w:r>
          </w:p>
        </w:tc>
      </w:tr>
      <w:tr>
        <w:trPr>
          <w:cantSplit w:val="0"/>
          <w:trHeight w:val="9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after="0" w:line="276" w:lineRule="auto"/>
              <w:rPr>
                <w:rFonts w:ascii="Arial" w:cs="Arial" w:eastAsia="Arial" w:hAnsi="Arial"/>
                <w:sz w:val="20"/>
                <w:szCs w:val="20"/>
              </w:rPr>
            </w:pPr>
            <w:r w:rsidDel="00000000" w:rsidR="00000000" w:rsidRPr="00000000">
              <w:rPr>
                <w:rtl w:val="0"/>
              </w:rPr>
              <w:t xml:space="preserve">Llama 3 (405B)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after="0" w:line="276" w:lineRule="auto"/>
              <w:rPr>
                <w:rFonts w:ascii="Arial" w:cs="Arial" w:eastAsia="Arial" w:hAnsi="Arial"/>
                <w:sz w:val="20"/>
                <w:szCs w:val="20"/>
              </w:rPr>
            </w:pPr>
            <w:r w:rsidDel="00000000" w:rsidR="00000000" w:rsidRPr="00000000">
              <w:rPr>
                <w:rtl w:val="0"/>
              </w:rPr>
              <w:t xml:space="preserve">Dense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after="0" w:line="276" w:lineRule="auto"/>
              <w:rPr>
                <w:rFonts w:ascii="Arial" w:cs="Arial" w:eastAsia="Arial" w:hAnsi="Arial"/>
                <w:sz w:val="20"/>
                <w:szCs w:val="20"/>
              </w:rPr>
            </w:pPr>
            <w:r w:rsidDel="00000000" w:rsidR="00000000" w:rsidRPr="00000000">
              <w:rPr>
                <w:rtl w:val="0"/>
              </w:rPr>
              <w:t xml:space="preserve">Versatility, Multilinguality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after="0" w:line="276" w:lineRule="auto"/>
              <w:rPr>
                <w:rFonts w:ascii="Arial" w:cs="Arial" w:eastAsia="Arial" w:hAnsi="Arial"/>
                <w:sz w:val="20"/>
                <w:szCs w:val="20"/>
              </w:rPr>
            </w:pPr>
            <w:r w:rsidDel="00000000" w:rsidR="00000000" w:rsidRPr="00000000">
              <w:rPr>
                <w:rtl w:val="0"/>
              </w:rPr>
              <w:t xml:space="preserve">Solid</w:t>
            </w:r>
            <w:r w:rsidDel="00000000" w:rsidR="00000000" w:rsidRPr="00000000">
              <w:rPr>
                <w:rtl w:val="0"/>
              </w:rPr>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after="0" w:line="276" w:lineRule="auto"/>
              <w:rPr>
                <w:rFonts w:ascii="Arial" w:cs="Arial" w:eastAsia="Arial" w:hAnsi="Arial"/>
                <w:sz w:val="20"/>
                <w:szCs w:val="20"/>
              </w:rPr>
            </w:pPr>
            <w:r w:rsidDel="00000000" w:rsidR="00000000" w:rsidRPr="00000000">
              <w:rPr>
                <w:rtl w:val="0"/>
              </w:rPr>
              <w:t xml:space="preserve">Kimi k1.5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after="0" w:line="276" w:lineRule="auto"/>
              <w:rPr>
                <w:rFonts w:ascii="Arial" w:cs="Arial" w:eastAsia="Arial" w:hAnsi="Arial"/>
                <w:sz w:val="20"/>
                <w:szCs w:val="20"/>
              </w:rPr>
            </w:pPr>
            <w:r w:rsidDel="00000000" w:rsidR="00000000" w:rsidRPr="00000000">
              <w:rPr>
                <w:rtl w:val="0"/>
              </w:rPr>
              <w:t xml:space="preserve">Reasoning / Multimodal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after="0" w:line="276" w:lineRule="auto"/>
              <w:rPr>
                <w:rFonts w:ascii="Arial" w:cs="Arial" w:eastAsia="Arial" w:hAnsi="Arial"/>
                <w:sz w:val="20"/>
                <w:szCs w:val="20"/>
              </w:rPr>
            </w:pPr>
            <w:r w:rsidDel="00000000" w:rsidR="00000000" w:rsidRPr="00000000">
              <w:rPr>
                <w:rtl w:val="0"/>
              </w:rPr>
              <w:t xml:space="preserve">Long Context, Reasoning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spacing w:after="0" w:line="276" w:lineRule="auto"/>
              <w:rPr>
                <w:rFonts w:ascii="Arial" w:cs="Arial" w:eastAsia="Arial" w:hAnsi="Arial"/>
                <w:sz w:val="20"/>
                <w:szCs w:val="20"/>
              </w:rPr>
            </w:pPr>
            <w:r w:rsidDel="00000000" w:rsidR="00000000" w:rsidRPr="00000000">
              <w:rPr>
                <w:rtl w:val="0"/>
              </w:rPr>
              <w:t xml:space="preserve">Exceptional</w:t>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ugoo59r043kz" w:id="6"/>
    <w:bookmarkEnd w:id="6"/>
    <w:p w:rsidR="00000000" w:rsidDel="00000000" w:rsidP="00000000" w:rsidRDefault="00000000" w:rsidRPr="00000000" w14:paraId="00000024">
      <w:pPr>
        <w:pStyle w:val="Heading2"/>
        <w:rPr>
          <w:color w:val="000000"/>
        </w:rPr>
      </w:pPr>
      <w:r w:rsidDel="00000000" w:rsidR="00000000" w:rsidRPr="00000000">
        <w:rPr>
          <w:color w:val="000000"/>
          <w:rtl w:val="0"/>
        </w:rPr>
        <w:t xml:space="preserve">Synthesis and Perspectives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analysis of these works highlights three fundamental trends. First, reinforcement learning is no longer just a supplement to fine-tuning but is becoming the primary driver of logical intelligence. Second, architectural specialization, particularly via MoE, is becoming indispensable for managing models with hundreds of billions of parameters. Finally, multimodal integration is becoming the norm, transforming LLMs into systems for global understanding.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major challenge for the coming years will remain the application of these reasoning capabilities to less structured domains than mathematics or code. The ability of models to justify their decisions transparently and avoid hallucinations in creative or subjective contexts will be the next great battlefield for AI research.</w:t>
      </w:r>
    </w:p>
    <w:p w:rsidR="00000000" w:rsidDel="00000000" w:rsidP="00000000" w:rsidRDefault="00000000" w:rsidRPr="00000000" w14:paraId="00000027">
      <w:pPr>
        <w:pStyle w:val="Heading2"/>
        <w:spacing w:after="80" w:before="360" w:lineRule="auto"/>
        <w:rPr>
          <w:color w:val="000000"/>
          <w:sz w:val="34"/>
          <w:szCs w:val="34"/>
        </w:rPr>
      </w:pPr>
      <w:bookmarkStart w:colFirst="0" w:colLast="0" w:name="_wkmiyxvlzzi" w:id="7"/>
      <w:bookmarkEnd w:id="7"/>
      <w:r w:rsidDel="00000000" w:rsidR="00000000" w:rsidRPr="00000000">
        <w:rPr>
          <w:color w:val="000000"/>
          <w:sz w:val="34"/>
          <w:szCs w:val="34"/>
          <w:rtl w:val="0"/>
        </w:rPr>
        <w:t xml:space="preserve">References:  </w:t>
      </w:r>
    </w:p>
    <w:p w:rsidR="00000000" w:rsidDel="00000000" w:rsidP="00000000" w:rsidRDefault="00000000" w:rsidRPr="00000000" w14:paraId="00000028">
      <w:pPr>
        <w:pStyle w:val="Heading2"/>
        <w:numPr>
          <w:ilvl w:val="0"/>
          <w:numId w:val="1"/>
        </w:numPr>
        <w:spacing w:after="0" w:afterAutospacing="0" w:before="40" w:lineRule="auto"/>
        <w:ind w:left="1440" w:hanging="360"/>
        <w:rPr>
          <w:u w:val="none"/>
        </w:rPr>
      </w:pPr>
      <w:r w:rsidDel="00000000" w:rsidR="00000000" w:rsidRPr="00000000">
        <w:rPr>
          <w:color w:val="000000"/>
          <w:rtl w:val="0"/>
        </w:rPr>
        <w:t xml:space="preserve">DeepSeek-R1: Incentivizing Reasoning Capability in LLMs via Reinforcement Learning (2025)</w:t>
        <w:br w:type="textWrapping"/>
      </w:r>
      <w:hyperlink r:id="rId6">
        <w:r w:rsidDel="00000000" w:rsidR="00000000" w:rsidRPr="00000000">
          <w:rPr>
            <w:color w:val="000000"/>
            <w:rtl w:val="0"/>
          </w:rPr>
          <w:t xml:space="preserve"> </w:t>
        </w:r>
      </w:hyperlink>
      <w:hyperlink r:id="rId7">
        <w:r w:rsidDel="00000000" w:rsidR="00000000" w:rsidRPr="00000000">
          <w:rPr>
            <w:color w:val="1155cc"/>
            <w:u w:val="single"/>
            <w:rtl w:val="0"/>
          </w:rPr>
          <w:t xml:space="preserve">Access Paper on arXiv</w:t>
        </w:r>
      </w:hyperlink>
      <w:r w:rsidDel="00000000" w:rsidR="00000000" w:rsidRPr="00000000">
        <w:rPr>
          <w:rtl w:val="0"/>
        </w:rPr>
      </w:r>
    </w:p>
    <w:p w:rsidR="00000000" w:rsidDel="00000000" w:rsidP="00000000" w:rsidRDefault="00000000" w:rsidRPr="00000000" w14:paraId="00000029">
      <w:pPr>
        <w:pStyle w:val="Heading2"/>
        <w:numPr>
          <w:ilvl w:val="0"/>
          <w:numId w:val="1"/>
        </w:numPr>
        <w:spacing w:after="0" w:afterAutospacing="0" w:before="0" w:beforeAutospacing="0" w:lineRule="auto"/>
        <w:ind w:left="1440" w:hanging="360"/>
        <w:rPr>
          <w:u w:val="none"/>
        </w:rPr>
      </w:pPr>
      <w:r w:rsidDel="00000000" w:rsidR="00000000" w:rsidRPr="00000000">
        <w:rPr>
          <w:color w:val="000000"/>
          <w:rtl w:val="0"/>
        </w:rPr>
        <w:t xml:space="preserve">DeepSeek-V3 Technical Report (2024)</w:t>
        <w:br w:type="textWrapping"/>
      </w:r>
      <w:hyperlink r:id="rId8">
        <w:r w:rsidDel="00000000" w:rsidR="00000000" w:rsidRPr="00000000">
          <w:rPr>
            <w:color w:val="000000"/>
            <w:rtl w:val="0"/>
          </w:rPr>
          <w:t xml:space="preserve"> </w:t>
        </w:r>
      </w:hyperlink>
      <w:hyperlink r:id="rId9">
        <w:r w:rsidDel="00000000" w:rsidR="00000000" w:rsidRPr="00000000">
          <w:rPr>
            <w:color w:val="1155cc"/>
            <w:u w:val="single"/>
            <w:rtl w:val="0"/>
          </w:rPr>
          <w:t xml:space="preserve">Access Paper on arXiv</w:t>
        </w:r>
      </w:hyperlink>
      <w:r w:rsidDel="00000000" w:rsidR="00000000" w:rsidRPr="00000000">
        <w:rPr>
          <w:rtl w:val="0"/>
        </w:rPr>
      </w:r>
    </w:p>
    <w:p w:rsidR="00000000" w:rsidDel="00000000" w:rsidP="00000000" w:rsidRDefault="00000000" w:rsidRPr="00000000" w14:paraId="0000002A">
      <w:pPr>
        <w:pStyle w:val="Heading2"/>
        <w:numPr>
          <w:ilvl w:val="0"/>
          <w:numId w:val="1"/>
        </w:numPr>
        <w:spacing w:after="0" w:afterAutospacing="0" w:before="0" w:beforeAutospacing="0" w:lineRule="auto"/>
        <w:ind w:left="1440" w:hanging="360"/>
        <w:rPr>
          <w:u w:val="none"/>
        </w:rPr>
      </w:pPr>
      <w:r w:rsidDel="00000000" w:rsidR="00000000" w:rsidRPr="00000000">
        <w:rPr>
          <w:color w:val="000000"/>
          <w:rtl w:val="0"/>
        </w:rPr>
        <w:t xml:space="preserve">The Llama 3 Herd of Models (2024)</w:t>
        <w:br w:type="textWrapping"/>
      </w:r>
      <w:hyperlink r:id="rId10">
        <w:r w:rsidDel="00000000" w:rsidR="00000000" w:rsidRPr="00000000">
          <w:rPr>
            <w:color w:val="000000"/>
            <w:rtl w:val="0"/>
          </w:rPr>
          <w:t xml:space="preserve"> </w:t>
        </w:r>
      </w:hyperlink>
      <w:hyperlink r:id="rId11">
        <w:r w:rsidDel="00000000" w:rsidR="00000000" w:rsidRPr="00000000">
          <w:rPr>
            <w:color w:val="1155cc"/>
            <w:u w:val="single"/>
            <w:rtl w:val="0"/>
          </w:rPr>
          <w:t xml:space="preserve">Access Paper on arXiv</w:t>
        </w:r>
      </w:hyperlink>
      <w:r w:rsidDel="00000000" w:rsidR="00000000" w:rsidRPr="00000000">
        <w:rPr>
          <w:rtl w:val="0"/>
        </w:rPr>
      </w:r>
    </w:p>
    <w:p w:rsidR="00000000" w:rsidDel="00000000" w:rsidP="00000000" w:rsidRDefault="00000000" w:rsidRPr="00000000" w14:paraId="0000002B">
      <w:pPr>
        <w:pStyle w:val="Heading2"/>
        <w:numPr>
          <w:ilvl w:val="0"/>
          <w:numId w:val="1"/>
        </w:numPr>
        <w:spacing w:after="40" w:before="0" w:beforeAutospacing="0" w:lineRule="auto"/>
        <w:ind w:left="1440" w:hanging="360"/>
        <w:rPr>
          <w:u w:val="none"/>
        </w:rPr>
      </w:pPr>
      <w:bookmarkStart w:colFirst="0" w:colLast="0" w:name="_vctj9aeh5ove" w:id="8"/>
      <w:bookmarkEnd w:id="8"/>
      <w:r w:rsidDel="00000000" w:rsidR="00000000" w:rsidRPr="00000000">
        <w:rPr>
          <w:color w:val="000000"/>
          <w:rtl w:val="0"/>
        </w:rPr>
        <w:t xml:space="preserve">Kimi k1.5: Scaling Reinforcement Learning with LLMs (2025)</w:t>
        <w:br w:type="textWrapping"/>
      </w:r>
      <w:hyperlink r:id="rId12">
        <w:r w:rsidDel="00000000" w:rsidR="00000000" w:rsidRPr="00000000">
          <w:rPr>
            <w:color w:val="000000"/>
            <w:rtl w:val="0"/>
          </w:rPr>
          <w:t xml:space="preserve"> </w:t>
        </w:r>
      </w:hyperlink>
      <w:hyperlink r:id="rId13">
        <w:r w:rsidDel="00000000" w:rsidR="00000000" w:rsidRPr="00000000">
          <w:rPr>
            <w:color w:val="1155cc"/>
            <w:u w:val="single"/>
            <w:rtl w:val="0"/>
          </w:rPr>
          <w:t xml:space="preserve">Access Paper on arXiv</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407.21783" TargetMode="External"/><Relationship Id="rId10" Type="http://schemas.openxmlformats.org/officeDocument/2006/relationships/hyperlink" Target="https://arxiv.org/abs/2407.21783" TargetMode="External"/><Relationship Id="rId13" Type="http://schemas.openxmlformats.org/officeDocument/2006/relationships/hyperlink" Target="https://arxiv.org/abs/2501.12599" TargetMode="External"/><Relationship Id="rId12" Type="http://schemas.openxmlformats.org/officeDocument/2006/relationships/hyperlink" Target="https://arxiv.org/abs/2501.1259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412.19437" TargetMode="External"/><Relationship Id="rId5" Type="http://schemas.openxmlformats.org/officeDocument/2006/relationships/styles" Target="styles.xml"/><Relationship Id="rId6" Type="http://schemas.openxmlformats.org/officeDocument/2006/relationships/hyperlink" Target="https://arxiv.org/abs/2501.12948" TargetMode="External"/><Relationship Id="rId7" Type="http://schemas.openxmlformats.org/officeDocument/2006/relationships/hyperlink" Target="https://arxiv.org/abs/2501.12948" TargetMode="External"/><Relationship Id="rId8" Type="http://schemas.openxmlformats.org/officeDocument/2006/relationships/hyperlink" Target="https://arxiv.org/abs/2412.194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