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AB1" w:rsidRDefault="00DB7AB1" w:rsidP="00DB7AB1">
      <w:pPr>
        <w:jc w:val="center"/>
        <w:rPr>
          <w:b/>
        </w:rPr>
      </w:pPr>
      <w:r>
        <w:rPr>
          <w:b/>
        </w:rPr>
        <w:t xml:space="preserve">Academic </w:t>
      </w:r>
      <w:smartTag w:uri="urn:schemas-microsoft-com:office:smarttags" w:element="place">
        <w:smartTag w:uri="urn:schemas-microsoft-com:office:smarttags" w:element="City">
          <w:r>
            <w:rPr>
              <w:b/>
            </w:rPr>
            <w:t>Mentor</w:t>
          </w:r>
        </w:smartTag>
      </w:smartTag>
      <w:r>
        <w:rPr>
          <w:b/>
        </w:rPr>
        <w:t xml:space="preserve"> Program Evaluation</w:t>
      </w:r>
    </w:p>
    <w:p w:rsidR="00DB7AB1" w:rsidRDefault="00DB7AB1" w:rsidP="00DB7AB1">
      <w:pPr>
        <w:jc w:val="center"/>
        <w:rPr>
          <w:b/>
        </w:rPr>
      </w:pPr>
    </w:p>
    <w:p w:rsidR="00DB7AB1" w:rsidRPr="00F670EF" w:rsidRDefault="00DB7AB1" w:rsidP="00DB7AB1">
      <w:pPr>
        <w:ind w:firstLine="720"/>
      </w:pPr>
      <w:smartTag w:uri="urn:schemas-microsoft-com:office:smarttags" w:element="place">
        <w:smartTag w:uri="urn:schemas-microsoft-com:office:smarttags" w:element="PlaceName">
          <w:r>
            <w:t>James</w:t>
          </w:r>
        </w:smartTag>
        <w:r>
          <w:t xml:space="preserve"> </w:t>
        </w:r>
        <w:smartTag w:uri="urn:schemas-microsoft-com:office:smarttags" w:element="PlaceName">
          <w:r>
            <w:t>Madison</w:t>
          </w:r>
        </w:smartTag>
        <w:r>
          <w:t xml:space="preserve"> </w:t>
        </w:r>
        <w:smartTag w:uri="urn:schemas-microsoft-com:office:smarttags" w:element="PlaceName">
          <w:r>
            <w:t>University</w:t>
          </w:r>
        </w:smartTag>
      </w:smartTag>
      <w:r>
        <w:t xml:space="preserve"> invites first year students placed on academic probation upon the completion of their first </w:t>
      </w:r>
      <w:proofErr w:type="gramStart"/>
      <w:r>
        <w:t>Fall</w:t>
      </w:r>
      <w:proofErr w:type="gramEnd"/>
      <w:r>
        <w:t xml:space="preserve"> semester to participate in a mentoring program.  JMU’s Academic Mentor Program matches two to three students with a peer mentor from the Office of Residence Life.  During mentoring sessions, both mentor and mentored meet on an individual basis to discuss academic goals and means t</w:t>
      </w:r>
      <w:r w:rsidR="00371BE6">
        <w:t>o achieve them.  The mentor remain</w:t>
      </w:r>
      <w:r>
        <w:t xml:space="preserve">s in contact with his/her mentees throughout the semester to ask how they are doing and </w:t>
      </w:r>
      <w:r w:rsidR="00371BE6">
        <w:t>refer students to available campus services as needed.</w:t>
      </w:r>
      <w:r>
        <w:t xml:space="preserve">   </w:t>
      </w:r>
    </w:p>
    <w:p w:rsidR="000A5FCC" w:rsidRDefault="00DB7AB1" w:rsidP="00DB7AB1">
      <w:pPr>
        <w:ind w:firstLine="720"/>
      </w:pPr>
      <w:r>
        <w:t xml:space="preserve">We evaluated the academic performance of JMU first year students placed on academic probation for the following </w:t>
      </w:r>
      <w:proofErr w:type="gramStart"/>
      <w:r>
        <w:t>Fall</w:t>
      </w:r>
      <w:proofErr w:type="gramEnd"/>
      <w:r>
        <w:t xml:space="preserve"> semesters</w:t>
      </w:r>
      <w:r w:rsidR="00371BE6">
        <w:t>,</w:t>
      </w:r>
      <w:r w:rsidR="0037204D">
        <w:t xml:space="preserve"> 2004 to 2008</w:t>
      </w:r>
      <w:r>
        <w:t xml:space="preserve">; those who participated in the Academic Mentor Program were compared to those first year students placed on academic probation that did not participate in the program.  A student is placed on </w:t>
      </w:r>
      <w:r w:rsidRPr="002B6542">
        <w:t>academic probation</w:t>
      </w:r>
      <w:r>
        <w:t xml:space="preserve"> when their cumulative grade point average falls below a 2.0.  T</w:t>
      </w:r>
      <w:r w:rsidR="008819FC">
        <w:t xml:space="preserve">he first year students </w:t>
      </w:r>
      <w:r>
        <w:t xml:space="preserve">placed on academic probation after their first fall semester are offered a chance to participate in JMU’s Academic Mentor Program.  It was hypothesized that those students placed on academic probation in the Fall who participated in the Academic Mentor Program would be more likely to increase their GPA, avoid decrease in GPA, and rise to </w:t>
      </w:r>
      <w:r w:rsidRPr="00E54D04">
        <w:rPr>
          <w:i/>
        </w:rPr>
        <w:t>good academic standing</w:t>
      </w:r>
      <w:r>
        <w:t xml:space="preserve"> (cumulative 2.0 GPA or above) by the end of the following Spring semester than those that did not participate in the program.  In order to evaluate the differences in increase in GPA, decrease in GPA, and increase in GPA to </w:t>
      </w:r>
      <w:r w:rsidRPr="002B6542">
        <w:t>good standing</w:t>
      </w:r>
      <w:r>
        <w:t xml:space="preserve">, between those that participated in the program and those that did not, we calculated percentages of students in both groups who experienced an increase in GPA, decrease in GPA, and increase in GPA to achieve good academic standing.  The same first year students evaluated could be counted in both GPA increase and rising to good standing percentage calculations if they met both requirements. After these calculations, we conducted </w:t>
      </w:r>
      <w:smartTag w:uri="urn:schemas-microsoft-com:office:smarttags" w:element="Street">
        <w:smartTag w:uri="urn:schemas-microsoft-com:office:smarttags" w:element="address">
          <w:r>
            <w:t>Chi Square</w:t>
          </w:r>
        </w:smartTag>
      </w:smartTag>
      <w:r>
        <w:t xml:space="preserve"> analyses in order to establish if there was a statistically significant difference in percentages across GPA increase, decrease, and increase to good standing between the two groups of students. </w:t>
      </w:r>
    </w:p>
    <w:p w:rsidR="00DB7AB1" w:rsidRDefault="00DB7AB1" w:rsidP="005C0380">
      <w:pPr>
        <w:ind w:firstLine="720"/>
      </w:pPr>
      <w:r>
        <w:t xml:space="preserve"> </w:t>
      </w:r>
      <w:r w:rsidR="005C0380">
        <w:t>T</w:t>
      </w:r>
      <w:r>
        <w:t>he chi square statistics calculated for Spring 2005</w:t>
      </w:r>
      <w:r w:rsidR="0037204D">
        <w:t xml:space="preserve">, 2006, 2007, </w:t>
      </w:r>
      <w:r w:rsidR="006D5892">
        <w:t>2008</w:t>
      </w:r>
      <w:r w:rsidR="0037204D">
        <w:t>, and 2009</w:t>
      </w:r>
      <w:r>
        <w:t xml:space="preserve"> indicated </w:t>
      </w:r>
      <w:r w:rsidR="006D5892">
        <w:t>whether there were</w:t>
      </w:r>
      <w:r>
        <w:t xml:space="preserve"> statistically significant differences in the percentages of students that experienced</w:t>
      </w:r>
      <w:r w:rsidR="006D5892">
        <w:t xml:space="preserve"> GPA increase,</w:t>
      </w:r>
      <w:r>
        <w:t xml:space="preserve"> GPA de</w:t>
      </w:r>
      <w:r w:rsidR="006D5892">
        <w:t xml:space="preserve">crease, </w:t>
      </w:r>
      <w:r>
        <w:t xml:space="preserve">and those students that </w:t>
      </w:r>
      <w:r w:rsidR="006D5892">
        <w:t xml:space="preserve">rose to good academic standing </w:t>
      </w:r>
      <w:r>
        <w:t>across groups (those that participated in the p</w:t>
      </w:r>
      <w:r w:rsidR="006D5892">
        <w:t xml:space="preserve">rogram and those that did not).  </w:t>
      </w:r>
      <w:r w:rsidR="00923528">
        <w:t xml:space="preserve">In </w:t>
      </w:r>
      <w:proofErr w:type="gramStart"/>
      <w:r w:rsidR="00923528">
        <w:t>Spring</w:t>
      </w:r>
      <w:proofErr w:type="gramEnd"/>
      <w:r w:rsidR="00923528">
        <w:t xml:space="preserve"> 2005</w:t>
      </w:r>
      <w:r w:rsidR="00933398">
        <w:t xml:space="preserve"> and Spring 2009, there were</w:t>
      </w:r>
      <w:r w:rsidR="00923528">
        <w:t xml:space="preserve"> no statistically significant difference</w:t>
      </w:r>
      <w:r w:rsidR="00933398">
        <w:t>s</w:t>
      </w:r>
      <w:r w:rsidR="00923528">
        <w:t xml:space="preserve"> in percentages of GPA increase for those that participated in the program versus those that did not.  </w:t>
      </w:r>
      <w:r w:rsidR="00933398">
        <w:t>Fall 2008</w:t>
      </w:r>
      <w:r w:rsidR="00C40187">
        <w:t xml:space="preserve"> seeme</w:t>
      </w:r>
      <w:r w:rsidR="000D158D">
        <w:t xml:space="preserve">d to be the least </w:t>
      </w:r>
      <w:r w:rsidR="00C40187">
        <w:t>effective</w:t>
      </w:r>
      <w:r w:rsidR="00933398">
        <w:t xml:space="preserve"> year evaluated</w:t>
      </w:r>
      <w:r w:rsidR="00C40187">
        <w:t xml:space="preserve"> for </w:t>
      </w:r>
      <w:r w:rsidR="000D158D">
        <w:t xml:space="preserve">those students that participated in </w:t>
      </w:r>
      <w:r w:rsidR="00C40187">
        <w:t>the Academic Mentor Program</w:t>
      </w:r>
      <w:r w:rsidR="003E0D90">
        <w:t>.  Differences were not found to be statistically significant among those that participated in the program versus those that did not in percentages of GPA increase,</w:t>
      </w:r>
      <w:r w:rsidR="00C40187">
        <w:t xml:space="preserve"> GPA decrease</w:t>
      </w:r>
      <w:r w:rsidR="003E0D90">
        <w:t>, and those who rose to good standing.</w:t>
      </w:r>
      <w:r w:rsidR="00C40187">
        <w:t xml:space="preserve">  </w:t>
      </w:r>
      <w:r w:rsidR="003E0D90">
        <w:t xml:space="preserve">However, </w:t>
      </w:r>
      <w:proofErr w:type="gramStart"/>
      <w:r w:rsidR="0037204D">
        <w:t>Fall</w:t>
      </w:r>
      <w:proofErr w:type="gramEnd"/>
      <w:r w:rsidR="0037204D">
        <w:t xml:space="preserve"> 2006 to Spring 2008</w:t>
      </w:r>
      <w:r w:rsidR="00923528">
        <w:t xml:space="preserve"> established a significant difference between percentages in GPA increase, GPA decrease, and rising to good academic standing across groups.</w:t>
      </w:r>
      <w:r w:rsidR="00DD0818">
        <w:t xml:space="preserve"> </w:t>
      </w:r>
      <w:r w:rsidR="00923528">
        <w:t xml:space="preserve"> </w:t>
      </w:r>
      <w:r w:rsidR="00DD0818">
        <w:t>The chi square statistics calculated for t</w:t>
      </w:r>
      <w:r w:rsidR="000D158D">
        <w:t xml:space="preserve">hese academic years establish </w:t>
      </w:r>
      <w:r w:rsidR="00DD0818">
        <w:t>statistically significant difference</w:t>
      </w:r>
      <w:r w:rsidR="000D158D">
        <w:t>s</w:t>
      </w:r>
      <w:r w:rsidR="00DD0818">
        <w:t xml:space="preserve"> in percentages of first years experiencing GPA increase, GPA decrease, and rising to good academic standing </w:t>
      </w:r>
      <w:r w:rsidR="000D158D">
        <w:t>between groups.</w:t>
      </w:r>
      <w:r w:rsidR="00DD0818">
        <w:t xml:space="preserve">  As hypothesized, </w:t>
      </w:r>
      <w:r w:rsidR="000D158D">
        <w:t xml:space="preserve">a greater percentage of </w:t>
      </w:r>
      <w:r w:rsidR="00DD0818">
        <w:t>those that did not participate in t</w:t>
      </w:r>
      <w:r w:rsidR="000D158D">
        <w:t xml:space="preserve">he program </w:t>
      </w:r>
      <w:r w:rsidR="00DD0818">
        <w:t xml:space="preserve">experienced a decrease in GPA and did not rise to good academic standing in comparison </w:t>
      </w:r>
      <w:proofErr w:type="gramStart"/>
      <w:r w:rsidR="00DD0818">
        <w:lastRenderedPageBreak/>
        <w:t>to</w:t>
      </w:r>
      <w:proofErr w:type="gramEnd"/>
      <w:r w:rsidR="00DD0818">
        <w:t xml:space="preserve"> those that did participate in the program.  </w:t>
      </w:r>
      <w:r w:rsidR="00933398">
        <w:t xml:space="preserve">With exception to </w:t>
      </w:r>
      <w:proofErr w:type="gramStart"/>
      <w:r w:rsidR="00933398">
        <w:t>Fall</w:t>
      </w:r>
      <w:proofErr w:type="gramEnd"/>
      <w:r w:rsidR="00933398">
        <w:t xml:space="preserve"> 2008, o</w:t>
      </w:r>
      <w:r w:rsidR="000C592B">
        <w:t xml:space="preserve">ver the </w:t>
      </w:r>
      <w:r w:rsidR="00933398">
        <w:t>course of all five</w:t>
      </w:r>
      <w:r w:rsidR="000C592B">
        <w:t xml:space="preserve"> academic years evaluated, the chi square statistic</w:t>
      </w:r>
      <w:r w:rsidR="000D158D">
        <w:t>s</w:t>
      </w:r>
      <w:r w:rsidR="000C592B">
        <w:t xml:space="preserve"> established a statistically significant difference in percentage</w:t>
      </w:r>
      <w:r w:rsidR="000D158D">
        <w:t>s of those students</w:t>
      </w:r>
      <w:r w:rsidR="000C592B">
        <w:t xml:space="preserve"> that rose to good academic standing between those students that participated in the Academic Mentor Program in comparison to those that did not.  During the four years evaluated, the percentage</w:t>
      </w:r>
      <w:r w:rsidR="000D158D">
        <w:t>s</w:t>
      </w:r>
      <w:r w:rsidR="000C592B">
        <w:t xml:space="preserve"> of </w:t>
      </w:r>
      <w:r w:rsidR="000D158D">
        <w:t xml:space="preserve"> students rising to good academic standing by the end of the corresponding Spring semester</w:t>
      </w:r>
      <w:r w:rsidR="000C592B">
        <w:t xml:space="preserve"> was determined to be significantly greater than the percentage</w:t>
      </w:r>
      <w:r w:rsidR="000D158D">
        <w:t>s</w:t>
      </w:r>
      <w:r w:rsidR="000C592B">
        <w:t xml:space="preserve"> of those who rose to good academic standing that did not participate in the program. </w:t>
      </w:r>
    </w:p>
    <w:p w:rsidR="00530515" w:rsidRDefault="00DB7AB1" w:rsidP="00DB7AB1">
      <w:pPr>
        <w:ind w:firstLine="720"/>
      </w:pPr>
      <w:r>
        <w:t xml:space="preserve"> </w:t>
      </w:r>
    </w:p>
    <w:p w:rsidR="00530515" w:rsidRDefault="00530515" w:rsidP="00DB7AB1">
      <w:pPr>
        <w:ind w:firstLine="720"/>
      </w:pPr>
    </w:p>
    <w:p w:rsidR="00530515" w:rsidRDefault="00530515" w:rsidP="00DB7AB1">
      <w:pPr>
        <w:ind w:firstLine="720"/>
      </w:pPr>
    </w:p>
    <w:p w:rsidR="00530515" w:rsidRDefault="00530515" w:rsidP="00DB7AB1">
      <w:pPr>
        <w:ind w:firstLine="720"/>
      </w:pPr>
    </w:p>
    <w:p w:rsidR="00530515" w:rsidRDefault="00530515" w:rsidP="00DB7AB1">
      <w:pPr>
        <w:ind w:firstLine="720"/>
      </w:pPr>
    </w:p>
    <w:p w:rsidR="006D5892" w:rsidRDefault="006D5892" w:rsidP="00530515">
      <w:pPr>
        <w:rPr>
          <w:b/>
        </w:rPr>
      </w:pPr>
    </w:p>
    <w:p w:rsidR="00530515" w:rsidRPr="00530515" w:rsidRDefault="00530515" w:rsidP="00530515">
      <w:pPr>
        <w:rPr>
          <w:b/>
        </w:rPr>
      </w:pPr>
      <w:proofErr w:type="gramStart"/>
      <w:r w:rsidRPr="00530515">
        <w:rPr>
          <w:b/>
        </w:rPr>
        <w:t>Table 1.</w:t>
      </w:r>
      <w:proofErr w:type="gramEnd"/>
    </w:p>
    <w:tbl>
      <w:tblPr>
        <w:tblStyle w:val="TableGrid"/>
        <w:tblW w:w="8946" w:type="dxa"/>
        <w:tblLook w:val="01E0"/>
      </w:tblPr>
      <w:tblGrid>
        <w:gridCol w:w="1793"/>
        <w:gridCol w:w="1788"/>
        <w:gridCol w:w="6"/>
        <w:gridCol w:w="1781"/>
        <w:gridCol w:w="1787"/>
        <w:gridCol w:w="7"/>
        <w:gridCol w:w="1784"/>
      </w:tblGrid>
      <w:tr w:rsidR="001B24C0" w:rsidTr="00015978">
        <w:trPr>
          <w:trHeight w:val="212"/>
        </w:trPr>
        <w:tc>
          <w:tcPr>
            <w:tcW w:w="1793" w:type="dxa"/>
          </w:tcPr>
          <w:p w:rsidR="001B24C0" w:rsidRDefault="001B24C0" w:rsidP="0037204D">
            <w:pPr>
              <w:jc w:val="center"/>
            </w:pPr>
          </w:p>
        </w:tc>
        <w:tc>
          <w:tcPr>
            <w:tcW w:w="1788" w:type="dxa"/>
          </w:tcPr>
          <w:p w:rsidR="001B24C0" w:rsidRDefault="001B24C0" w:rsidP="0037204D">
            <w:pPr>
              <w:jc w:val="center"/>
            </w:pPr>
          </w:p>
        </w:tc>
        <w:tc>
          <w:tcPr>
            <w:tcW w:w="1787" w:type="dxa"/>
            <w:gridSpan w:val="2"/>
          </w:tcPr>
          <w:p w:rsidR="001B24C0" w:rsidRPr="001B24C0" w:rsidRDefault="001B24C0" w:rsidP="0037204D">
            <w:pPr>
              <w:jc w:val="center"/>
              <w:rPr>
                <w:b/>
              </w:rPr>
            </w:pPr>
            <w:r w:rsidRPr="001B24C0">
              <w:rPr>
                <w:b/>
              </w:rPr>
              <w:t>Program</w:t>
            </w:r>
          </w:p>
        </w:tc>
        <w:tc>
          <w:tcPr>
            <w:tcW w:w="1787" w:type="dxa"/>
          </w:tcPr>
          <w:p w:rsidR="001B24C0" w:rsidRPr="001B24C0" w:rsidRDefault="001B24C0" w:rsidP="0037204D">
            <w:pPr>
              <w:jc w:val="center"/>
              <w:rPr>
                <w:b/>
              </w:rPr>
            </w:pPr>
            <w:r w:rsidRPr="001B24C0">
              <w:rPr>
                <w:b/>
              </w:rPr>
              <w:t>Not Program</w:t>
            </w:r>
          </w:p>
        </w:tc>
        <w:tc>
          <w:tcPr>
            <w:tcW w:w="1791" w:type="dxa"/>
            <w:gridSpan w:val="2"/>
          </w:tcPr>
          <w:p w:rsidR="001B24C0" w:rsidRPr="001B24C0" w:rsidRDefault="001B24C0" w:rsidP="0037204D">
            <w:pPr>
              <w:jc w:val="center"/>
              <w:rPr>
                <w:b/>
              </w:rPr>
            </w:pPr>
            <w:r w:rsidRPr="001B24C0">
              <w:rPr>
                <w:b/>
              </w:rPr>
              <w:t>Chi Square</w:t>
            </w:r>
          </w:p>
        </w:tc>
      </w:tr>
      <w:tr w:rsidR="005336CE" w:rsidTr="00015978">
        <w:trPr>
          <w:trHeight w:val="212"/>
        </w:trPr>
        <w:tc>
          <w:tcPr>
            <w:tcW w:w="1793" w:type="dxa"/>
            <w:vMerge w:val="restart"/>
          </w:tcPr>
          <w:p w:rsidR="005336CE" w:rsidRPr="005336CE" w:rsidRDefault="005336CE" w:rsidP="0037204D">
            <w:pPr>
              <w:jc w:val="center"/>
              <w:rPr>
                <w:b/>
              </w:rPr>
            </w:pPr>
            <w:r w:rsidRPr="005336CE">
              <w:rPr>
                <w:b/>
              </w:rPr>
              <w:t>Fall 2004</w:t>
            </w:r>
          </w:p>
          <w:p w:rsidR="005336CE" w:rsidRDefault="005336CE" w:rsidP="0037204D">
            <w:pPr>
              <w:jc w:val="center"/>
            </w:pPr>
            <w:r w:rsidRPr="005336CE">
              <w:rPr>
                <w:b/>
              </w:rPr>
              <w:t>Spring 2005</w:t>
            </w:r>
          </w:p>
        </w:tc>
        <w:tc>
          <w:tcPr>
            <w:tcW w:w="1788" w:type="dxa"/>
          </w:tcPr>
          <w:p w:rsidR="005336CE" w:rsidRDefault="0040582E" w:rsidP="0037204D">
            <w:pPr>
              <w:jc w:val="center"/>
              <w:rPr>
                <w:b/>
              </w:rPr>
            </w:pPr>
            <w:r>
              <w:rPr>
                <w:b/>
              </w:rPr>
              <w:t>GPA increase</w:t>
            </w:r>
          </w:p>
        </w:tc>
        <w:tc>
          <w:tcPr>
            <w:tcW w:w="1787" w:type="dxa"/>
            <w:gridSpan w:val="2"/>
          </w:tcPr>
          <w:p w:rsidR="005336CE" w:rsidRPr="00875B98" w:rsidRDefault="005336CE" w:rsidP="0037204D">
            <w:pPr>
              <w:jc w:val="center"/>
            </w:pPr>
            <w:r w:rsidRPr="00875B98">
              <w:t>37/46 (80%)</w:t>
            </w:r>
          </w:p>
        </w:tc>
        <w:tc>
          <w:tcPr>
            <w:tcW w:w="1787" w:type="dxa"/>
          </w:tcPr>
          <w:p w:rsidR="005336CE" w:rsidRPr="00875B98" w:rsidRDefault="005336CE" w:rsidP="0037204D">
            <w:pPr>
              <w:jc w:val="center"/>
            </w:pPr>
            <w:r w:rsidRPr="00875B98">
              <w:t>147/207 (71%)</w:t>
            </w:r>
          </w:p>
        </w:tc>
        <w:tc>
          <w:tcPr>
            <w:tcW w:w="1791" w:type="dxa"/>
            <w:gridSpan w:val="2"/>
          </w:tcPr>
          <w:p w:rsidR="005336CE" w:rsidRPr="00875B98" w:rsidRDefault="005336CE" w:rsidP="0037204D">
            <w:pPr>
              <w:jc w:val="center"/>
            </w:pPr>
            <w:r w:rsidRPr="00875B98">
              <w:t>1.25</w:t>
            </w:r>
          </w:p>
        </w:tc>
      </w:tr>
      <w:tr w:rsidR="005336CE" w:rsidTr="00015978">
        <w:trPr>
          <w:trHeight w:val="112"/>
        </w:trPr>
        <w:tc>
          <w:tcPr>
            <w:tcW w:w="1793" w:type="dxa"/>
            <w:vMerge/>
          </w:tcPr>
          <w:p w:rsidR="005336CE" w:rsidRDefault="005336CE" w:rsidP="0037204D">
            <w:pPr>
              <w:jc w:val="center"/>
            </w:pPr>
          </w:p>
        </w:tc>
        <w:tc>
          <w:tcPr>
            <w:tcW w:w="1788" w:type="dxa"/>
          </w:tcPr>
          <w:p w:rsidR="005336CE" w:rsidRDefault="005336CE" w:rsidP="0037204D">
            <w:pPr>
              <w:jc w:val="center"/>
              <w:rPr>
                <w:b/>
              </w:rPr>
            </w:pPr>
            <w:r>
              <w:rPr>
                <w:b/>
              </w:rPr>
              <w:t>GPA decrease</w:t>
            </w:r>
          </w:p>
        </w:tc>
        <w:tc>
          <w:tcPr>
            <w:tcW w:w="1787" w:type="dxa"/>
            <w:gridSpan w:val="2"/>
          </w:tcPr>
          <w:p w:rsidR="005336CE" w:rsidRPr="00875B98" w:rsidRDefault="005336CE" w:rsidP="0037204D">
            <w:pPr>
              <w:jc w:val="center"/>
            </w:pPr>
            <w:r w:rsidRPr="00875B98">
              <w:t>6/46 (13%)</w:t>
            </w:r>
          </w:p>
        </w:tc>
        <w:tc>
          <w:tcPr>
            <w:tcW w:w="1787" w:type="dxa"/>
          </w:tcPr>
          <w:p w:rsidR="005336CE" w:rsidRPr="00875B98" w:rsidRDefault="005336CE" w:rsidP="0037204D">
            <w:pPr>
              <w:jc w:val="center"/>
            </w:pPr>
            <w:r w:rsidRPr="00875B98">
              <w:t>58/207 (28%)</w:t>
            </w:r>
          </w:p>
        </w:tc>
        <w:tc>
          <w:tcPr>
            <w:tcW w:w="1791" w:type="dxa"/>
            <w:gridSpan w:val="2"/>
          </w:tcPr>
          <w:p w:rsidR="005336CE" w:rsidRPr="00875B98" w:rsidRDefault="005336CE" w:rsidP="0037204D">
            <w:pPr>
              <w:jc w:val="center"/>
            </w:pPr>
            <w:r w:rsidRPr="00875B98">
              <w:t>8.00*</w:t>
            </w:r>
          </w:p>
        </w:tc>
      </w:tr>
      <w:tr w:rsidR="005336CE" w:rsidTr="00015978">
        <w:trPr>
          <w:trHeight w:val="112"/>
        </w:trPr>
        <w:tc>
          <w:tcPr>
            <w:tcW w:w="1793" w:type="dxa"/>
            <w:vMerge/>
          </w:tcPr>
          <w:p w:rsidR="005336CE" w:rsidRDefault="005336CE" w:rsidP="0037204D">
            <w:pPr>
              <w:jc w:val="center"/>
            </w:pPr>
          </w:p>
        </w:tc>
        <w:tc>
          <w:tcPr>
            <w:tcW w:w="1788" w:type="dxa"/>
          </w:tcPr>
          <w:p w:rsidR="005336CE" w:rsidRDefault="005336CE" w:rsidP="0037204D">
            <w:pPr>
              <w:jc w:val="center"/>
              <w:rPr>
                <w:b/>
              </w:rPr>
            </w:pPr>
            <w:r>
              <w:rPr>
                <w:b/>
              </w:rPr>
              <w:t>To Good Standing</w:t>
            </w:r>
          </w:p>
        </w:tc>
        <w:tc>
          <w:tcPr>
            <w:tcW w:w="1787" w:type="dxa"/>
            <w:gridSpan w:val="2"/>
          </w:tcPr>
          <w:p w:rsidR="005336CE" w:rsidRPr="00875B98" w:rsidRDefault="005336CE" w:rsidP="0037204D">
            <w:pPr>
              <w:jc w:val="center"/>
            </w:pPr>
            <w:r w:rsidRPr="00875B98">
              <w:t>26/46 (57%)</w:t>
            </w:r>
          </w:p>
        </w:tc>
        <w:tc>
          <w:tcPr>
            <w:tcW w:w="1787" w:type="dxa"/>
          </w:tcPr>
          <w:p w:rsidR="005336CE" w:rsidRPr="00875B98" w:rsidRDefault="005336CE" w:rsidP="0037204D">
            <w:pPr>
              <w:jc w:val="center"/>
            </w:pPr>
            <w:r w:rsidRPr="00875B98">
              <w:t>90/207 (43%)</w:t>
            </w:r>
          </w:p>
        </w:tc>
        <w:tc>
          <w:tcPr>
            <w:tcW w:w="1791" w:type="dxa"/>
            <w:gridSpan w:val="2"/>
          </w:tcPr>
          <w:p w:rsidR="005336CE" w:rsidRPr="00875B98" w:rsidRDefault="005336CE" w:rsidP="0037204D">
            <w:pPr>
              <w:jc w:val="center"/>
            </w:pPr>
            <w:r w:rsidRPr="00875B98">
              <w:t>3.91*</w:t>
            </w:r>
          </w:p>
        </w:tc>
      </w:tr>
      <w:tr w:rsidR="005336CE" w:rsidTr="00015978">
        <w:trPr>
          <w:trHeight w:val="212"/>
        </w:trPr>
        <w:tc>
          <w:tcPr>
            <w:tcW w:w="1793" w:type="dxa"/>
            <w:vMerge w:val="restart"/>
          </w:tcPr>
          <w:p w:rsidR="005336CE" w:rsidRPr="005336CE" w:rsidRDefault="005336CE" w:rsidP="0037204D">
            <w:pPr>
              <w:jc w:val="center"/>
              <w:rPr>
                <w:b/>
              </w:rPr>
            </w:pPr>
            <w:r w:rsidRPr="005336CE">
              <w:rPr>
                <w:b/>
              </w:rPr>
              <w:t>Fall 2005</w:t>
            </w:r>
          </w:p>
          <w:p w:rsidR="005336CE" w:rsidRPr="005336CE" w:rsidRDefault="005336CE" w:rsidP="0037204D">
            <w:pPr>
              <w:jc w:val="center"/>
              <w:rPr>
                <w:b/>
              </w:rPr>
            </w:pPr>
            <w:r w:rsidRPr="005336CE">
              <w:rPr>
                <w:b/>
              </w:rPr>
              <w:t>Spring 2006</w:t>
            </w:r>
          </w:p>
        </w:tc>
        <w:tc>
          <w:tcPr>
            <w:tcW w:w="1788" w:type="dxa"/>
          </w:tcPr>
          <w:p w:rsidR="005336CE" w:rsidRDefault="005336CE" w:rsidP="0037204D">
            <w:pPr>
              <w:jc w:val="center"/>
              <w:rPr>
                <w:b/>
              </w:rPr>
            </w:pPr>
            <w:r>
              <w:rPr>
                <w:b/>
              </w:rPr>
              <w:t>GPA increase</w:t>
            </w:r>
          </w:p>
        </w:tc>
        <w:tc>
          <w:tcPr>
            <w:tcW w:w="1787" w:type="dxa"/>
            <w:gridSpan w:val="2"/>
          </w:tcPr>
          <w:p w:rsidR="005336CE" w:rsidRPr="00875B98" w:rsidRDefault="005336CE" w:rsidP="0037204D">
            <w:pPr>
              <w:jc w:val="center"/>
            </w:pPr>
            <w:r w:rsidRPr="00875B98">
              <w:t>37/45 (82%)</w:t>
            </w:r>
          </w:p>
        </w:tc>
        <w:tc>
          <w:tcPr>
            <w:tcW w:w="1787" w:type="dxa"/>
          </w:tcPr>
          <w:p w:rsidR="005336CE" w:rsidRPr="00875B98" w:rsidRDefault="005336CE" w:rsidP="0037204D">
            <w:pPr>
              <w:jc w:val="center"/>
            </w:pPr>
            <w:r w:rsidRPr="00875B98">
              <w:t>212/303 (70%)</w:t>
            </w:r>
          </w:p>
        </w:tc>
        <w:tc>
          <w:tcPr>
            <w:tcW w:w="1791" w:type="dxa"/>
            <w:gridSpan w:val="2"/>
          </w:tcPr>
          <w:p w:rsidR="005336CE" w:rsidRPr="00875B98" w:rsidRDefault="005336CE" w:rsidP="0037204D">
            <w:pPr>
              <w:jc w:val="center"/>
            </w:pPr>
            <w:r w:rsidRPr="00875B98">
              <w:t>2.15</w:t>
            </w:r>
          </w:p>
        </w:tc>
      </w:tr>
      <w:tr w:rsidR="005336CE" w:rsidTr="00015978">
        <w:trPr>
          <w:trHeight w:val="112"/>
        </w:trPr>
        <w:tc>
          <w:tcPr>
            <w:tcW w:w="1793" w:type="dxa"/>
            <w:vMerge/>
          </w:tcPr>
          <w:p w:rsidR="005336CE" w:rsidRDefault="005336CE" w:rsidP="0037204D">
            <w:pPr>
              <w:jc w:val="center"/>
            </w:pPr>
          </w:p>
        </w:tc>
        <w:tc>
          <w:tcPr>
            <w:tcW w:w="1788" w:type="dxa"/>
          </w:tcPr>
          <w:p w:rsidR="005336CE" w:rsidRDefault="005336CE" w:rsidP="0037204D">
            <w:pPr>
              <w:jc w:val="center"/>
              <w:rPr>
                <w:b/>
              </w:rPr>
            </w:pPr>
            <w:r>
              <w:rPr>
                <w:b/>
              </w:rPr>
              <w:t>GPA decrease</w:t>
            </w:r>
          </w:p>
        </w:tc>
        <w:tc>
          <w:tcPr>
            <w:tcW w:w="1787" w:type="dxa"/>
            <w:gridSpan w:val="2"/>
          </w:tcPr>
          <w:p w:rsidR="005336CE" w:rsidRPr="00875B98" w:rsidRDefault="005336CE" w:rsidP="0037204D">
            <w:pPr>
              <w:jc w:val="center"/>
            </w:pPr>
            <w:r w:rsidRPr="00875B98">
              <w:t>8/45 (18%)</w:t>
            </w:r>
          </w:p>
        </w:tc>
        <w:tc>
          <w:tcPr>
            <w:tcW w:w="1787" w:type="dxa"/>
          </w:tcPr>
          <w:p w:rsidR="005336CE" w:rsidRPr="00875B98" w:rsidRDefault="005336CE" w:rsidP="0037204D">
            <w:pPr>
              <w:jc w:val="center"/>
            </w:pPr>
            <w:r w:rsidRPr="00875B98">
              <w:t>80/303 (26%)</w:t>
            </w:r>
          </w:p>
        </w:tc>
        <w:tc>
          <w:tcPr>
            <w:tcW w:w="1791" w:type="dxa"/>
            <w:gridSpan w:val="2"/>
          </w:tcPr>
          <w:p w:rsidR="005336CE" w:rsidRPr="00875B98" w:rsidRDefault="005336CE" w:rsidP="0037204D">
            <w:pPr>
              <w:jc w:val="center"/>
            </w:pPr>
            <w:r w:rsidRPr="00875B98">
              <w:t>2.82</w:t>
            </w:r>
          </w:p>
        </w:tc>
      </w:tr>
      <w:tr w:rsidR="005336CE" w:rsidTr="00015978">
        <w:trPr>
          <w:trHeight w:val="112"/>
        </w:trPr>
        <w:tc>
          <w:tcPr>
            <w:tcW w:w="1793" w:type="dxa"/>
            <w:vMerge/>
          </w:tcPr>
          <w:p w:rsidR="005336CE" w:rsidRDefault="005336CE" w:rsidP="0037204D">
            <w:pPr>
              <w:jc w:val="center"/>
            </w:pPr>
          </w:p>
        </w:tc>
        <w:tc>
          <w:tcPr>
            <w:tcW w:w="1788" w:type="dxa"/>
          </w:tcPr>
          <w:p w:rsidR="005336CE" w:rsidRDefault="005336CE" w:rsidP="0037204D">
            <w:pPr>
              <w:jc w:val="center"/>
              <w:rPr>
                <w:b/>
              </w:rPr>
            </w:pPr>
            <w:r>
              <w:rPr>
                <w:b/>
              </w:rPr>
              <w:t>To Good Standing</w:t>
            </w:r>
          </w:p>
        </w:tc>
        <w:tc>
          <w:tcPr>
            <w:tcW w:w="1787" w:type="dxa"/>
            <w:gridSpan w:val="2"/>
          </w:tcPr>
          <w:p w:rsidR="005336CE" w:rsidRPr="00875B98" w:rsidRDefault="005336CE" w:rsidP="0037204D">
            <w:pPr>
              <w:jc w:val="center"/>
            </w:pPr>
            <w:r w:rsidRPr="00875B98">
              <w:t>31/45 (69%)</w:t>
            </w:r>
          </w:p>
        </w:tc>
        <w:tc>
          <w:tcPr>
            <w:tcW w:w="1787" w:type="dxa"/>
          </w:tcPr>
          <w:p w:rsidR="005336CE" w:rsidRPr="00875B98" w:rsidRDefault="005336CE" w:rsidP="0037204D">
            <w:pPr>
              <w:jc w:val="center"/>
            </w:pPr>
            <w:r w:rsidRPr="00875B98">
              <w:t>123/303 (41%)</w:t>
            </w:r>
          </w:p>
        </w:tc>
        <w:tc>
          <w:tcPr>
            <w:tcW w:w="1791" w:type="dxa"/>
            <w:gridSpan w:val="2"/>
          </w:tcPr>
          <w:p w:rsidR="005336CE" w:rsidRPr="00875B98" w:rsidRDefault="005336CE" w:rsidP="0037204D">
            <w:pPr>
              <w:jc w:val="center"/>
            </w:pPr>
            <w:r w:rsidRPr="00875B98">
              <w:t>19.72*</w:t>
            </w:r>
          </w:p>
        </w:tc>
      </w:tr>
      <w:tr w:rsidR="005336CE" w:rsidTr="00015978">
        <w:trPr>
          <w:trHeight w:val="212"/>
        </w:trPr>
        <w:tc>
          <w:tcPr>
            <w:tcW w:w="1793" w:type="dxa"/>
            <w:vMerge w:val="restart"/>
          </w:tcPr>
          <w:p w:rsidR="005336CE" w:rsidRPr="005336CE" w:rsidRDefault="005336CE" w:rsidP="0037204D">
            <w:pPr>
              <w:jc w:val="center"/>
              <w:rPr>
                <w:b/>
              </w:rPr>
            </w:pPr>
            <w:r w:rsidRPr="005336CE">
              <w:rPr>
                <w:b/>
              </w:rPr>
              <w:t>Fall 2006</w:t>
            </w:r>
          </w:p>
          <w:p w:rsidR="005336CE" w:rsidRDefault="005336CE" w:rsidP="0037204D">
            <w:pPr>
              <w:jc w:val="center"/>
            </w:pPr>
            <w:r w:rsidRPr="005336CE">
              <w:rPr>
                <w:b/>
              </w:rPr>
              <w:t>Spring 2007</w:t>
            </w:r>
          </w:p>
        </w:tc>
        <w:tc>
          <w:tcPr>
            <w:tcW w:w="1788" w:type="dxa"/>
          </w:tcPr>
          <w:p w:rsidR="005336CE" w:rsidRDefault="005336CE" w:rsidP="0037204D">
            <w:pPr>
              <w:jc w:val="center"/>
              <w:rPr>
                <w:b/>
              </w:rPr>
            </w:pPr>
            <w:r>
              <w:rPr>
                <w:b/>
              </w:rPr>
              <w:t>GPA increase</w:t>
            </w:r>
          </w:p>
        </w:tc>
        <w:tc>
          <w:tcPr>
            <w:tcW w:w="1787" w:type="dxa"/>
            <w:gridSpan w:val="2"/>
          </w:tcPr>
          <w:p w:rsidR="005336CE" w:rsidRPr="00875B98" w:rsidRDefault="005336CE" w:rsidP="0037204D">
            <w:pPr>
              <w:jc w:val="center"/>
            </w:pPr>
            <w:r w:rsidRPr="00875B98">
              <w:t>40/45 (89%)</w:t>
            </w:r>
          </w:p>
        </w:tc>
        <w:tc>
          <w:tcPr>
            <w:tcW w:w="1787" w:type="dxa"/>
          </w:tcPr>
          <w:p w:rsidR="005336CE" w:rsidRPr="00875B98" w:rsidRDefault="005336CE" w:rsidP="0037204D">
            <w:pPr>
              <w:jc w:val="center"/>
            </w:pPr>
            <w:r w:rsidRPr="00875B98">
              <w:t>160/234 (68%)</w:t>
            </w:r>
          </w:p>
        </w:tc>
        <w:tc>
          <w:tcPr>
            <w:tcW w:w="1791" w:type="dxa"/>
            <w:gridSpan w:val="2"/>
          </w:tcPr>
          <w:p w:rsidR="005336CE" w:rsidRPr="00875B98" w:rsidRDefault="005336CE" w:rsidP="0037204D">
            <w:pPr>
              <w:jc w:val="center"/>
            </w:pPr>
            <w:r w:rsidRPr="00875B98">
              <w:t>6.15*</w:t>
            </w:r>
          </w:p>
        </w:tc>
      </w:tr>
      <w:tr w:rsidR="005336CE" w:rsidTr="00015978">
        <w:trPr>
          <w:trHeight w:val="112"/>
        </w:trPr>
        <w:tc>
          <w:tcPr>
            <w:tcW w:w="1793" w:type="dxa"/>
            <w:vMerge/>
          </w:tcPr>
          <w:p w:rsidR="005336CE" w:rsidRDefault="005336CE" w:rsidP="0037204D">
            <w:pPr>
              <w:jc w:val="center"/>
            </w:pPr>
          </w:p>
        </w:tc>
        <w:tc>
          <w:tcPr>
            <w:tcW w:w="1788" w:type="dxa"/>
          </w:tcPr>
          <w:p w:rsidR="005336CE" w:rsidRDefault="005336CE" w:rsidP="0037204D">
            <w:pPr>
              <w:jc w:val="center"/>
              <w:rPr>
                <w:b/>
              </w:rPr>
            </w:pPr>
            <w:r>
              <w:rPr>
                <w:b/>
              </w:rPr>
              <w:t>GPA decrease</w:t>
            </w:r>
          </w:p>
        </w:tc>
        <w:tc>
          <w:tcPr>
            <w:tcW w:w="1787" w:type="dxa"/>
            <w:gridSpan w:val="2"/>
          </w:tcPr>
          <w:p w:rsidR="005336CE" w:rsidRPr="00875B98" w:rsidRDefault="005336CE" w:rsidP="0037204D">
            <w:pPr>
              <w:jc w:val="center"/>
            </w:pPr>
            <w:r w:rsidRPr="00875B98">
              <w:t>3/45 (7%)</w:t>
            </w:r>
          </w:p>
        </w:tc>
        <w:tc>
          <w:tcPr>
            <w:tcW w:w="1787" w:type="dxa"/>
          </w:tcPr>
          <w:p w:rsidR="005336CE" w:rsidRPr="00875B98" w:rsidRDefault="005336CE" w:rsidP="0037204D">
            <w:pPr>
              <w:jc w:val="center"/>
            </w:pPr>
            <w:r w:rsidRPr="00875B98">
              <w:t>68/234 (29%)</w:t>
            </w:r>
          </w:p>
        </w:tc>
        <w:tc>
          <w:tcPr>
            <w:tcW w:w="1791" w:type="dxa"/>
            <w:gridSpan w:val="2"/>
          </w:tcPr>
          <w:p w:rsidR="005336CE" w:rsidRPr="00875B98" w:rsidRDefault="005336CE" w:rsidP="0037204D">
            <w:pPr>
              <w:jc w:val="center"/>
            </w:pPr>
            <w:r w:rsidRPr="00875B98">
              <w:t>17.26*</w:t>
            </w:r>
          </w:p>
        </w:tc>
      </w:tr>
      <w:tr w:rsidR="005336CE" w:rsidTr="00015978">
        <w:trPr>
          <w:trHeight w:val="112"/>
        </w:trPr>
        <w:tc>
          <w:tcPr>
            <w:tcW w:w="1793" w:type="dxa"/>
            <w:vMerge/>
          </w:tcPr>
          <w:p w:rsidR="005336CE" w:rsidRDefault="005336CE" w:rsidP="0037204D">
            <w:pPr>
              <w:jc w:val="center"/>
            </w:pPr>
          </w:p>
        </w:tc>
        <w:tc>
          <w:tcPr>
            <w:tcW w:w="1788" w:type="dxa"/>
          </w:tcPr>
          <w:p w:rsidR="005336CE" w:rsidRDefault="005336CE" w:rsidP="0037204D">
            <w:pPr>
              <w:jc w:val="center"/>
              <w:rPr>
                <w:b/>
              </w:rPr>
            </w:pPr>
            <w:r>
              <w:rPr>
                <w:b/>
              </w:rPr>
              <w:t>To Good Standing</w:t>
            </w:r>
          </w:p>
        </w:tc>
        <w:tc>
          <w:tcPr>
            <w:tcW w:w="1787" w:type="dxa"/>
            <w:gridSpan w:val="2"/>
          </w:tcPr>
          <w:p w:rsidR="005336CE" w:rsidRPr="00875B98" w:rsidRDefault="005336CE" w:rsidP="0037204D">
            <w:pPr>
              <w:jc w:val="center"/>
            </w:pPr>
            <w:r w:rsidRPr="00875B98">
              <w:t>35/45 (78%)</w:t>
            </w:r>
          </w:p>
        </w:tc>
        <w:tc>
          <w:tcPr>
            <w:tcW w:w="1787" w:type="dxa"/>
          </w:tcPr>
          <w:p w:rsidR="005336CE" w:rsidRPr="00875B98" w:rsidRDefault="005336CE" w:rsidP="0037204D">
            <w:pPr>
              <w:jc w:val="center"/>
            </w:pPr>
            <w:r w:rsidRPr="00875B98">
              <w:t>92/234 (39%)</w:t>
            </w:r>
          </w:p>
        </w:tc>
        <w:tc>
          <w:tcPr>
            <w:tcW w:w="1791" w:type="dxa"/>
            <w:gridSpan w:val="2"/>
          </w:tcPr>
          <w:p w:rsidR="005336CE" w:rsidRPr="00875B98" w:rsidRDefault="005336CE" w:rsidP="0037204D">
            <w:pPr>
              <w:jc w:val="center"/>
            </w:pPr>
            <w:r w:rsidRPr="00875B98">
              <w:t>37.63*</w:t>
            </w:r>
          </w:p>
        </w:tc>
      </w:tr>
      <w:tr w:rsidR="005336CE" w:rsidTr="00015978">
        <w:trPr>
          <w:trHeight w:val="212"/>
        </w:trPr>
        <w:tc>
          <w:tcPr>
            <w:tcW w:w="1793" w:type="dxa"/>
            <w:vMerge w:val="restart"/>
          </w:tcPr>
          <w:p w:rsidR="005336CE" w:rsidRPr="005336CE" w:rsidRDefault="005336CE" w:rsidP="0037204D">
            <w:pPr>
              <w:jc w:val="center"/>
              <w:rPr>
                <w:b/>
              </w:rPr>
            </w:pPr>
            <w:r w:rsidRPr="005336CE">
              <w:rPr>
                <w:b/>
              </w:rPr>
              <w:t>Fall 2007</w:t>
            </w:r>
          </w:p>
          <w:p w:rsidR="005336CE" w:rsidRDefault="005336CE" w:rsidP="0037204D">
            <w:pPr>
              <w:jc w:val="center"/>
            </w:pPr>
            <w:r w:rsidRPr="005336CE">
              <w:rPr>
                <w:b/>
              </w:rPr>
              <w:t>Spring 2008</w:t>
            </w:r>
          </w:p>
        </w:tc>
        <w:tc>
          <w:tcPr>
            <w:tcW w:w="1788" w:type="dxa"/>
          </w:tcPr>
          <w:p w:rsidR="005336CE" w:rsidRDefault="005336CE" w:rsidP="0037204D">
            <w:pPr>
              <w:jc w:val="center"/>
              <w:rPr>
                <w:b/>
              </w:rPr>
            </w:pPr>
            <w:r>
              <w:rPr>
                <w:b/>
              </w:rPr>
              <w:t>GPA increase</w:t>
            </w:r>
          </w:p>
        </w:tc>
        <w:tc>
          <w:tcPr>
            <w:tcW w:w="1787" w:type="dxa"/>
            <w:gridSpan w:val="2"/>
          </w:tcPr>
          <w:p w:rsidR="005336CE" w:rsidRPr="00875B98" w:rsidRDefault="005336CE" w:rsidP="0037204D">
            <w:pPr>
              <w:jc w:val="center"/>
            </w:pPr>
            <w:r w:rsidRPr="00875B98">
              <w:t>21/21 (100%)</w:t>
            </w:r>
          </w:p>
        </w:tc>
        <w:tc>
          <w:tcPr>
            <w:tcW w:w="1787" w:type="dxa"/>
          </w:tcPr>
          <w:p w:rsidR="005336CE" w:rsidRPr="00875B98" w:rsidRDefault="00037062" w:rsidP="0037204D">
            <w:pPr>
              <w:jc w:val="center"/>
            </w:pPr>
            <w:r>
              <w:t>198/282 (70</w:t>
            </w:r>
            <w:r w:rsidR="005336CE" w:rsidRPr="00875B98">
              <w:t>%)</w:t>
            </w:r>
          </w:p>
        </w:tc>
        <w:tc>
          <w:tcPr>
            <w:tcW w:w="1791" w:type="dxa"/>
            <w:gridSpan w:val="2"/>
          </w:tcPr>
          <w:p w:rsidR="005336CE" w:rsidRPr="00875B98" w:rsidRDefault="00037062" w:rsidP="0037204D">
            <w:pPr>
              <w:jc w:val="center"/>
            </w:pPr>
            <w:r>
              <w:t>12.64</w:t>
            </w:r>
            <w:r w:rsidR="005336CE" w:rsidRPr="00875B98">
              <w:t>*</w:t>
            </w:r>
          </w:p>
        </w:tc>
      </w:tr>
      <w:tr w:rsidR="005336CE" w:rsidTr="00015978">
        <w:trPr>
          <w:trHeight w:val="112"/>
        </w:trPr>
        <w:tc>
          <w:tcPr>
            <w:tcW w:w="1793" w:type="dxa"/>
            <w:vMerge/>
          </w:tcPr>
          <w:p w:rsidR="005336CE" w:rsidRDefault="005336CE" w:rsidP="0037204D">
            <w:pPr>
              <w:jc w:val="center"/>
            </w:pPr>
          </w:p>
        </w:tc>
        <w:tc>
          <w:tcPr>
            <w:tcW w:w="1788" w:type="dxa"/>
          </w:tcPr>
          <w:p w:rsidR="005336CE" w:rsidRDefault="005336CE" w:rsidP="0037204D">
            <w:pPr>
              <w:jc w:val="center"/>
              <w:rPr>
                <w:b/>
              </w:rPr>
            </w:pPr>
            <w:r>
              <w:rPr>
                <w:b/>
              </w:rPr>
              <w:t>GPA decrease</w:t>
            </w:r>
          </w:p>
        </w:tc>
        <w:tc>
          <w:tcPr>
            <w:tcW w:w="1787" w:type="dxa"/>
            <w:gridSpan w:val="2"/>
          </w:tcPr>
          <w:p w:rsidR="005336CE" w:rsidRPr="00875B98" w:rsidRDefault="005336CE" w:rsidP="0037204D">
            <w:pPr>
              <w:jc w:val="center"/>
            </w:pPr>
            <w:r w:rsidRPr="00875B98">
              <w:t>0/21 (0%)</w:t>
            </w:r>
          </w:p>
        </w:tc>
        <w:tc>
          <w:tcPr>
            <w:tcW w:w="1787" w:type="dxa"/>
          </w:tcPr>
          <w:p w:rsidR="005336CE" w:rsidRPr="00875B98" w:rsidRDefault="00037062" w:rsidP="0037204D">
            <w:pPr>
              <w:jc w:val="center"/>
            </w:pPr>
            <w:r>
              <w:t>79/282 (28</w:t>
            </w:r>
            <w:r w:rsidR="005336CE" w:rsidRPr="00875B98">
              <w:t>%)</w:t>
            </w:r>
          </w:p>
        </w:tc>
        <w:tc>
          <w:tcPr>
            <w:tcW w:w="1791" w:type="dxa"/>
            <w:gridSpan w:val="2"/>
          </w:tcPr>
          <w:p w:rsidR="005336CE" w:rsidRPr="00875B98" w:rsidRDefault="00037062" w:rsidP="0037204D">
            <w:pPr>
              <w:jc w:val="center"/>
            </w:pPr>
            <w:r>
              <w:t>28.01</w:t>
            </w:r>
            <w:r w:rsidR="005336CE" w:rsidRPr="00875B98">
              <w:t>*</w:t>
            </w:r>
          </w:p>
        </w:tc>
      </w:tr>
      <w:tr w:rsidR="005336CE" w:rsidTr="00015978">
        <w:trPr>
          <w:trHeight w:val="112"/>
        </w:trPr>
        <w:tc>
          <w:tcPr>
            <w:tcW w:w="1793" w:type="dxa"/>
            <w:vMerge/>
          </w:tcPr>
          <w:p w:rsidR="005336CE" w:rsidRDefault="005336CE" w:rsidP="0037204D">
            <w:pPr>
              <w:jc w:val="center"/>
            </w:pPr>
          </w:p>
        </w:tc>
        <w:tc>
          <w:tcPr>
            <w:tcW w:w="1788" w:type="dxa"/>
          </w:tcPr>
          <w:p w:rsidR="005336CE" w:rsidRDefault="005336CE" w:rsidP="0037204D">
            <w:pPr>
              <w:jc w:val="center"/>
              <w:rPr>
                <w:b/>
              </w:rPr>
            </w:pPr>
            <w:r>
              <w:rPr>
                <w:b/>
              </w:rPr>
              <w:t>To Good Standing</w:t>
            </w:r>
          </w:p>
        </w:tc>
        <w:tc>
          <w:tcPr>
            <w:tcW w:w="1787" w:type="dxa"/>
            <w:gridSpan w:val="2"/>
          </w:tcPr>
          <w:p w:rsidR="005336CE" w:rsidRPr="00875B98" w:rsidRDefault="005336CE" w:rsidP="0037204D">
            <w:pPr>
              <w:jc w:val="center"/>
            </w:pPr>
            <w:r w:rsidRPr="00875B98">
              <w:t>15/21 (71%)</w:t>
            </w:r>
          </w:p>
        </w:tc>
        <w:tc>
          <w:tcPr>
            <w:tcW w:w="1787" w:type="dxa"/>
          </w:tcPr>
          <w:p w:rsidR="005336CE" w:rsidRPr="00875B98" w:rsidRDefault="00037062" w:rsidP="0037204D">
            <w:pPr>
              <w:jc w:val="center"/>
            </w:pPr>
            <w:r>
              <w:t>104/282 (36</w:t>
            </w:r>
            <w:r w:rsidR="005336CE" w:rsidRPr="00875B98">
              <w:t>%)</w:t>
            </w:r>
          </w:p>
        </w:tc>
        <w:tc>
          <w:tcPr>
            <w:tcW w:w="1791" w:type="dxa"/>
            <w:gridSpan w:val="2"/>
          </w:tcPr>
          <w:p w:rsidR="005336CE" w:rsidRPr="00875B98" w:rsidRDefault="00037062" w:rsidP="0037204D">
            <w:pPr>
              <w:jc w:val="center"/>
            </w:pPr>
            <w:r>
              <w:t>32.37</w:t>
            </w:r>
            <w:r w:rsidR="005336CE" w:rsidRPr="00875B98">
              <w:t>*</w:t>
            </w:r>
          </w:p>
        </w:tc>
      </w:tr>
      <w:tr w:rsidR="00015978" w:rsidTr="00015978">
        <w:tblPrEx>
          <w:tblLook w:val="0000"/>
        </w:tblPrEx>
        <w:trPr>
          <w:trHeight w:val="300"/>
        </w:trPr>
        <w:tc>
          <w:tcPr>
            <w:tcW w:w="1793" w:type="dxa"/>
            <w:vMerge w:val="restart"/>
          </w:tcPr>
          <w:p w:rsidR="00015978" w:rsidRDefault="00015978" w:rsidP="0037204D">
            <w:pPr>
              <w:ind w:left="108"/>
              <w:rPr>
                <w:b/>
              </w:rPr>
            </w:pPr>
            <w:r>
              <w:rPr>
                <w:b/>
              </w:rPr>
              <w:t xml:space="preserve">    Fall 2008</w:t>
            </w:r>
          </w:p>
          <w:p w:rsidR="00015978" w:rsidRPr="00015978" w:rsidRDefault="00015978" w:rsidP="0037204D">
            <w:pPr>
              <w:ind w:left="108"/>
              <w:rPr>
                <w:b/>
              </w:rPr>
            </w:pPr>
            <w:r>
              <w:rPr>
                <w:b/>
              </w:rPr>
              <w:t xml:space="preserve">  Spring 2009</w:t>
            </w:r>
          </w:p>
          <w:p w:rsidR="00015978" w:rsidRDefault="00015978" w:rsidP="0037204D">
            <w:pPr>
              <w:ind w:left="108"/>
              <w:rPr>
                <w:b/>
              </w:rPr>
            </w:pPr>
          </w:p>
        </w:tc>
        <w:tc>
          <w:tcPr>
            <w:tcW w:w="1794" w:type="dxa"/>
            <w:gridSpan w:val="2"/>
          </w:tcPr>
          <w:p w:rsidR="00015978" w:rsidRDefault="00015978" w:rsidP="00015978">
            <w:pPr>
              <w:rPr>
                <w:b/>
              </w:rPr>
            </w:pPr>
            <w:r>
              <w:rPr>
                <w:b/>
              </w:rPr>
              <w:t xml:space="preserve">  GPA increase</w:t>
            </w:r>
          </w:p>
        </w:tc>
        <w:tc>
          <w:tcPr>
            <w:tcW w:w="1781" w:type="dxa"/>
          </w:tcPr>
          <w:p w:rsidR="00015978" w:rsidRPr="00F17FAA" w:rsidRDefault="00F17FAA" w:rsidP="0037204D">
            <w:r>
              <w:rPr>
                <w:b/>
              </w:rPr>
              <w:t xml:space="preserve">   </w:t>
            </w:r>
            <w:r>
              <w:t>28/33 (84%)</w:t>
            </w:r>
          </w:p>
        </w:tc>
        <w:tc>
          <w:tcPr>
            <w:tcW w:w="1794" w:type="dxa"/>
            <w:gridSpan w:val="2"/>
          </w:tcPr>
          <w:p w:rsidR="00015978" w:rsidRPr="00F17FAA" w:rsidRDefault="00F17FAA" w:rsidP="0037204D">
            <w:r>
              <w:rPr>
                <w:b/>
              </w:rPr>
              <w:t xml:space="preserve">  </w:t>
            </w:r>
            <w:r>
              <w:t>207/251 (82%)</w:t>
            </w:r>
          </w:p>
        </w:tc>
        <w:tc>
          <w:tcPr>
            <w:tcW w:w="1784" w:type="dxa"/>
          </w:tcPr>
          <w:p w:rsidR="00015978" w:rsidRPr="00BC69D0" w:rsidRDefault="00BC69D0" w:rsidP="0037204D">
            <w:r>
              <w:rPr>
                <w:b/>
              </w:rPr>
              <w:t xml:space="preserve">        </w:t>
            </w:r>
            <w:r>
              <w:t>0.07</w:t>
            </w:r>
          </w:p>
        </w:tc>
      </w:tr>
      <w:tr w:rsidR="00015978" w:rsidTr="00015978">
        <w:tblPrEx>
          <w:tblLook w:val="0000"/>
        </w:tblPrEx>
        <w:trPr>
          <w:trHeight w:val="350"/>
        </w:trPr>
        <w:tc>
          <w:tcPr>
            <w:tcW w:w="1793" w:type="dxa"/>
            <w:vMerge/>
          </w:tcPr>
          <w:p w:rsidR="00015978" w:rsidRDefault="00015978" w:rsidP="0037204D">
            <w:pPr>
              <w:ind w:left="108"/>
              <w:rPr>
                <w:b/>
              </w:rPr>
            </w:pPr>
          </w:p>
        </w:tc>
        <w:tc>
          <w:tcPr>
            <w:tcW w:w="1794" w:type="dxa"/>
            <w:gridSpan w:val="2"/>
          </w:tcPr>
          <w:p w:rsidR="00015978" w:rsidRDefault="00015978" w:rsidP="00015978">
            <w:pPr>
              <w:rPr>
                <w:b/>
              </w:rPr>
            </w:pPr>
            <w:r>
              <w:rPr>
                <w:b/>
              </w:rPr>
              <w:t xml:space="preserve"> GPA decrease</w:t>
            </w:r>
          </w:p>
        </w:tc>
        <w:tc>
          <w:tcPr>
            <w:tcW w:w="1781" w:type="dxa"/>
          </w:tcPr>
          <w:p w:rsidR="00015978" w:rsidRPr="00F17FAA" w:rsidRDefault="00F17FAA" w:rsidP="0037204D">
            <w:r>
              <w:t xml:space="preserve">     4/33 (12%)</w:t>
            </w:r>
          </w:p>
        </w:tc>
        <w:tc>
          <w:tcPr>
            <w:tcW w:w="1794" w:type="dxa"/>
            <w:gridSpan w:val="2"/>
          </w:tcPr>
          <w:p w:rsidR="00015978" w:rsidRPr="00F17FAA" w:rsidRDefault="00F17FAA" w:rsidP="0037204D">
            <w:r>
              <w:rPr>
                <w:b/>
              </w:rPr>
              <w:t xml:space="preserve">  </w:t>
            </w:r>
            <w:r>
              <w:t xml:space="preserve">  43/251 (17%)</w:t>
            </w:r>
          </w:p>
        </w:tc>
        <w:tc>
          <w:tcPr>
            <w:tcW w:w="1784" w:type="dxa"/>
          </w:tcPr>
          <w:p w:rsidR="00015978" w:rsidRPr="00BC69D0" w:rsidRDefault="00BC69D0" w:rsidP="0037204D">
            <w:r>
              <w:rPr>
                <w:b/>
              </w:rPr>
              <w:t xml:space="preserve">        </w:t>
            </w:r>
            <w:r>
              <w:t>1.46</w:t>
            </w:r>
          </w:p>
        </w:tc>
      </w:tr>
      <w:tr w:rsidR="00015978" w:rsidTr="00015978">
        <w:tblPrEx>
          <w:tblLook w:val="0000"/>
        </w:tblPrEx>
        <w:trPr>
          <w:trHeight w:val="555"/>
        </w:trPr>
        <w:tc>
          <w:tcPr>
            <w:tcW w:w="1793" w:type="dxa"/>
            <w:vMerge/>
          </w:tcPr>
          <w:p w:rsidR="00015978" w:rsidRDefault="00015978" w:rsidP="0037204D">
            <w:pPr>
              <w:ind w:left="108"/>
              <w:rPr>
                <w:b/>
              </w:rPr>
            </w:pPr>
          </w:p>
        </w:tc>
        <w:tc>
          <w:tcPr>
            <w:tcW w:w="1794" w:type="dxa"/>
            <w:gridSpan w:val="2"/>
          </w:tcPr>
          <w:p w:rsidR="00015978" w:rsidRDefault="00015978">
            <w:pPr>
              <w:rPr>
                <w:b/>
              </w:rPr>
            </w:pPr>
            <w:r>
              <w:rPr>
                <w:b/>
              </w:rPr>
              <w:t xml:space="preserve">     To Good</w:t>
            </w:r>
          </w:p>
          <w:p w:rsidR="00015978" w:rsidRDefault="00015978" w:rsidP="0037204D">
            <w:pPr>
              <w:rPr>
                <w:b/>
              </w:rPr>
            </w:pPr>
            <w:r>
              <w:rPr>
                <w:b/>
              </w:rPr>
              <w:t xml:space="preserve">      Standing</w:t>
            </w:r>
          </w:p>
        </w:tc>
        <w:tc>
          <w:tcPr>
            <w:tcW w:w="1781" w:type="dxa"/>
          </w:tcPr>
          <w:p w:rsidR="00015978" w:rsidRPr="00F17FAA" w:rsidRDefault="00F17FAA" w:rsidP="0037204D">
            <w:r>
              <w:rPr>
                <w:b/>
              </w:rPr>
              <w:t xml:space="preserve">   </w:t>
            </w:r>
            <w:r>
              <w:t>17/33 (51%)</w:t>
            </w:r>
          </w:p>
        </w:tc>
        <w:tc>
          <w:tcPr>
            <w:tcW w:w="1794" w:type="dxa"/>
            <w:gridSpan w:val="2"/>
          </w:tcPr>
          <w:p w:rsidR="00015978" w:rsidRPr="00F17FAA" w:rsidRDefault="00F17FAA" w:rsidP="0037204D">
            <w:r>
              <w:rPr>
                <w:b/>
              </w:rPr>
              <w:t xml:space="preserve">  </w:t>
            </w:r>
            <w:r>
              <w:t>120/251 (47%)</w:t>
            </w:r>
          </w:p>
        </w:tc>
        <w:tc>
          <w:tcPr>
            <w:tcW w:w="1784" w:type="dxa"/>
          </w:tcPr>
          <w:p w:rsidR="00015978" w:rsidRPr="00BC69D0" w:rsidRDefault="00BC69D0" w:rsidP="0037204D">
            <w:r>
              <w:rPr>
                <w:b/>
              </w:rPr>
              <w:t xml:space="preserve">        </w:t>
            </w:r>
            <w:r>
              <w:t>0.29</w:t>
            </w:r>
          </w:p>
        </w:tc>
      </w:tr>
    </w:tbl>
    <w:p w:rsidR="005336CE" w:rsidRDefault="005336CE" w:rsidP="005336CE">
      <w:pPr>
        <w:rPr>
          <w:b/>
        </w:rPr>
      </w:pPr>
      <w:r w:rsidRPr="00D808F0">
        <w:rPr>
          <w:b/>
        </w:rPr>
        <w:t>Alpha level of .05</w:t>
      </w:r>
    </w:p>
    <w:p w:rsidR="00246080" w:rsidRDefault="00246080" w:rsidP="005336CE">
      <w:pPr>
        <w:rPr>
          <w:b/>
        </w:rPr>
      </w:pPr>
      <w:r>
        <w:rPr>
          <w:b/>
        </w:rPr>
        <w:t xml:space="preserve">Note: * indicates statistically significant </w:t>
      </w:r>
      <w:smartTag w:uri="urn:schemas-microsoft-com:office:smarttags" w:element="Street">
        <w:smartTag w:uri="urn:schemas-microsoft-com:office:smarttags" w:element="address">
          <w:r>
            <w:rPr>
              <w:b/>
            </w:rPr>
            <w:t>Chi Square</w:t>
          </w:r>
        </w:smartTag>
      </w:smartTag>
      <w:r>
        <w:rPr>
          <w:b/>
        </w:rPr>
        <w:t xml:space="preserve"> statistic</w:t>
      </w:r>
    </w:p>
    <w:p w:rsidR="005336CE" w:rsidRPr="009B7F8D" w:rsidRDefault="005336CE" w:rsidP="005336CE">
      <w:proofErr w:type="gramStart"/>
      <w:r w:rsidRPr="009B7F8D">
        <w:t>(</w:t>
      </w:r>
      <w:r>
        <w:t>Jaccard, J. &amp; Becker, M. A. (2002).</w:t>
      </w:r>
      <w:proofErr w:type="gramEnd"/>
      <w:r>
        <w:t xml:space="preserve">  </w:t>
      </w:r>
      <w:proofErr w:type="gramStart"/>
      <w:r w:rsidRPr="009B7F8D">
        <w:rPr>
          <w:i/>
        </w:rPr>
        <w:t>Statistics for the Behavioral Sciences 4</w:t>
      </w:r>
      <w:r>
        <w:rPr>
          <w:i/>
        </w:rPr>
        <w:t>.</w:t>
      </w:r>
      <w:proofErr w:type="gramEnd"/>
      <w:r>
        <w:t xml:space="preserve">  </w:t>
      </w:r>
      <w:smartTag w:uri="urn:schemas-microsoft-com:office:smarttags" w:element="City">
        <w:r>
          <w:t>Belmont</w:t>
        </w:r>
      </w:smartTag>
      <w:r>
        <w:t xml:space="preserve">:  </w:t>
      </w:r>
      <w:smartTag w:uri="urn:schemas-microsoft-com:office:smarttags" w:element="place">
        <w:smartTag w:uri="urn:schemas-microsoft-com:office:smarttags" w:element="City">
          <w:r>
            <w:t>Wadsworth</w:t>
          </w:r>
        </w:smartTag>
      </w:smartTag>
      <w:r>
        <w:t>.</w:t>
      </w:r>
      <w:r w:rsidRPr="009B7F8D">
        <w:t>)</w:t>
      </w:r>
    </w:p>
    <w:p w:rsidR="005336CE" w:rsidRDefault="005336CE" w:rsidP="005336CE"/>
    <w:p w:rsidR="00DB7AB1" w:rsidRDefault="00DB7AB1" w:rsidP="00DB7AB1"/>
    <w:p w:rsidR="00DB7AB1" w:rsidRPr="00DB7AB1" w:rsidRDefault="00DB7AB1" w:rsidP="00DB7AB1">
      <w:pPr>
        <w:jc w:val="center"/>
        <w:rPr>
          <w:b/>
        </w:rPr>
      </w:pPr>
    </w:p>
    <w:sectPr w:rsidR="00DB7AB1" w:rsidRPr="00DB7AB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B7AB1"/>
    <w:rsid w:val="00015978"/>
    <w:rsid w:val="00037062"/>
    <w:rsid w:val="000A5FCC"/>
    <w:rsid w:val="000C592B"/>
    <w:rsid w:val="000D158D"/>
    <w:rsid w:val="001B24C0"/>
    <w:rsid w:val="00244F56"/>
    <w:rsid w:val="00246080"/>
    <w:rsid w:val="002F63DC"/>
    <w:rsid w:val="00371BE6"/>
    <w:rsid w:val="0037204D"/>
    <w:rsid w:val="003E0D90"/>
    <w:rsid w:val="0040582E"/>
    <w:rsid w:val="00525B6A"/>
    <w:rsid w:val="00530515"/>
    <w:rsid w:val="005336CE"/>
    <w:rsid w:val="005C0380"/>
    <w:rsid w:val="00680725"/>
    <w:rsid w:val="006D5892"/>
    <w:rsid w:val="00875B98"/>
    <w:rsid w:val="008819FC"/>
    <w:rsid w:val="00923528"/>
    <w:rsid w:val="00933398"/>
    <w:rsid w:val="00BC69D0"/>
    <w:rsid w:val="00C40187"/>
    <w:rsid w:val="00DB7AB1"/>
    <w:rsid w:val="00DD0818"/>
    <w:rsid w:val="00DF466E"/>
    <w:rsid w:val="00F17FA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7AB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DB7A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1B24C0"/>
    <w:rPr>
      <w:rFonts w:cs="Times New Roman"/>
      <w:sz w:val="16"/>
      <w:szCs w:val="16"/>
    </w:rPr>
  </w:style>
  <w:style w:type="paragraph" w:styleId="CommentText">
    <w:name w:val="annotation text"/>
    <w:basedOn w:val="Normal"/>
    <w:link w:val="CommentTextChar"/>
    <w:rsid w:val="001B24C0"/>
    <w:rPr>
      <w:sz w:val="20"/>
      <w:szCs w:val="20"/>
    </w:rPr>
  </w:style>
  <w:style w:type="character" w:customStyle="1" w:styleId="CommentTextChar">
    <w:name w:val="Comment Text Char"/>
    <w:basedOn w:val="DefaultParagraphFont"/>
    <w:link w:val="CommentText"/>
    <w:locked/>
    <w:rsid w:val="001B24C0"/>
    <w:rPr>
      <w:lang w:val="en-US" w:eastAsia="en-US" w:bidi="ar-SA"/>
    </w:rPr>
  </w:style>
  <w:style w:type="paragraph" w:styleId="BalloonText">
    <w:name w:val="Balloon Text"/>
    <w:basedOn w:val="Normal"/>
    <w:semiHidden/>
    <w:rsid w:val="001B24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853</Words>
  <Characters>4717</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Academic Mentor Program Evaluation</vt:lpstr>
    </vt:vector>
  </TitlesOfParts>
  <Company>James Madison University</Company>
  <LinksUpToDate>false</LinksUpToDate>
  <CharactersWithSpaces>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Mentor Program Evaluation</dc:title>
  <dc:subject/>
  <dc:creator>marshkr</dc:creator>
  <cp:keywords/>
  <dc:description/>
  <cp:lastModifiedBy>Maggie Burkhart Evans</cp:lastModifiedBy>
  <cp:revision>2</cp:revision>
  <dcterms:created xsi:type="dcterms:W3CDTF">2010-01-06T21:40:00Z</dcterms:created>
  <dcterms:modified xsi:type="dcterms:W3CDTF">2010-01-06T21:40:00Z</dcterms:modified>
</cp:coreProperties>
</file>