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B38" w:rsidRDefault="005820C0" w:rsidP="001F1203">
      <w:pPr>
        <w:jc w:val="center"/>
      </w:pPr>
      <w:r>
        <w:rPr>
          <w:noProof/>
        </w:rPr>
        <w:drawing>
          <wp:inline distT="0" distB="0" distL="0" distR="0">
            <wp:extent cx="1869908" cy="548851"/>
            <wp:effectExtent l="19050" t="0" r="0" b="0"/>
            <wp:docPr id="2" name="Picture 1" descr="C:\Documents and Settings\peter\Desktop\UofMlog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Desktop\UofMlogoK.jpg"/>
                    <pic:cNvPicPr>
                      <a:picLocks noChangeAspect="1" noChangeArrowheads="1"/>
                    </pic:cNvPicPr>
                  </pic:nvPicPr>
                  <pic:blipFill>
                    <a:blip r:embed="rId7" cstate="print"/>
                    <a:srcRect/>
                    <a:stretch>
                      <a:fillRect/>
                    </a:stretch>
                  </pic:blipFill>
                  <pic:spPr bwMode="auto">
                    <a:xfrm>
                      <a:off x="0" y="0"/>
                      <a:ext cx="1878621" cy="551408"/>
                    </a:xfrm>
                    <a:prstGeom prst="rect">
                      <a:avLst/>
                    </a:prstGeom>
                    <a:noFill/>
                    <a:ln w="9525">
                      <a:noFill/>
                      <a:miter lim="800000"/>
                      <a:headEnd/>
                      <a:tailEnd/>
                    </a:ln>
                  </pic:spPr>
                </pic:pic>
              </a:graphicData>
            </a:graphic>
          </wp:inline>
        </w:drawing>
      </w:r>
    </w:p>
    <w:p w:rsidR="00BE3B38" w:rsidRDefault="00BE3B38" w:rsidP="00BE3B38">
      <w:pPr>
        <w:pStyle w:val="NoSpacing"/>
      </w:pPr>
      <w:r>
        <w:t>January 10, 2008</w:t>
      </w:r>
    </w:p>
    <w:p w:rsidR="00BE3B38" w:rsidRDefault="00BE3B38" w:rsidP="00BE3B38">
      <w:pPr>
        <w:pStyle w:val="NoSpacing"/>
      </w:pPr>
    </w:p>
    <w:p w:rsidR="00BE3B38" w:rsidRDefault="00BE3B38" w:rsidP="00BE3B38">
      <w:pPr>
        <w:pStyle w:val="NoSpacing"/>
        <w:outlineLvl w:val="0"/>
      </w:pPr>
      <w:r>
        <w:t>Awards and Recognition Committee</w:t>
      </w:r>
    </w:p>
    <w:p w:rsidR="00BE3B38" w:rsidRDefault="00BE3B38" w:rsidP="00BE3B38">
      <w:pPr>
        <w:pStyle w:val="NoSpacing"/>
      </w:pPr>
      <w:r>
        <w:t>Southeastern Association of Housing Officers</w:t>
      </w:r>
    </w:p>
    <w:p w:rsidR="00BE3B38" w:rsidRDefault="00BE3B38" w:rsidP="00BE3B38">
      <w:pPr>
        <w:pStyle w:val="NoSpacing"/>
      </w:pPr>
    </w:p>
    <w:p w:rsidR="00BE3B38" w:rsidRDefault="00B077C6" w:rsidP="00BE3B38">
      <w:pPr>
        <w:pStyle w:val="NoSpacing"/>
      </w:pPr>
      <w:r>
        <w:t>Dear Colleagues</w:t>
      </w:r>
      <w:r w:rsidR="00BE3B38">
        <w:t>:</w:t>
      </w:r>
    </w:p>
    <w:p w:rsidR="00BE3B38" w:rsidRDefault="00BE3B38" w:rsidP="00BE3B38">
      <w:pPr>
        <w:pStyle w:val="NoSpacing"/>
      </w:pPr>
    </w:p>
    <w:p w:rsidR="00BE3B38" w:rsidRDefault="00BE3B38" w:rsidP="00BE3B38">
      <w:pPr>
        <w:pStyle w:val="NoSpacing"/>
      </w:pPr>
      <w:r>
        <w:t xml:space="preserve">I am writing this </w:t>
      </w:r>
      <w:r w:rsidR="00A20F43">
        <w:t>letter to nominate my institution</w:t>
      </w:r>
      <w:r>
        <w:t xml:space="preserve"> for </w:t>
      </w:r>
      <w:r>
        <w:rPr>
          <w:b/>
          <w:i/>
        </w:rPr>
        <w:t>The Housing and Academic Collaboration Award</w:t>
      </w:r>
      <w:r w:rsidR="00A20F43">
        <w:rPr>
          <w:b/>
          <w:i/>
        </w:rPr>
        <w:t>.</w:t>
      </w:r>
      <w:r>
        <w:rPr>
          <w:b/>
          <w:i/>
        </w:rPr>
        <w:t xml:space="preserve"> </w:t>
      </w:r>
      <w:r w:rsidR="00A20F43">
        <w:t xml:space="preserve">This nomination is </w:t>
      </w:r>
      <w:r>
        <w:t xml:space="preserve">on behalf of the faculty and staff </w:t>
      </w:r>
      <w:r w:rsidR="00A20F43">
        <w:t xml:space="preserve">who developed our </w:t>
      </w:r>
      <w:r>
        <w:t>living learning communities</w:t>
      </w:r>
      <w:r w:rsidR="00174BE0">
        <w:t>,</w:t>
      </w:r>
      <w:r>
        <w:t xml:space="preserve"> in</w:t>
      </w:r>
      <w:r w:rsidR="00A20F43">
        <w:t xml:space="preserve"> collaboration with</w:t>
      </w:r>
      <w:r>
        <w:t xml:space="preserve"> the Department of Residence Life, Dining Services, and Child Care Center at the University of Memphis.</w:t>
      </w:r>
      <w:r w:rsidR="00174BE0">
        <w:t xml:space="preserve">  The following nominati</w:t>
      </w:r>
      <w:r w:rsidR="00A20F43">
        <w:t>on provides information on the R</w:t>
      </w:r>
      <w:r w:rsidR="00174BE0">
        <w:t>equest for Proposal</w:t>
      </w:r>
      <w:r w:rsidR="00A20F43">
        <w:t xml:space="preserve"> (RFP)</w:t>
      </w:r>
      <w:r w:rsidR="00174BE0">
        <w:t>, the selection, and the implementation of our new program.</w:t>
      </w:r>
    </w:p>
    <w:p w:rsidR="00174BE0" w:rsidRDefault="00174BE0" w:rsidP="00BE3B38">
      <w:pPr>
        <w:pStyle w:val="NoSpacing"/>
      </w:pPr>
    </w:p>
    <w:p w:rsidR="00174BE0" w:rsidRDefault="00174BE0" w:rsidP="00BE3B38">
      <w:pPr>
        <w:pStyle w:val="NoSpacing"/>
      </w:pPr>
      <w:r>
        <w:t>During the Spring Semeste</w:t>
      </w:r>
      <w:r w:rsidR="00A20F43">
        <w:t>r of 2005 a committee involving f</w:t>
      </w:r>
      <w:r>
        <w:t>aculty, the Provost</w:t>
      </w:r>
      <w:r w:rsidR="00A20F43">
        <w:t>’s Office, Student Affairs, and Residence Life</w:t>
      </w:r>
      <w:r>
        <w:t xml:space="preserve"> de</w:t>
      </w:r>
      <w:r w:rsidR="00A20F43">
        <w:t>veloped an RFP that went to all f</w:t>
      </w:r>
      <w:r>
        <w:t>aculty inviting them to compete for space in</w:t>
      </w:r>
      <w:r w:rsidR="00A20F43">
        <w:t xml:space="preserve"> the</w:t>
      </w:r>
      <w:r>
        <w:t xml:space="preserve"> new townhouse units that were being b</w:t>
      </w:r>
      <w:r w:rsidR="00EA48BE">
        <w:t>uilt and scheduled to open for f</w:t>
      </w:r>
      <w:r>
        <w:t>all</w:t>
      </w:r>
      <w:r w:rsidR="00A20F43">
        <w:t xml:space="preserve"> 2006.  The new townhouses consisted of </w:t>
      </w:r>
      <w:r>
        <w:t>an 8 to 9 bedroom</w:t>
      </w:r>
      <w:r w:rsidR="00A20F43">
        <w:t>s</w:t>
      </w:r>
      <w:r>
        <w:t>, traditional townhou</w:t>
      </w:r>
      <w:r w:rsidR="00A20F43">
        <w:t>se design with an additional 750</w:t>
      </w:r>
      <w:r>
        <w:t xml:space="preserve"> sq</w:t>
      </w:r>
      <w:r w:rsidR="00A20F43">
        <w:t>uare</w:t>
      </w:r>
      <w:r>
        <w:t xml:space="preserve"> f</w:t>
      </w:r>
      <w:r w:rsidR="00A20F43">
        <w:t>ee</w:t>
      </w:r>
      <w:r>
        <w:t xml:space="preserve">t of classroom space.  The </w:t>
      </w:r>
      <w:r w:rsidR="00B077C6">
        <w:t>faculty was</w:t>
      </w:r>
      <w:r>
        <w:t xml:space="preserve"> told that they had to submit proposals that would detail the following criteria:</w:t>
      </w:r>
    </w:p>
    <w:p w:rsidR="00174BE0" w:rsidRDefault="00174BE0" w:rsidP="00174BE0">
      <w:pPr>
        <w:pStyle w:val="NoSpacing"/>
      </w:pPr>
    </w:p>
    <w:p w:rsidR="00174BE0" w:rsidRDefault="00174BE0" w:rsidP="00174BE0">
      <w:pPr>
        <w:pStyle w:val="NoSpacing"/>
        <w:numPr>
          <w:ilvl w:val="0"/>
          <w:numId w:val="3"/>
        </w:numPr>
      </w:pPr>
      <w:r>
        <w:t>The groups must have specifically scheduled academic activities within the facility</w:t>
      </w:r>
      <w:r w:rsidR="005B4D24">
        <w:t>.</w:t>
      </w:r>
    </w:p>
    <w:p w:rsidR="005B4D24" w:rsidRDefault="005B4D24" w:rsidP="00174BE0">
      <w:pPr>
        <w:pStyle w:val="NoSpacing"/>
        <w:numPr>
          <w:ilvl w:val="0"/>
          <w:numId w:val="3"/>
        </w:numPr>
      </w:pPr>
      <w:r>
        <w:t xml:space="preserve">The groups </w:t>
      </w:r>
      <w:r w:rsidR="00A20F43">
        <w:t>must</w:t>
      </w:r>
      <w:r>
        <w:t xml:space="preserve"> address cultural, social and recreational needs of students within the facility.</w:t>
      </w:r>
    </w:p>
    <w:p w:rsidR="005B4D24" w:rsidRDefault="005B4D24" w:rsidP="00174BE0">
      <w:pPr>
        <w:pStyle w:val="NoSpacing"/>
        <w:numPr>
          <w:ilvl w:val="0"/>
          <w:numId w:val="3"/>
        </w:numPr>
      </w:pPr>
      <w:r>
        <w:t>The groups must have goals and objectives that are measurable</w:t>
      </w:r>
    </w:p>
    <w:p w:rsidR="005B4D24" w:rsidRDefault="005B4D24" w:rsidP="00174BE0">
      <w:pPr>
        <w:pStyle w:val="NoSpacing"/>
        <w:numPr>
          <w:ilvl w:val="0"/>
          <w:numId w:val="3"/>
        </w:numPr>
      </w:pPr>
      <w:r>
        <w:t>The groups must maintain 100% occupancy of the living space during the fall and spring semester and 4 beds during the summer.</w:t>
      </w:r>
    </w:p>
    <w:p w:rsidR="005B4D24" w:rsidRDefault="005B4D24" w:rsidP="005B4D24">
      <w:pPr>
        <w:pStyle w:val="NoSpacing"/>
      </w:pPr>
    </w:p>
    <w:p w:rsidR="005B4D24" w:rsidRDefault="005B4D24" w:rsidP="005B4D24">
      <w:pPr>
        <w:pStyle w:val="NoSpacing"/>
      </w:pPr>
      <w:r>
        <w:t>The proposals were submitted to the Vice Pr</w:t>
      </w:r>
      <w:r w:rsidR="00A20F43">
        <w:t>ovost for Academic Affairs.  C</w:t>
      </w:r>
      <w:r>
        <w:t xml:space="preserve">riteria that the selection committee looked at included a. Goals and objectives (30%), b. </w:t>
      </w:r>
      <w:r w:rsidR="00A20F43">
        <w:t>F</w:t>
      </w:r>
      <w:r w:rsidR="00B077C6">
        <w:t>inancial</w:t>
      </w:r>
      <w:r w:rsidR="00A20F43">
        <w:t xml:space="preserve"> support (25%), c. Addressing</w:t>
      </w:r>
      <w:r>
        <w:t xml:space="preserve"> institutional priorities, and d. P</w:t>
      </w:r>
      <w:r w:rsidR="00A20F43">
        <w:t>l</w:t>
      </w:r>
      <w:r>
        <w:t>an for meeting the housing occupancy requirements (30%).</w:t>
      </w:r>
    </w:p>
    <w:p w:rsidR="005B4D24" w:rsidRDefault="005B4D24" w:rsidP="005B4D24">
      <w:pPr>
        <w:pStyle w:val="NoSpacing"/>
      </w:pPr>
    </w:p>
    <w:p w:rsidR="005B4D24" w:rsidRDefault="00876F4B" w:rsidP="005B4D24">
      <w:pPr>
        <w:pStyle w:val="NoSpacing"/>
      </w:pPr>
      <w:r>
        <w:t xml:space="preserve">A number of </w:t>
      </w:r>
      <w:r w:rsidR="00A20F43">
        <w:t xml:space="preserve">academic departments </w:t>
      </w:r>
      <w:r>
        <w:t xml:space="preserve">showed interest in the space and/or submitted formal proposals for the space.  These groups included:  Architecture Program, </w:t>
      </w:r>
      <w:r w:rsidR="00B077C6">
        <w:t>Foreign</w:t>
      </w:r>
      <w:r>
        <w:t xml:space="preserve"> Languages (International House), </w:t>
      </w:r>
      <w:r w:rsidR="00B077C6">
        <w:t>Engineering</w:t>
      </w:r>
      <w:r>
        <w:t xml:space="preserve"> (Women in </w:t>
      </w:r>
      <w:r w:rsidR="00B077C6">
        <w:t>Engineering</w:t>
      </w:r>
      <w:r>
        <w:t xml:space="preserve">), Biology, Music, and Emerging Leaders.  At the end of the selection process the space was allocated to the new “Architecture and Design House” and the new “International House.”  </w:t>
      </w:r>
      <w:r w:rsidR="00B077C6">
        <w:t>These units</w:t>
      </w:r>
      <w:r>
        <w:t>, along with additional communities for Greeks and other student leaders were opened with a ribbon cutting ceremony</w:t>
      </w:r>
      <w:r w:rsidR="00A20F43">
        <w:t xml:space="preserve"> that included the</w:t>
      </w:r>
      <w:r>
        <w:t xml:space="preserve"> President</w:t>
      </w:r>
      <w:r w:rsidR="00A20F43">
        <w:t xml:space="preserve"> of our University</w:t>
      </w:r>
      <w:r>
        <w:t xml:space="preserve"> and </w:t>
      </w:r>
      <w:r w:rsidR="00F42D7C">
        <w:t>the</w:t>
      </w:r>
      <w:r>
        <w:t xml:space="preserve"> faculty</w:t>
      </w:r>
      <w:r w:rsidR="00F42D7C">
        <w:t xml:space="preserve"> members</w:t>
      </w:r>
      <w:r>
        <w:t xml:space="preserve"> that had been involved in the development of the new programs.</w:t>
      </w:r>
    </w:p>
    <w:p w:rsidR="00A67CCF" w:rsidRDefault="00A67CCF" w:rsidP="005B4D24">
      <w:pPr>
        <w:pStyle w:val="NoSpacing"/>
      </w:pPr>
    </w:p>
    <w:p w:rsidR="00D82AFE" w:rsidRPr="005820C0" w:rsidRDefault="00D82AFE" w:rsidP="005B4D24">
      <w:pPr>
        <w:pStyle w:val="NoSpacing"/>
        <w:rPr>
          <w:b/>
        </w:rPr>
      </w:pPr>
      <w:r w:rsidRPr="005820C0">
        <w:rPr>
          <w:b/>
        </w:rPr>
        <w:t>International House</w:t>
      </w:r>
    </w:p>
    <w:p w:rsidR="00D82AFE" w:rsidRDefault="00D82AFE" w:rsidP="005B4D24">
      <w:pPr>
        <w:pStyle w:val="NoSpacing"/>
      </w:pPr>
    </w:p>
    <w:p w:rsidR="00D82AFE" w:rsidRDefault="00D82AFE" w:rsidP="005B4D24">
      <w:pPr>
        <w:pStyle w:val="NoSpacing"/>
      </w:pPr>
      <w:r>
        <w:t>International House was developed as a language laboratory where a variety of students (</w:t>
      </w:r>
      <w:r w:rsidR="00B077C6">
        <w:t>foreign</w:t>
      </w:r>
      <w:r>
        <w:t xml:space="preserve"> students, American students studying </w:t>
      </w:r>
      <w:r w:rsidR="00B077C6">
        <w:t>foreign</w:t>
      </w:r>
      <w:r>
        <w:t xml:space="preserve"> languages, </w:t>
      </w:r>
      <w:r w:rsidR="00613CBE">
        <w:t xml:space="preserve">International Studies majors, </w:t>
      </w:r>
      <w:r w:rsidR="00B077C6">
        <w:t>foreign</w:t>
      </w:r>
      <w:r w:rsidR="00613CBE">
        <w:t xml:space="preserve"> language </w:t>
      </w:r>
      <w:r w:rsidR="00613CBE">
        <w:lastRenderedPageBreak/>
        <w:t xml:space="preserve">tutors) could live and learn from one another.  In addition, all students living in the house and additional students selected by the faculty would be required to take a class that would meet in the house.  The </w:t>
      </w:r>
      <w:r w:rsidR="00F42D7C">
        <w:t xml:space="preserve">class offered in the </w:t>
      </w:r>
      <w:r w:rsidR="00B077C6">
        <w:t>fall</w:t>
      </w:r>
      <w:r w:rsidR="00F42D7C">
        <w:t xml:space="preserve"> semester</w:t>
      </w:r>
      <w:r w:rsidR="00613CBE">
        <w:t xml:space="preserve"> was on International Cinema</w:t>
      </w:r>
      <w:r w:rsidR="00F42D7C">
        <w:t>,</w:t>
      </w:r>
      <w:r w:rsidR="00613CBE">
        <w:t xml:space="preserve"> and the spring semester class was on International </w:t>
      </w:r>
      <w:r w:rsidR="00B077C6">
        <w:t>Etiquette</w:t>
      </w:r>
      <w:r w:rsidR="00613CBE">
        <w:t xml:space="preserve">.  Other programs that occurred in the house included </w:t>
      </w:r>
      <w:r w:rsidR="00B077C6">
        <w:t>foreign</w:t>
      </w:r>
      <w:r w:rsidR="00613CBE">
        <w:t xml:space="preserve"> language club meetings, programs like October Fest and Spanish Tables, and recruitment events where </w:t>
      </w:r>
      <w:r w:rsidR="00B077C6">
        <w:t>foreign</w:t>
      </w:r>
      <w:r w:rsidR="00613CBE">
        <w:t xml:space="preserve"> language teachers from area </w:t>
      </w:r>
      <w:r w:rsidR="00B077C6">
        <w:t>high schools</w:t>
      </w:r>
      <w:r w:rsidR="00613CBE">
        <w:t xml:space="preserve"> could visit.</w:t>
      </w:r>
      <w:r w:rsidR="00A67CCF">
        <w:t xml:space="preserve">  John Durbin, the faculty member responsible for International House has written a letter of support outlining many more of his programs and successes.</w:t>
      </w:r>
    </w:p>
    <w:p w:rsidR="00613CBE" w:rsidRDefault="00613CBE" w:rsidP="005B4D24">
      <w:pPr>
        <w:pStyle w:val="NoSpacing"/>
      </w:pPr>
    </w:p>
    <w:p w:rsidR="00613CBE" w:rsidRDefault="00613CBE" w:rsidP="005B4D24">
      <w:pPr>
        <w:pStyle w:val="NoSpacing"/>
      </w:pPr>
      <w:r>
        <w:t xml:space="preserve">Residence Life furnished the classroom space with a meeting table, sofas, and a large screen TV.  These furnishings provided the </w:t>
      </w:r>
      <w:r w:rsidR="00B077C6">
        <w:t>flexibility</w:t>
      </w:r>
      <w:r>
        <w:t xml:space="preserve"> to utilize the space for meetings, programs, and classroom activities.</w:t>
      </w:r>
      <w:r w:rsidR="008E1B7E">
        <w:t xml:space="preserve">  </w:t>
      </w:r>
    </w:p>
    <w:p w:rsidR="008E1B7E" w:rsidRDefault="008E1B7E" w:rsidP="005B4D24">
      <w:pPr>
        <w:pStyle w:val="NoSpacing"/>
      </w:pPr>
    </w:p>
    <w:p w:rsidR="008E1B7E" w:rsidRPr="005820C0" w:rsidRDefault="008E1B7E" w:rsidP="005B4D24">
      <w:pPr>
        <w:pStyle w:val="NoSpacing"/>
        <w:rPr>
          <w:b/>
        </w:rPr>
      </w:pPr>
      <w:r w:rsidRPr="005820C0">
        <w:rPr>
          <w:b/>
        </w:rPr>
        <w:t>Architecture and Design House</w:t>
      </w:r>
    </w:p>
    <w:p w:rsidR="008E1B7E" w:rsidRDefault="008E1B7E" w:rsidP="005B4D24">
      <w:pPr>
        <w:pStyle w:val="NoSpacing"/>
      </w:pPr>
    </w:p>
    <w:p w:rsidR="008E1B7E" w:rsidRDefault="00410774" w:rsidP="005B4D24">
      <w:pPr>
        <w:pStyle w:val="NoSpacing"/>
      </w:pPr>
      <w:r>
        <w:t>Architecture took a different perspective on their classroom space.  They asked that we not carpet the space (leave the conc</w:t>
      </w:r>
      <w:r w:rsidR="00A67CCF">
        <w:t>rete bare</w:t>
      </w:r>
      <w:r w:rsidR="00F42D7C">
        <w:t>);</w:t>
      </w:r>
      <w:r>
        <w:t xml:space="preserve"> they proposed that we not put sheetrock on the walls (we could not </w:t>
      </w:r>
      <w:r w:rsidR="005820C0">
        <w:t>accommodate</w:t>
      </w:r>
      <w:r w:rsidR="00F42D7C">
        <w:t xml:space="preserve"> that request);</w:t>
      </w:r>
      <w:r>
        <w:t xml:space="preserve"> and they did not want furniture.  Instead</w:t>
      </w:r>
      <w:r w:rsidR="00F42D7C">
        <w:t xml:space="preserve"> of furniture they </w:t>
      </w:r>
      <w:r w:rsidR="00A67CCF">
        <w:t xml:space="preserve">installed </w:t>
      </w:r>
      <w:r>
        <w:t xml:space="preserve">drafting tables.  </w:t>
      </w:r>
      <w:r w:rsidR="00F42D7C">
        <w:t xml:space="preserve">Every Architecture student </w:t>
      </w:r>
      <w:r w:rsidR="00A67CCF">
        <w:t>living in the house has</w:t>
      </w:r>
      <w:r>
        <w:t xml:space="preserve"> a studio right where they live, where faculty assist them with their work, visiting architects have done talks and critiques, and where they have 24 hour access to work on their projects.  The program has been a</w:t>
      </w:r>
      <w:r w:rsidR="005820C0">
        <w:t>n overwhelming</w:t>
      </w:r>
      <w:r>
        <w:t xml:space="preserve"> success.  Michael Hagge is the faculty member responsible for the Architecture program and the House.  His letter of support outlines the programs, projects and assessments that have made this house a huge success, one that was featured during the annual Tennessee Board of Regents meeting via live remote from the house this fall.  The Board of Regents got to see</w:t>
      </w:r>
      <w:r w:rsidR="00A67CCF">
        <w:t xml:space="preserve"> via the internet</w:t>
      </w:r>
      <w:r>
        <w:t xml:space="preserve"> students working on projects while faculty talked about their program and how the Living Learning Community has worked.</w:t>
      </w:r>
    </w:p>
    <w:p w:rsidR="005820C0" w:rsidRDefault="005820C0" w:rsidP="005B4D24">
      <w:pPr>
        <w:pStyle w:val="NoSpacing"/>
      </w:pPr>
    </w:p>
    <w:p w:rsidR="005820C0" w:rsidRDefault="00AF4CBE" w:rsidP="005B4D24">
      <w:pPr>
        <w:pStyle w:val="NoSpacing"/>
      </w:pPr>
      <w:r>
        <w:t xml:space="preserve">The success of this process has resulted in numerous institutions coming to Memphis to tour our facilities.  We have had additional request for information on the development of this program from architects and institutions around the country.  </w:t>
      </w:r>
      <w:r w:rsidR="005820C0">
        <w:t xml:space="preserve">I hope this letter helps to explain why we feel the process we used for the development of our program (RFP), the Faculty ownership, and the results are unique to both Living Learning Communities and a fantastic example of how Student Affairs can collaborate in a meaningful way with faculty.  Please feel free to contact me at 901-678-2295 if I can answer any additional questions.  </w:t>
      </w:r>
    </w:p>
    <w:p w:rsidR="005820C0" w:rsidRDefault="005820C0" w:rsidP="005B4D24">
      <w:pPr>
        <w:pStyle w:val="NoSpacing"/>
      </w:pPr>
    </w:p>
    <w:p w:rsidR="005820C0" w:rsidRDefault="005820C0" w:rsidP="005B4D24">
      <w:pPr>
        <w:pStyle w:val="NoSpacing"/>
      </w:pPr>
      <w:r>
        <w:t>Sincerely,</w:t>
      </w:r>
    </w:p>
    <w:p w:rsidR="005820C0" w:rsidRDefault="005820C0" w:rsidP="005B4D24">
      <w:pPr>
        <w:pStyle w:val="NoSpacing"/>
      </w:pPr>
    </w:p>
    <w:p w:rsidR="005820C0" w:rsidRDefault="005820C0" w:rsidP="005B4D24">
      <w:pPr>
        <w:pStyle w:val="NoSpacing"/>
      </w:pPr>
      <w:r>
        <w:t>Peter Groenendyk</w:t>
      </w:r>
    </w:p>
    <w:p w:rsidR="005820C0" w:rsidRDefault="005820C0" w:rsidP="005B4D24">
      <w:pPr>
        <w:pStyle w:val="NoSpacing"/>
      </w:pPr>
      <w:r>
        <w:t>Associate Director</w:t>
      </w:r>
    </w:p>
    <w:p w:rsidR="005820C0" w:rsidRDefault="005820C0" w:rsidP="005B4D24">
      <w:pPr>
        <w:pStyle w:val="NoSpacing"/>
      </w:pPr>
      <w:r>
        <w:t>Residence Life, Dining Services and</w:t>
      </w:r>
    </w:p>
    <w:p w:rsidR="005820C0" w:rsidRDefault="005820C0" w:rsidP="005B4D24">
      <w:pPr>
        <w:pStyle w:val="NoSpacing"/>
      </w:pPr>
      <w:r>
        <w:t>The Child Development Center</w:t>
      </w:r>
    </w:p>
    <w:p w:rsidR="005820C0" w:rsidRPr="00AF4CBE" w:rsidRDefault="005820C0" w:rsidP="005B4D24">
      <w:pPr>
        <w:pStyle w:val="NoSpacing"/>
        <w:rPr>
          <w:sz w:val="20"/>
          <w:szCs w:val="20"/>
        </w:rPr>
      </w:pPr>
    </w:p>
    <w:p w:rsidR="0007003F" w:rsidRPr="00AF4CBE" w:rsidRDefault="0007003F" w:rsidP="005B4D24">
      <w:pPr>
        <w:pStyle w:val="NoSpacing"/>
        <w:rPr>
          <w:sz w:val="20"/>
          <w:szCs w:val="20"/>
        </w:rPr>
      </w:pPr>
    </w:p>
    <w:p w:rsidR="005820C0" w:rsidRPr="00AF4CBE" w:rsidRDefault="005820C0" w:rsidP="005820C0">
      <w:pPr>
        <w:pStyle w:val="NoSpacing"/>
        <w:rPr>
          <w:sz w:val="20"/>
          <w:szCs w:val="20"/>
        </w:rPr>
      </w:pPr>
    </w:p>
    <w:p w:rsidR="00A67CCF" w:rsidRDefault="00A67CCF" w:rsidP="005820C0">
      <w:pPr>
        <w:pStyle w:val="NoSpacing"/>
      </w:pPr>
    </w:p>
    <w:p w:rsidR="001F1203" w:rsidRDefault="001F1203" w:rsidP="005820C0">
      <w:pPr>
        <w:pStyle w:val="NoSpacing"/>
      </w:pPr>
    </w:p>
    <w:p w:rsidR="001F1203" w:rsidRDefault="001F1203" w:rsidP="005820C0">
      <w:pPr>
        <w:pStyle w:val="NoSpacing"/>
      </w:pPr>
    </w:p>
    <w:p w:rsidR="001F1203" w:rsidRDefault="001F1203" w:rsidP="005820C0">
      <w:pPr>
        <w:pStyle w:val="NoSpacing"/>
      </w:pPr>
    </w:p>
    <w:p w:rsidR="001F1203" w:rsidRDefault="001F1203" w:rsidP="005820C0">
      <w:pPr>
        <w:pStyle w:val="NoSpacing"/>
      </w:pPr>
    </w:p>
    <w:p w:rsidR="005820C0" w:rsidRDefault="005820C0" w:rsidP="005820C0">
      <w:pPr>
        <w:pStyle w:val="NoSpacing"/>
        <w:jc w:val="center"/>
        <w:rPr>
          <w:sz w:val="16"/>
        </w:rPr>
      </w:pPr>
      <w:r>
        <w:rPr>
          <w:sz w:val="16"/>
        </w:rPr>
        <w:t>A Tennessee Board of Regents Institution</w:t>
      </w:r>
    </w:p>
    <w:p w:rsidR="00876F4B" w:rsidRPr="00AF4CBE" w:rsidRDefault="005820C0" w:rsidP="00AF4CBE">
      <w:pPr>
        <w:pStyle w:val="NoSpacing"/>
        <w:jc w:val="center"/>
        <w:rPr>
          <w:sz w:val="16"/>
        </w:rPr>
      </w:pPr>
      <w:r>
        <w:rPr>
          <w:sz w:val="16"/>
        </w:rPr>
        <w:t>An Equal Opportuni</w:t>
      </w:r>
      <w:r w:rsidR="00AF4CBE">
        <w:rPr>
          <w:sz w:val="16"/>
        </w:rPr>
        <w:t>ty/Affirmative Action University</w:t>
      </w:r>
    </w:p>
    <w:sectPr w:rsidR="00876F4B" w:rsidRPr="00AF4CBE" w:rsidSect="00F07D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CBE" w:rsidRDefault="00AF4CBE" w:rsidP="00AF4CBE">
      <w:pPr>
        <w:spacing w:after="0" w:line="240" w:lineRule="auto"/>
      </w:pPr>
      <w:r>
        <w:separator/>
      </w:r>
    </w:p>
  </w:endnote>
  <w:endnote w:type="continuationSeparator" w:id="1">
    <w:p w:rsidR="00AF4CBE" w:rsidRDefault="00AF4CBE" w:rsidP="00AF4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CBE" w:rsidRDefault="00AF4CBE" w:rsidP="00AF4CBE">
      <w:pPr>
        <w:spacing w:after="0" w:line="240" w:lineRule="auto"/>
      </w:pPr>
      <w:r>
        <w:separator/>
      </w:r>
    </w:p>
  </w:footnote>
  <w:footnote w:type="continuationSeparator" w:id="1">
    <w:p w:rsidR="00AF4CBE" w:rsidRDefault="00AF4CBE" w:rsidP="00AF4C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8E1"/>
    <w:multiLevelType w:val="hybridMultilevel"/>
    <w:tmpl w:val="2E9C69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B170E5E"/>
    <w:multiLevelType w:val="hybridMultilevel"/>
    <w:tmpl w:val="B750FC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F4B4528"/>
    <w:multiLevelType w:val="hybridMultilevel"/>
    <w:tmpl w:val="C7CEB94A"/>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footnotePr>
    <w:footnote w:id="0"/>
    <w:footnote w:id="1"/>
  </w:footnotePr>
  <w:endnotePr>
    <w:endnote w:id="0"/>
    <w:endnote w:id="1"/>
  </w:endnotePr>
  <w:compat/>
  <w:rsids>
    <w:rsidRoot w:val="00BE3B38"/>
    <w:rsid w:val="0007003F"/>
    <w:rsid w:val="00174BE0"/>
    <w:rsid w:val="001F1203"/>
    <w:rsid w:val="00410774"/>
    <w:rsid w:val="005820C0"/>
    <w:rsid w:val="005B4D24"/>
    <w:rsid w:val="00613CBE"/>
    <w:rsid w:val="00876F4B"/>
    <w:rsid w:val="008E1B7E"/>
    <w:rsid w:val="00A20F43"/>
    <w:rsid w:val="00A67CCF"/>
    <w:rsid w:val="00AF4CBE"/>
    <w:rsid w:val="00B077C6"/>
    <w:rsid w:val="00BE3B38"/>
    <w:rsid w:val="00D82AFE"/>
    <w:rsid w:val="00EA297D"/>
    <w:rsid w:val="00EA48BE"/>
    <w:rsid w:val="00F07D7B"/>
    <w:rsid w:val="00F42D7C"/>
    <w:rsid w:val="00F7361F"/>
    <w:rsid w:val="00FD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B38"/>
    <w:pPr>
      <w:spacing w:after="0" w:line="240" w:lineRule="auto"/>
    </w:pPr>
  </w:style>
  <w:style w:type="paragraph" w:styleId="DocumentMap">
    <w:name w:val="Document Map"/>
    <w:basedOn w:val="Normal"/>
    <w:link w:val="DocumentMapChar"/>
    <w:uiPriority w:val="99"/>
    <w:semiHidden/>
    <w:unhideWhenUsed/>
    <w:rsid w:val="00BE3B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E3B38"/>
    <w:rPr>
      <w:rFonts w:ascii="Tahoma" w:hAnsi="Tahoma" w:cs="Tahoma"/>
      <w:sz w:val="16"/>
      <w:szCs w:val="16"/>
    </w:rPr>
  </w:style>
  <w:style w:type="paragraph" w:styleId="BalloonText">
    <w:name w:val="Balloon Text"/>
    <w:basedOn w:val="Normal"/>
    <w:link w:val="BalloonTextChar"/>
    <w:uiPriority w:val="99"/>
    <w:semiHidden/>
    <w:unhideWhenUsed/>
    <w:rsid w:val="00582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C0"/>
    <w:rPr>
      <w:rFonts w:ascii="Tahoma" w:hAnsi="Tahoma" w:cs="Tahoma"/>
      <w:sz w:val="16"/>
      <w:szCs w:val="16"/>
    </w:rPr>
  </w:style>
  <w:style w:type="paragraph" w:styleId="Header">
    <w:name w:val="header"/>
    <w:basedOn w:val="Normal"/>
    <w:link w:val="HeaderChar"/>
    <w:uiPriority w:val="99"/>
    <w:semiHidden/>
    <w:unhideWhenUsed/>
    <w:rsid w:val="00AF4C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CBE"/>
  </w:style>
  <w:style w:type="paragraph" w:styleId="Footer">
    <w:name w:val="footer"/>
    <w:basedOn w:val="Normal"/>
    <w:link w:val="FooterChar"/>
    <w:uiPriority w:val="99"/>
    <w:semiHidden/>
    <w:unhideWhenUsed/>
    <w:rsid w:val="00AF4C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CBE"/>
  </w:style>
  <w:style w:type="paragraph" w:styleId="ListParagraph">
    <w:name w:val="List Paragraph"/>
    <w:basedOn w:val="Normal"/>
    <w:uiPriority w:val="34"/>
    <w:qFormat/>
    <w:rsid w:val="001F12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petercg</dc:creator>
  <cp:keywords/>
  <dc:description/>
  <cp:lastModifiedBy>petercg</cp:lastModifiedBy>
  <cp:revision>5</cp:revision>
  <cp:lastPrinted>2008-01-10T20:06:00Z</cp:lastPrinted>
  <dcterms:created xsi:type="dcterms:W3CDTF">2008-01-11T15:52:00Z</dcterms:created>
  <dcterms:modified xsi:type="dcterms:W3CDTF">2008-01-12T19:52:00Z</dcterms:modified>
</cp:coreProperties>
</file>