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561" w:rsidRDefault="00036561" w:rsidP="00036561">
      <w:pPr>
        <w:spacing w:after="0" w:line="240" w:lineRule="auto"/>
      </w:pPr>
    </w:p>
    <w:p w:rsidR="000A32C8" w:rsidRDefault="000A32C8" w:rsidP="00036561">
      <w:pPr>
        <w:spacing w:after="0" w:line="240" w:lineRule="auto"/>
        <w:rPr>
          <w:rFonts w:ascii="Garamond" w:hAnsi="Garamond"/>
          <w:b/>
          <w:smallCaps/>
          <w:color w:val="808080"/>
        </w:rPr>
      </w:pPr>
      <w:r w:rsidRPr="000A32C8">
        <w:rPr>
          <w:rFonts w:ascii="Garamond" w:hAnsi="Garamond"/>
          <w:b/>
          <w:smallCaps/>
          <w:noProof/>
          <w:color w:val="808080"/>
        </w:rPr>
        <w:drawing>
          <wp:anchor distT="0" distB="0" distL="114300" distR="114300" simplePos="0" relativeHeight="251659264" behindDoc="1" locked="0" layoutInCell="1" allowOverlap="1">
            <wp:simplePos x="0" y="0"/>
            <wp:positionH relativeFrom="margin">
              <wp:align>center</wp:align>
            </wp:positionH>
            <wp:positionV relativeFrom="margin">
              <wp:posOffset>-447675</wp:posOffset>
            </wp:positionV>
            <wp:extent cx="1689100" cy="619125"/>
            <wp:effectExtent l="19050" t="0" r="6350" b="0"/>
            <wp:wrapSquare wrapText="bothSides"/>
            <wp:docPr id="3" name="Picture 1" descr="uaword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awordmark"/>
                    <pic:cNvPicPr>
                      <a:picLocks noChangeAspect="1" noChangeArrowheads="1"/>
                    </pic:cNvPicPr>
                  </pic:nvPicPr>
                  <pic:blipFill>
                    <a:blip r:embed="rId8"/>
                    <a:srcRect/>
                    <a:stretch>
                      <a:fillRect/>
                    </a:stretch>
                  </pic:blipFill>
                  <pic:spPr bwMode="auto">
                    <a:xfrm>
                      <a:off x="0" y="0"/>
                      <a:ext cx="1689100" cy="619125"/>
                    </a:xfrm>
                    <a:prstGeom prst="rect">
                      <a:avLst/>
                    </a:prstGeom>
                    <a:noFill/>
                    <a:ln w="9525">
                      <a:noFill/>
                      <a:miter lim="800000"/>
                      <a:headEnd/>
                      <a:tailEnd/>
                    </a:ln>
                  </pic:spPr>
                </pic:pic>
              </a:graphicData>
            </a:graphic>
          </wp:anchor>
        </w:drawing>
      </w:r>
    </w:p>
    <w:p w:rsidR="003D1312" w:rsidRDefault="003D1312" w:rsidP="003D1312">
      <w:pPr>
        <w:spacing w:after="0" w:line="240" w:lineRule="auto"/>
        <w:jc w:val="center"/>
        <w:rPr>
          <w:rFonts w:ascii="Garamond" w:hAnsi="Garamond"/>
          <w:b/>
          <w:smallCaps/>
          <w:color w:val="808080"/>
        </w:rPr>
      </w:pPr>
      <w:r>
        <w:rPr>
          <w:rFonts w:ascii="Garamond" w:hAnsi="Garamond"/>
          <w:b/>
          <w:smallCaps/>
          <w:color w:val="808080"/>
        </w:rPr>
        <w:t>College of Arts and Sciences and Housing and Residential Communities</w:t>
      </w:r>
    </w:p>
    <w:p w:rsidR="003D1312" w:rsidRDefault="00B458BC" w:rsidP="003D1312">
      <w:pPr>
        <w:spacing w:after="0" w:line="240" w:lineRule="auto"/>
        <w:jc w:val="center"/>
        <w:rPr>
          <w:rFonts w:ascii="Garamond" w:hAnsi="Garamond"/>
          <w:b/>
          <w:smallCaps/>
          <w:color w:val="808080"/>
        </w:rPr>
      </w:pPr>
      <w:r>
        <w:rPr>
          <w:rFonts w:ascii="Garamond" w:hAnsi="Garamond"/>
          <w:b/>
          <w:smallCaps/>
          <w:color w:val="808080"/>
        </w:rPr>
        <w:t>Parker Adams Year</w:t>
      </w:r>
    </w:p>
    <w:p w:rsidR="00B458BC" w:rsidRDefault="00B458BC" w:rsidP="003D1312">
      <w:pPr>
        <w:spacing w:after="0" w:line="240" w:lineRule="auto"/>
        <w:jc w:val="center"/>
        <w:rPr>
          <w:rFonts w:ascii="Garamond" w:hAnsi="Garamond"/>
          <w:b/>
          <w:smallCaps/>
          <w:color w:val="808080"/>
        </w:rPr>
      </w:pPr>
      <w:r>
        <w:rPr>
          <w:rFonts w:ascii="Garamond" w:hAnsi="Garamond"/>
          <w:b/>
          <w:smallCaps/>
          <w:color w:val="808080"/>
        </w:rPr>
        <w:t>UA- ACTS</w:t>
      </w:r>
    </w:p>
    <w:p w:rsidR="003D1312" w:rsidRDefault="003D1312" w:rsidP="003D1312">
      <w:pPr>
        <w:spacing w:after="0" w:line="240" w:lineRule="auto"/>
        <w:jc w:val="center"/>
        <w:rPr>
          <w:rFonts w:ascii="Garamond" w:hAnsi="Garamond"/>
          <w:b/>
          <w:smallCaps/>
          <w:color w:val="808080"/>
        </w:rPr>
      </w:pPr>
    </w:p>
    <w:p w:rsidR="003D1312" w:rsidRDefault="003D1312" w:rsidP="003D1312">
      <w:pPr>
        <w:spacing w:after="0" w:line="240" w:lineRule="auto"/>
        <w:jc w:val="center"/>
        <w:rPr>
          <w:rFonts w:ascii="Garamond" w:hAnsi="Garamond"/>
          <w:b/>
          <w:smallCaps/>
          <w:color w:val="808080"/>
        </w:rPr>
      </w:pPr>
    </w:p>
    <w:p w:rsidR="00C52A25" w:rsidRDefault="00C52A25" w:rsidP="003D1312">
      <w:pPr>
        <w:spacing w:after="0" w:line="240" w:lineRule="auto"/>
        <w:jc w:val="center"/>
        <w:rPr>
          <w:rFonts w:ascii="Garamond" w:hAnsi="Garamond"/>
          <w:b/>
          <w:smallCaps/>
          <w:color w:val="808080"/>
        </w:rPr>
      </w:pPr>
    </w:p>
    <w:p w:rsidR="003D1312" w:rsidRDefault="003D1312" w:rsidP="003D1312">
      <w:pPr>
        <w:spacing w:after="0" w:line="240" w:lineRule="auto"/>
        <w:rPr>
          <w:rFonts w:ascii="Garamond" w:hAnsi="Garamond"/>
          <w:b/>
          <w:smallCaps/>
          <w:color w:val="943634" w:themeColor="accent2" w:themeShade="BF"/>
          <w:sz w:val="24"/>
          <w:szCs w:val="24"/>
        </w:rPr>
      </w:pPr>
      <w:r w:rsidRPr="00A836DF">
        <w:rPr>
          <w:rFonts w:ascii="Garamond" w:hAnsi="Garamond"/>
          <w:b/>
          <w:smallCaps/>
          <w:color w:val="943634" w:themeColor="accent2" w:themeShade="BF"/>
          <w:sz w:val="24"/>
          <w:szCs w:val="24"/>
        </w:rPr>
        <w:t>A</w:t>
      </w:r>
      <w:r>
        <w:rPr>
          <w:rFonts w:ascii="Garamond" w:hAnsi="Garamond"/>
          <w:b/>
          <w:smallCaps/>
          <w:color w:val="943634" w:themeColor="accent2" w:themeShade="BF"/>
          <w:sz w:val="24"/>
          <w:szCs w:val="24"/>
        </w:rPr>
        <w:t>cademic Initiatives and ongoing programming</w:t>
      </w:r>
    </w:p>
    <w:p w:rsidR="000A32C8" w:rsidRPr="00A80155" w:rsidRDefault="000A32C8" w:rsidP="003D1312">
      <w:pPr>
        <w:spacing w:after="0" w:line="240" w:lineRule="auto"/>
        <w:rPr>
          <w:rFonts w:ascii="Garamond" w:hAnsi="Garamond"/>
          <w:b/>
          <w:smallCaps/>
          <w:color w:val="943634" w:themeColor="accent2" w:themeShade="BF"/>
          <w:sz w:val="24"/>
          <w:szCs w:val="24"/>
        </w:rPr>
      </w:pPr>
    </w:p>
    <w:p w:rsidR="00A80155" w:rsidRPr="00A80155" w:rsidRDefault="00A80155" w:rsidP="00A80155">
      <w:pPr>
        <w:rPr>
          <w:rFonts w:ascii="Times New Roman" w:hAnsi="Times New Roman" w:cs="Times New Roman"/>
          <w:sz w:val="24"/>
          <w:szCs w:val="24"/>
        </w:rPr>
      </w:pPr>
      <w:r w:rsidRPr="00A80155">
        <w:rPr>
          <w:rFonts w:ascii="Times New Roman" w:hAnsi="Times New Roman" w:cs="Times New Roman"/>
          <w:sz w:val="24"/>
          <w:szCs w:val="24"/>
        </w:rPr>
        <w:t xml:space="preserve">The </w:t>
      </w:r>
      <w:r w:rsidRPr="00A80155">
        <w:rPr>
          <w:rFonts w:ascii="Times New Roman" w:hAnsi="Times New Roman" w:cs="Times New Roman"/>
          <w:i/>
          <w:sz w:val="24"/>
          <w:szCs w:val="24"/>
        </w:rPr>
        <w:t xml:space="preserve">Capstone Living Learning Programs </w:t>
      </w:r>
      <w:r w:rsidRPr="00A80155">
        <w:rPr>
          <w:rFonts w:ascii="Times New Roman" w:hAnsi="Times New Roman" w:cs="Times New Roman"/>
          <w:sz w:val="24"/>
          <w:szCs w:val="24"/>
        </w:rPr>
        <w:t xml:space="preserve">provide students with opportunities to actively engage and connect to the University.   The programs are dedicated to making the transition from high school to college an easier and richer experience.   At the core of these experiences are opportunities for students to engage in experiential learning, principled leadership, and cultural enrichment activities. </w:t>
      </w:r>
    </w:p>
    <w:p w:rsidR="00823A9A" w:rsidRPr="00495188" w:rsidRDefault="00A80155" w:rsidP="00823A9A">
      <w:pPr>
        <w:rPr>
          <w:rFonts w:ascii="Times New Roman" w:hAnsi="Times New Roman" w:cs="Times New Roman"/>
          <w:sz w:val="24"/>
          <w:szCs w:val="24"/>
        </w:rPr>
      </w:pPr>
      <w:r w:rsidRPr="00495188">
        <w:rPr>
          <w:rFonts w:ascii="Times New Roman" w:hAnsi="Times New Roman" w:cs="Times New Roman"/>
          <w:sz w:val="24"/>
          <w:szCs w:val="24"/>
        </w:rPr>
        <w:t>Th</w:t>
      </w:r>
      <w:r w:rsidR="00495188" w:rsidRPr="00495188">
        <w:rPr>
          <w:rFonts w:ascii="Times New Roman" w:hAnsi="Times New Roman" w:cs="Times New Roman"/>
          <w:sz w:val="24"/>
          <w:szCs w:val="24"/>
        </w:rPr>
        <w:t>e curriculum’s intent is</w:t>
      </w:r>
      <w:r w:rsidRPr="00495188">
        <w:rPr>
          <w:rFonts w:ascii="Times New Roman" w:hAnsi="Times New Roman" w:cs="Times New Roman"/>
          <w:sz w:val="24"/>
          <w:szCs w:val="24"/>
        </w:rPr>
        <w:t xml:space="preserve"> to provide a seamless experience to ensure that students are exposed to resources that assist with their successfully transition to the university.  </w:t>
      </w:r>
      <w:r w:rsidR="000A32C8" w:rsidRPr="00495188">
        <w:rPr>
          <w:rFonts w:ascii="Times New Roman" w:hAnsi="Times New Roman" w:cs="Times New Roman"/>
          <w:sz w:val="24"/>
          <w:szCs w:val="24"/>
        </w:rPr>
        <w:t>Activities, initiatives and events have been intentionally designed and sequenced to pro</w:t>
      </w:r>
      <w:r w:rsidRPr="00495188">
        <w:rPr>
          <w:rFonts w:ascii="Times New Roman" w:hAnsi="Times New Roman" w:cs="Times New Roman"/>
          <w:sz w:val="24"/>
          <w:szCs w:val="24"/>
        </w:rPr>
        <w:t>vide challenge and support for students progressing through their first year at the University</w:t>
      </w:r>
      <w:r w:rsidR="00B458BC">
        <w:rPr>
          <w:rFonts w:ascii="Times New Roman" w:hAnsi="Times New Roman" w:cs="Times New Roman"/>
          <w:sz w:val="24"/>
          <w:szCs w:val="24"/>
        </w:rPr>
        <w:t>,</w:t>
      </w:r>
      <w:r w:rsidR="00495188" w:rsidRPr="00495188">
        <w:rPr>
          <w:rFonts w:ascii="Times New Roman" w:hAnsi="Times New Roman" w:cs="Times New Roman"/>
          <w:sz w:val="24"/>
          <w:szCs w:val="24"/>
        </w:rPr>
        <w:t xml:space="preserve"> and to </w:t>
      </w:r>
      <w:r w:rsidR="00823A9A" w:rsidRPr="00495188">
        <w:rPr>
          <w:rFonts w:ascii="Times New Roman" w:hAnsi="Times New Roman" w:cs="Times New Roman"/>
          <w:sz w:val="24"/>
          <w:szCs w:val="24"/>
        </w:rPr>
        <w:t xml:space="preserve">develop competencies that not only will assist in their </w:t>
      </w:r>
      <w:r w:rsidR="00495188" w:rsidRPr="00495188">
        <w:rPr>
          <w:rFonts w:ascii="Times New Roman" w:hAnsi="Times New Roman" w:cs="Times New Roman"/>
          <w:sz w:val="24"/>
          <w:szCs w:val="24"/>
        </w:rPr>
        <w:t xml:space="preserve">academic </w:t>
      </w:r>
      <w:r w:rsidR="00823A9A" w:rsidRPr="00495188">
        <w:rPr>
          <w:rFonts w:ascii="Times New Roman" w:hAnsi="Times New Roman" w:cs="Times New Roman"/>
          <w:sz w:val="24"/>
          <w:szCs w:val="24"/>
        </w:rPr>
        <w:t>succes</w:t>
      </w:r>
      <w:r w:rsidR="009B132E">
        <w:rPr>
          <w:rFonts w:ascii="Times New Roman" w:hAnsi="Times New Roman" w:cs="Times New Roman"/>
          <w:sz w:val="24"/>
          <w:szCs w:val="24"/>
        </w:rPr>
        <w:t xml:space="preserve">s </w:t>
      </w:r>
      <w:r w:rsidR="00823A9A" w:rsidRPr="00495188">
        <w:rPr>
          <w:rFonts w:ascii="Times New Roman" w:hAnsi="Times New Roman" w:cs="Times New Roman"/>
          <w:sz w:val="24"/>
          <w:szCs w:val="24"/>
        </w:rPr>
        <w:t xml:space="preserve">but will provide a foundation for them to be successful as </w:t>
      </w:r>
      <w:r w:rsidR="009B132E" w:rsidRPr="00495188">
        <w:rPr>
          <w:rFonts w:ascii="Times New Roman" w:hAnsi="Times New Roman" w:cs="Times New Roman"/>
          <w:sz w:val="24"/>
          <w:szCs w:val="24"/>
        </w:rPr>
        <w:t>lifelong</w:t>
      </w:r>
      <w:r w:rsidR="00823A9A" w:rsidRPr="00495188">
        <w:rPr>
          <w:rFonts w:ascii="Times New Roman" w:hAnsi="Times New Roman" w:cs="Times New Roman"/>
          <w:sz w:val="24"/>
          <w:szCs w:val="24"/>
        </w:rPr>
        <w:t xml:space="preserve"> learners.</w:t>
      </w:r>
    </w:p>
    <w:p w:rsidR="009B132E" w:rsidRDefault="009B132E" w:rsidP="00E460C4">
      <w:pPr>
        <w:spacing w:after="0" w:line="240" w:lineRule="auto"/>
        <w:contextualSpacing/>
      </w:pPr>
    </w:p>
    <w:tbl>
      <w:tblPr>
        <w:tblStyle w:val="TableGrid"/>
        <w:tblW w:w="9648" w:type="dxa"/>
        <w:tblLook w:val="04A0"/>
      </w:tblPr>
      <w:tblGrid>
        <w:gridCol w:w="2394"/>
        <w:gridCol w:w="7254"/>
      </w:tblGrid>
      <w:tr w:rsidR="00E460C4" w:rsidTr="00694E4A">
        <w:tc>
          <w:tcPr>
            <w:tcW w:w="2394" w:type="dxa"/>
            <w:tc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tcBorders>
            <w:shd w:val="clear" w:color="auto" w:fill="943634" w:themeFill="accent2" w:themeFillShade="BF"/>
          </w:tcPr>
          <w:p w:rsidR="00E460C4" w:rsidRPr="00E17EF0" w:rsidRDefault="00E460C4" w:rsidP="00A80155">
            <w:pPr>
              <w:rPr>
                <w:rFonts w:ascii="Times New Roman" w:hAnsi="Times New Roman" w:cs="Times New Roman"/>
                <w:color w:val="FFFFFF" w:themeColor="background1"/>
                <w:sz w:val="24"/>
                <w:szCs w:val="24"/>
              </w:rPr>
            </w:pPr>
            <w:r w:rsidRPr="00E17EF0">
              <w:rPr>
                <w:rFonts w:ascii="Times New Roman" w:hAnsi="Times New Roman" w:cs="Times New Roman"/>
                <w:color w:val="FFFFFF" w:themeColor="background1"/>
                <w:sz w:val="24"/>
                <w:szCs w:val="24"/>
              </w:rPr>
              <w:t>Program/Initiative</w:t>
            </w:r>
          </w:p>
        </w:tc>
        <w:tc>
          <w:tcPr>
            <w:tcW w:w="7254" w:type="dxa"/>
            <w:tc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tcBorders>
            <w:shd w:val="clear" w:color="auto" w:fill="943634" w:themeFill="accent2" w:themeFillShade="BF"/>
          </w:tcPr>
          <w:p w:rsidR="00E460C4" w:rsidRPr="00E17EF0" w:rsidRDefault="00E460C4" w:rsidP="0077786D">
            <w:pPr>
              <w:jc w:val="center"/>
              <w:rPr>
                <w:rFonts w:ascii="Times New Roman" w:hAnsi="Times New Roman" w:cs="Times New Roman"/>
                <w:color w:val="FFFFFF" w:themeColor="background1"/>
                <w:sz w:val="24"/>
                <w:szCs w:val="24"/>
              </w:rPr>
            </w:pPr>
            <w:r w:rsidRPr="00E17EF0">
              <w:rPr>
                <w:rFonts w:ascii="Times New Roman" w:hAnsi="Times New Roman" w:cs="Times New Roman"/>
                <w:color w:val="FFFFFF" w:themeColor="background1"/>
                <w:sz w:val="24"/>
                <w:szCs w:val="24"/>
              </w:rPr>
              <w:t>Description</w:t>
            </w:r>
          </w:p>
        </w:tc>
      </w:tr>
      <w:tr w:rsidR="00E460C4" w:rsidTr="00694E4A">
        <w:tc>
          <w:tcPr>
            <w:tcW w:w="2394" w:type="dxa"/>
            <w:tcBorders>
              <w:top w:val="single" w:sz="4" w:space="0" w:color="943634" w:themeColor="accent2" w:themeShade="BF"/>
            </w:tcBorders>
          </w:tcPr>
          <w:p w:rsidR="00E460C4" w:rsidRPr="00E17EF0" w:rsidRDefault="00E460C4" w:rsidP="00A80155">
            <w:pPr>
              <w:rPr>
                <w:rFonts w:ascii="Times New Roman" w:hAnsi="Times New Roman" w:cs="Times New Roman"/>
                <w:sz w:val="24"/>
                <w:szCs w:val="24"/>
              </w:rPr>
            </w:pPr>
            <w:r w:rsidRPr="00E17EF0">
              <w:rPr>
                <w:rFonts w:ascii="Times New Roman" w:hAnsi="Times New Roman" w:cs="Times New Roman"/>
                <w:sz w:val="24"/>
                <w:szCs w:val="24"/>
              </w:rPr>
              <w:t>Arts and Sciences Opening Reception</w:t>
            </w:r>
          </w:p>
        </w:tc>
        <w:tc>
          <w:tcPr>
            <w:tcW w:w="7254" w:type="dxa"/>
            <w:tcBorders>
              <w:top w:val="single" w:sz="4" w:space="0" w:color="943634" w:themeColor="accent2" w:themeShade="BF"/>
            </w:tcBorders>
          </w:tcPr>
          <w:p w:rsidR="00E460C4" w:rsidRPr="00E17EF0" w:rsidRDefault="00E460C4" w:rsidP="00694E4A">
            <w:pPr>
              <w:rPr>
                <w:rFonts w:ascii="Times New Roman" w:hAnsi="Times New Roman" w:cs="Times New Roman"/>
                <w:sz w:val="24"/>
                <w:szCs w:val="24"/>
              </w:rPr>
            </w:pPr>
            <w:r w:rsidRPr="00E17EF0">
              <w:rPr>
                <w:rFonts w:ascii="Times New Roman" w:hAnsi="Times New Roman" w:cs="Times New Roman"/>
                <w:sz w:val="24"/>
                <w:szCs w:val="24"/>
              </w:rPr>
              <w:t>Members of the Capstone Living Learning Communities and University are invited to officially open the communities each year</w:t>
            </w:r>
            <w:r w:rsidR="0028631C">
              <w:rPr>
                <w:rFonts w:ascii="Times New Roman" w:hAnsi="Times New Roman" w:cs="Times New Roman"/>
                <w:sz w:val="24"/>
                <w:szCs w:val="24"/>
              </w:rPr>
              <w:t>.</w:t>
            </w:r>
          </w:p>
        </w:tc>
      </w:tr>
      <w:tr w:rsidR="00E460C4" w:rsidTr="00694E4A">
        <w:tc>
          <w:tcPr>
            <w:tcW w:w="2394" w:type="dxa"/>
          </w:tcPr>
          <w:p w:rsidR="00E460C4" w:rsidRPr="00E17EF0" w:rsidRDefault="00E460C4" w:rsidP="00460EF1">
            <w:pPr>
              <w:rPr>
                <w:rFonts w:ascii="Times New Roman" w:hAnsi="Times New Roman" w:cs="Times New Roman"/>
                <w:sz w:val="24"/>
                <w:szCs w:val="24"/>
              </w:rPr>
            </w:pPr>
            <w:r w:rsidRPr="00E17EF0">
              <w:rPr>
                <w:rFonts w:ascii="Times New Roman" w:hAnsi="Times New Roman" w:cs="Times New Roman"/>
                <w:bCs/>
                <w:sz w:val="24"/>
                <w:szCs w:val="24"/>
              </w:rPr>
              <w:t>Faculty Mentor Program College of Arts and Sciences</w:t>
            </w:r>
          </w:p>
        </w:tc>
        <w:tc>
          <w:tcPr>
            <w:tcW w:w="7254" w:type="dxa"/>
          </w:tcPr>
          <w:p w:rsidR="00E460C4" w:rsidRPr="00E17EF0" w:rsidRDefault="00E460C4" w:rsidP="00694E4A">
            <w:pPr>
              <w:rPr>
                <w:rFonts w:ascii="Times New Roman" w:hAnsi="Times New Roman" w:cs="Times New Roman"/>
                <w:sz w:val="24"/>
                <w:szCs w:val="24"/>
              </w:rPr>
            </w:pPr>
            <w:r w:rsidRPr="00E17EF0">
              <w:rPr>
                <w:rFonts w:ascii="Times New Roman" w:hAnsi="Times New Roman" w:cs="Times New Roman"/>
                <w:sz w:val="24"/>
                <w:szCs w:val="24"/>
              </w:rPr>
              <w:t>Tied to the College of Arts and Sciences Living Learning programs, the faculty mentors serve as resources in a network of support for first year students transitioning to UA.  Students are asked to meet with their mentors during the semester and to review and react to a common reading experience</w:t>
            </w:r>
            <w:r w:rsidR="0028631C">
              <w:rPr>
                <w:rFonts w:ascii="Times New Roman" w:hAnsi="Times New Roman" w:cs="Times New Roman"/>
                <w:sz w:val="24"/>
                <w:szCs w:val="24"/>
              </w:rPr>
              <w:t>.</w:t>
            </w:r>
            <w:r w:rsidRPr="00E17EF0">
              <w:rPr>
                <w:rFonts w:ascii="Times New Roman" w:hAnsi="Times New Roman" w:cs="Times New Roman"/>
                <w:sz w:val="24"/>
                <w:szCs w:val="24"/>
              </w:rPr>
              <w:t xml:space="preserve"> </w:t>
            </w:r>
          </w:p>
        </w:tc>
      </w:tr>
      <w:tr w:rsidR="00E460C4" w:rsidTr="00694E4A">
        <w:tc>
          <w:tcPr>
            <w:tcW w:w="2394" w:type="dxa"/>
          </w:tcPr>
          <w:p w:rsidR="00E460C4" w:rsidRPr="00E17EF0" w:rsidRDefault="00E460C4" w:rsidP="00E460C4">
            <w:pPr>
              <w:jc w:val="both"/>
              <w:rPr>
                <w:rFonts w:ascii="Times New Roman" w:hAnsi="Times New Roman" w:cs="Times New Roman"/>
                <w:bCs/>
                <w:sz w:val="24"/>
                <w:szCs w:val="24"/>
              </w:rPr>
            </w:pPr>
            <w:r w:rsidRPr="00E17EF0">
              <w:rPr>
                <w:rFonts w:ascii="Times New Roman" w:hAnsi="Times New Roman" w:cs="Times New Roman"/>
                <w:bCs/>
                <w:sz w:val="24"/>
                <w:szCs w:val="24"/>
              </w:rPr>
              <w:t>Biography Series</w:t>
            </w:r>
          </w:p>
          <w:p w:rsidR="00E460C4" w:rsidRPr="00E17EF0" w:rsidRDefault="00E460C4" w:rsidP="00A80155">
            <w:pPr>
              <w:rPr>
                <w:rFonts w:ascii="Times New Roman" w:hAnsi="Times New Roman" w:cs="Times New Roman"/>
                <w:sz w:val="24"/>
                <w:szCs w:val="24"/>
              </w:rPr>
            </w:pPr>
          </w:p>
        </w:tc>
        <w:tc>
          <w:tcPr>
            <w:tcW w:w="7254" w:type="dxa"/>
          </w:tcPr>
          <w:p w:rsidR="00E460C4" w:rsidRPr="00E17EF0" w:rsidRDefault="00E460C4" w:rsidP="00694E4A">
            <w:pPr>
              <w:rPr>
                <w:rFonts w:ascii="Times New Roman" w:hAnsi="Times New Roman" w:cs="Times New Roman"/>
                <w:sz w:val="24"/>
                <w:szCs w:val="24"/>
              </w:rPr>
            </w:pPr>
            <w:r w:rsidRPr="00E17EF0">
              <w:rPr>
                <w:rFonts w:ascii="Times New Roman" w:hAnsi="Times New Roman" w:cs="Times New Roman"/>
                <w:sz w:val="24"/>
                <w:szCs w:val="24"/>
              </w:rPr>
              <w:t>A lecture series lead by faculty and staff held in the residence halls where faculty members talk about their journey through life.  Faculty and staff may focus on personal or professional topics.</w:t>
            </w:r>
          </w:p>
        </w:tc>
      </w:tr>
      <w:tr w:rsidR="00E460C4" w:rsidTr="00694E4A">
        <w:tc>
          <w:tcPr>
            <w:tcW w:w="2394" w:type="dxa"/>
          </w:tcPr>
          <w:p w:rsidR="00E460C4" w:rsidRPr="00E17EF0" w:rsidRDefault="00E460C4" w:rsidP="00A80155">
            <w:pPr>
              <w:rPr>
                <w:rFonts w:ascii="Times New Roman" w:hAnsi="Times New Roman" w:cs="Times New Roman"/>
                <w:sz w:val="24"/>
                <w:szCs w:val="24"/>
              </w:rPr>
            </w:pPr>
            <w:r w:rsidRPr="00E17EF0">
              <w:rPr>
                <w:rFonts w:ascii="Times New Roman" w:hAnsi="Times New Roman" w:cs="Times New Roman"/>
                <w:bCs/>
                <w:sz w:val="24"/>
                <w:szCs w:val="24"/>
              </w:rPr>
              <w:t>Faculty Dinners</w:t>
            </w:r>
          </w:p>
        </w:tc>
        <w:tc>
          <w:tcPr>
            <w:tcW w:w="7254" w:type="dxa"/>
          </w:tcPr>
          <w:p w:rsidR="00E460C4" w:rsidRPr="00E17EF0" w:rsidRDefault="00E460C4" w:rsidP="00694E4A">
            <w:pPr>
              <w:rPr>
                <w:rFonts w:ascii="Times New Roman" w:hAnsi="Times New Roman" w:cs="Times New Roman"/>
                <w:sz w:val="24"/>
                <w:szCs w:val="24"/>
              </w:rPr>
            </w:pPr>
            <w:r w:rsidRPr="00E17EF0">
              <w:rPr>
                <w:rFonts w:ascii="Times New Roman" w:hAnsi="Times New Roman" w:cs="Times New Roman"/>
                <w:sz w:val="24"/>
                <w:szCs w:val="24"/>
              </w:rPr>
              <w:t>Each month residence halls host a faculty dinner where instructors and faculty are invi</w:t>
            </w:r>
            <w:r w:rsidR="00EF6C31">
              <w:rPr>
                <w:rFonts w:ascii="Times New Roman" w:hAnsi="Times New Roman" w:cs="Times New Roman"/>
                <w:sz w:val="24"/>
                <w:szCs w:val="24"/>
              </w:rPr>
              <w:t>ted to dine with the students ‘on us’</w:t>
            </w:r>
            <w:r w:rsidRPr="00E17EF0">
              <w:rPr>
                <w:rFonts w:ascii="Times New Roman" w:hAnsi="Times New Roman" w:cs="Times New Roman"/>
                <w:sz w:val="24"/>
                <w:szCs w:val="24"/>
              </w:rPr>
              <w:t xml:space="preserve"> Housing and Residential Communities picks up the cost of the meals of attending faculty.</w:t>
            </w:r>
          </w:p>
        </w:tc>
      </w:tr>
      <w:tr w:rsidR="00E460C4" w:rsidTr="00694E4A">
        <w:tc>
          <w:tcPr>
            <w:tcW w:w="2394" w:type="dxa"/>
          </w:tcPr>
          <w:p w:rsidR="00E460C4" w:rsidRPr="00E17EF0" w:rsidRDefault="00E460C4" w:rsidP="00E17EF0">
            <w:pPr>
              <w:jc w:val="both"/>
              <w:rPr>
                <w:rFonts w:ascii="Times New Roman" w:hAnsi="Times New Roman" w:cs="Times New Roman"/>
                <w:bCs/>
                <w:sz w:val="24"/>
                <w:szCs w:val="24"/>
              </w:rPr>
            </w:pPr>
            <w:r w:rsidRPr="00E17EF0">
              <w:rPr>
                <w:rFonts w:ascii="Times New Roman" w:hAnsi="Times New Roman" w:cs="Times New Roman"/>
                <w:bCs/>
                <w:sz w:val="24"/>
                <w:szCs w:val="24"/>
              </w:rPr>
              <w:t>20 Tickets</w:t>
            </w:r>
          </w:p>
        </w:tc>
        <w:tc>
          <w:tcPr>
            <w:tcW w:w="7254" w:type="dxa"/>
          </w:tcPr>
          <w:p w:rsidR="00E460C4" w:rsidRPr="00E17EF0" w:rsidRDefault="00E17EF0" w:rsidP="00694E4A">
            <w:pPr>
              <w:rPr>
                <w:rFonts w:ascii="Times New Roman" w:hAnsi="Times New Roman" w:cs="Times New Roman"/>
                <w:b/>
                <w:bCs/>
                <w:sz w:val="24"/>
                <w:szCs w:val="24"/>
              </w:rPr>
            </w:pPr>
            <w:r w:rsidRPr="00E17EF0">
              <w:rPr>
                <w:rFonts w:ascii="Times New Roman" w:hAnsi="Times New Roman" w:cs="Times New Roman"/>
                <w:sz w:val="24"/>
                <w:szCs w:val="24"/>
              </w:rPr>
              <w:t>Each season Housing and Residential Communities purchases 20 tickets to a variety of cultural events on campus.  These tickets are available for students to attend these events and invite faculty.</w:t>
            </w:r>
          </w:p>
        </w:tc>
      </w:tr>
    </w:tbl>
    <w:p w:rsidR="00B458BC" w:rsidRDefault="00B458BC">
      <w:r>
        <w:br w:type="page"/>
      </w:r>
    </w:p>
    <w:tbl>
      <w:tblPr>
        <w:tblStyle w:val="TableGrid"/>
        <w:tblW w:w="9648" w:type="dxa"/>
        <w:tblLook w:val="04A0"/>
      </w:tblPr>
      <w:tblGrid>
        <w:gridCol w:w="2394"/>
        <w:gridCol w:w="7254"/>
      </w:tblGrid>
      <w:tr w:rsidR="00E17EF0" w:rsidTr="00694E4A">
        <w:tc>
          <w:tcPr>
            <w:tcW w:w="2394" w:type="dxa"/>
          </w:tcPr>
          <w:p w:rsidR="00E17EF0" w:rsidRPr="00E17EF0" w:rsidRDefault="00E17EF0" w:rsidP="00E17EF0">
            <w:pPr>
              <w:jc w:val="both"/>
              <w:rPr>
                <w:rFonts w:ascii="Times New Roman" w:hAnsi="Times New Roman" w:cs="Times New Roman"/>
                <w:bCs/>
                <w:sz w:val="24"/>
                <w:szCs w:val="24"/>
              </w:rPr>
            </w:pPr>
            <w:r w:rsidRPr="00E17EF0">
              <w:rPr>
                <w:rFonts w:ascii="Times New Roman" w:hAnsi="Times New Roman" w:cs="Times New Roman"/>
                <w:bCs/>
                <w:sz w:val="24"/>
                <w:szCs w:val="24"/>
              </w:rPr>
              <w:lastRenderedPageBreak/>
              <w:t>Compass Courses</w:t>
            </w:r>
          </w:p>
        </w:tc>
        <w:tc>
          <w:tcPr>
            <w:tcW w:w="7254" w:type="dxa"/>
          </w:tcPr>
          <w:p w:rsidR="00E17EF0" w:rsidRPr="00602B0E" w:rsidRDefault="00602B0E" w:rsidP="00694E4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Designed to assist students with navigating </w:t>
            </w:r>
            <w:r w:rsidR="0028631C">
              <w:rPr>
                <w:rFonts w:ascii="Times New Roman" w:hAnsi="Times New Roman" w:cs="Times New Roman"/>
                <w:color w:val="000000"/>
                <w:sz w:val="24"/>
                <w:szCs w:val="24"/>
              </w:rPr>
              <w:t xml:space="preserve">their first year of college, this academic course serves as the  point of integration for the other cohort classes,  and residential experience.  </w:t>
            </w:r>
          </w:p>
        </w:tc>
      </w:tr>
      <w:tr w:rsidR="00E17EF0" w:rsidTr="00694E4A">
        <w:tc>
          <w:tcPr>
            <w:tcW w:w="2394" w:type="dxa"/>
          </w:tcPr>
          <w:p w:rsidR="006476AF" w:rsidRPr="006476AF" w:rsidRDefault="006476AF" w:rsidP="006476AF">
            <w:pPr>
              <w:rPr>
                <w:rFonts w:ascii="Times New Roman" w:hAnsi="Times New Roman" w:cs="Times New Roman"/>
                <w:color w:val="000000" w:themeColor="text1"/>
                <w:sz w:val="24"/>
                <w:szCs w:val="24"/>
              </w:rPr>
            </w:pPr>
            <w:r w:rsidRPr="006476AF">
              <w:rPr>
                <w:rFonts w:ascii="Times New Roman" w:hAnsi="Times New Roman" w:cs="Times New Roman"/>
                <w:color w:val="000000" w:themeColor="text1"/>
                <w:sz w:val="24"/>
                <w:szCs w:val="24"/>
              </w:rPr>
              <w:t>Academic Advising</w:t>
            </w:r>
          </w:p>
          <w:p w:rsidR="00E17EF0" w:rsidRPr="00E17EF0" w:rsidRDefault="00E17EF0" w:rsidP="00E17EF0">
            <w:pPr>
              <w:jc w:val="both"/>
              <w:rPr>
                <w:rFonts w:ascii="Times New Roman" w:hAnsi="Times New Roman" w:cs="Times New Roman"/>
                <w:bCs/>
                <w:sz w:val="24"/>
                <w:szCs w:val="24"/>
              </w:rPr>
            </w:pPr>
          </w:p>
        </w:tc>
        <w:tc>
          <w:tcPr>
            <w:tcW w:w="7254" w:type="dxa"/>
          </w:tcPr>
          <w:p w:rsidR="00E17EF0" w:rsidRPr="006476AF" w:rsidRDefault="006476AF" w:rsidP="00694E4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6476AF">
              <w:rPr>
                <w:rFonts w:ascii="Times New Roman" w:hAnsi="Times New Roman" w:cs="Times New Roman"/>
                <w:color w:val="000000"/>
                <w:sz w:val="24"/>
                <w:szCs w:val="24"/>
              </w:rPr>
              <w:t>An</w:t>
            </w:r>
            <w:r>
              <w:rPr>
                <w:rFonts w:ascii="Times New Roman" w:hAnsi="Times New Roman" w:cs="Times New Roman"/>
                <w:color w:val="000000"/>
                <w:sz w:val="24"/>
                <w:szCs w:val="24"/>
              </w:rPr>
              <w:t xml:space="preserve"> academic</w:t>
            </w:r>
            <w:r w:rsidRPr="006476AF">
              <w:rPr>
                <w:rFonts w:ascii="Times New Roman" w:hAnsi="Times New Roman" w:cs="Times New Roman"/>
                <w:color w:val="000000"/>
                <w:sz w:val="24"/>
                <w:szCs w:val="24"/>
              </w:rPr>
              <w:t xml:space="preserve"> advisor from </w:t>
            </w:r>
            <w:r>
              <w:rPr>
                <w:rFonts w:ascii="Times New Roman" w:hAnsi="Times New Roman" w:cs="Times New Roman"/>
                <w:color w:val="000000"/>
                <w:sz w:val="24"/>
                <w:szCs w:val="24"/>
              </w:rPr>
              <w:t xml:space="preserve">the College of Arts and Sciences maintains office hours </w:t>
            </w:r>
            <w:r w:rsidRPr="006476AF">
              <w:rPr>
                <w:rFonts w:ascii="Times New Roman" w:hAnsi="Times New Roman" w:cs="Times New Roman"/>
                <w:color w:val="000000"/>
                <w:sz w:val="24"/>
                <w:szCs w:val="24"/>
              </w:rPr>
              <w:t>in the building</w:t>
            </w:r>
            <w:r>
              <w:rPr>
                <w:rFonts w:ascii="Times New Roman" w:hAnsi="Times New Roman" w:cs="Times New Roman"/>
                <w:color w:val="000000"/>
                <w:sz w:val="24"/>
                <w:szCs w:val="24"/>
              </w:rPr>
              <w:t xml:space="preserve">s housing the programs. </w:t>
            </w:r>
          </w:p>
        </w:tc>
      </w:tr>
      <w:tr w:rsidR="00F32359" w:rsidTr="00694E4A">
        <w:tc>
          <w:tcPr>
            <w:tcW w:w="2394" w:type="dxa"/>
          </w:tcPr>
          <w:p w:rsidR="00F32359" w:rsidRPr="006476AF" w:rsidRDefault="00F32359" w:rsidP="006476AF">
            <w:pPr>
              <w:rPr>
                <w:rFonts w:ascii="Times New Roman" w:hAnsi="Times New Roman" w:cs="Times New Roman"/>
                <w:color w:val="000000" w:themeColor="text1"/>
                <w:sz w:val="24"/>
                <w:szCs w:val="24"/>
              </w:rPr>
            </w:pPr>
            <w:r w:rsidRPr="001E73C4">
              <w:rPr>
                <w:rFonts w:ascii="Times New Roman" w:hAnsi="Times New Roman" w:cs="Times New Roman"/>
                <w:bCs/>
                <w:sz w:val="24"/>
                <w:szCs w:val="24"/>
              </w:rPr>
              <w:t>Classroom and group work space</w:t>
            </w:r>
          </w:p>
        </w:tc>
        <w:tc>
          <w:tcPr>
            <w:tcW w:w="7254" w:type="dxa"/>
          </w:tcPr>
          <w:p w:rsidR="00F32359" w:rsidRDefault="00F32359" w:rsidP="00694E4A">
            <w:pPr>
              <w:rPr>
                <w:rFonts w:ascii="Times New Roman" w:hAnsi="Times New Roman" w:cs="Times New Roman"/>
                <w:color w:val="000000"/>
                <w:sz w:val="24"/>
                <w:szCs w:val="24"/>
              </w:rPr>
            </w:pPr>
            <w:r w:rsidRPr="001E73C4">
              <w:rPr>
                <w:rFonts w:ascii="Times New Roman" w:hAnsi="Times New Roman" w:cs="Times New Roman"/>
                <w:color w:val="000000" w:themeColor="text1"/>
                <w:sz w:val="24"/>
                <w:szCs w:val="24"/>
              </w:rPr>
              <w:t>Space in the halls has been designed to allow for small class meetings in the residence halls.</w:t>
            </w:r>
          </w:p>
        </w:tc>
      </w:tr>
      <w:tr w:rsidR="00F32359" w:rsidTr="00694E4A">
        <w:tc>
          <w:tcPr>
            <w:tcW w:w="2394" w:type="dxa"/>
          </w:tcPr>
          <w:p w:rsidR="00F32359" w:rsidRPr="001E73C4" w:rsidRDefault="00F32359" w:rsidP="00F32359">
            <w:pPr>
              <w:rPr>
                <w:rFonts w:ascii="Times New Roman" w:hAnsi="Times New Roman" w:cs="Times New Roman"/>
                <w:color w:val="000000" w:themeColor="text1"/>
                <w:sz w:val="24"/>
                <w:szCs w:val="24"/>
              </w:rPr>
            </w:pPr>
            <w:r w:rsidRPr="001E73C4">
              <w:rPr>
                <w:rFonts w:ascii="Times New Roman" w:hAnsi="Times New Roman" w:cs="Times New Roman"/>
                <w:color w:val="000000" w:themeColor="text1"/>
                <w:sz w:val="24"/>
                <w:szCs w:val="24"/>
              </w:rPr>
              <w:t>Cohort Classes</w:t>
            </w:r>
          </w:p>
          <w:p w:rsidR="00F32359" w:rsidRPr="006476AF" w:rsidRDefault="00F32359" w:rsidP="006476AF">
            <w:pPr>
              <w:rPr>
                <w:rFonts w:ascii="Times New Roman" w:hAnsi="Times New Roman" w:cs="Times New Roman"/>
                <w:color w:val="000000" w:themeColor="text1"/>
                <w:sz w:val="24"/>
                <w:szCs w:val="24"/>
              </w:rPr>
            </w:pPr>
          </w:p>
        </w:tc>
        <w:tc>
          <w:tcPr>
            <w:tcW w:w="7254" w:type="dxa"/>
          </w:tcPr>
          <w:p w:rsidR="00F32359" w:rsidRDefault="00F32359" w:rsidP="00694E4A">
            <w:pPr>
              <w:rPr>
                <w:rFonts w:ascii="Times New Roman" w:hAnsi="Times New Roman" w:cs="Times New Roman"/>
                <w:color w:val="000000"/>
                <w:sz w:val="24"/>
                <w:szCs w:val="24"/>
              </w:rPr>
            </w:pPr>
            <w:r w:rsidRPr="0077786D">
              <w:rPr>
                <w:rFonts w:ascii="Times New Roman" w:hAnsi="Times New Roman" w:cs="Times New Roman"/>
                <w:color w:val="000000"/>
                <w:sz w:val="24"/>
                <w:szCs w:val="24"/>
              </w:rPr>
              <w:t>In addition to the A&amp;S compass courses, the students also are placed in classes by their cohort group. This allows for subject matter to transcend traditional classroom boundaries and subject matter to be</w:t>
            </w:r>
            <w:r>
              <w:rPr>
                <w:rFonts w:ascii="Times New Roman" w:hAnsi="Times New Roman" w:cs="Times New Roman"/>
                <w:color w:val="000000"/>
                <w:sz w:val="24"/>
                <w:szCs w:val="24"/>
              </w:rPr>
              <w:t xml:space="preserve"> covered several courses. (English, Art Appreciation)</w:t>
            </w:r>
          </w:p>
        </w:tc>
      </w:tr>
      <w:tr w:rsidR="00F32359" w:rsidTr="00694E4A">
        <w:tc>
          <w:tcPr>
            <w:tcW w:w="2394" w:type="dxa"/>
          </w:tcPr>
          <w:p w:rsidR="00F32359" w:rsidRPr="001E73C4" w:rsidRDefault="00F32359" w:rsidP="00F32359">
            <w:pPr>
              <w:jc w:val="both"/>
              <w:rPr>
                <w:rFonts w:ascii="Times New Roman" w:hAnsi="Times New Roman" w:cs="Times New Roman"/>
                <w:b/>
                <w:bCs/>
                <w:color w:val="000000" w:themeColor="text1"/>
                <w:sz w:val="24"/>
                <w:szCs w:val="24"/>
              </w:rPr>
            </w:pPr>
            <w:r w:rsidRPr="001E73C4">
              <w:rPr>
                <w:rFonts w:ascii="Times New Roman" w:hAnsi="Times New Roman" w:cs="Times New Roman"/>
                <w:color w:val="000000" w:themeColor="text1"/>
                <w:sz w:val="24"/>
                <w:szCs w:val="24"/>
              </w:rPr>
              <w:t xml:space="preserve">Program Traditions  </w:t>
            </w:r>
          </w:p>
          <w:p w:rsidR="00F32359" w:rsidRPr="006476AF" w:rsidRDefault="00F32359" w:rsidP="006476AF">
            <w:pPr>
              <w:rPr>
                <w:rFonts w:ascii="Times New Roman" w:hAnsi="Times New Roman" w:cs="Times New Roman"/>
                <w:color w:val="000000" w:themeColor="text1"/>
                <w:sz w:val="24"/>
                <w:szCs w:val="24"/>
              </w:rPr>
            </w:pPr>
          </w:p>
        </w:tc>
        <w:tc>
          <w:tcPr>
            <w:tcW w:w="7254" w:type="dxa"/>
          </w:tcPr>
          <w:p w:rsidR="00F32359" w:rsidRDefault="00F32359" w:rsidP="00694E4A">
            <w:pPr>
              <w:rPr>
                <w:rFonts w:ascii="Times New Roman" w:hAnsi="Times New Roman" w:cs="Times New Roman"/>
                <w:color w:val="000000"/>
                <w:sz w:val="24"/>
                <w:szCs w:val="24"/>
              </w:rPr>
            </w:pPr>
            <w:r w:rsidRPr="001E73C4">
              <w:rPr>
                <w:rFonts w:ascii="Times New Roman" w:hAnsi="Times New Roman" w:cs="Times New Roman"/>
                <w:color w:val="000000" w:themeColor="text1"/>
                <w:sz w:val="24"/>
                <w:szCs w:val="24"/>
              </w:rPr>
              <w:t>The program introduces the students to the idea of being a part of something bigger than themselves through yearly traditions. Homecoming, Halloween, Spring Talent Show, Community Service Project and End of the Year cookout and Awards Ceremony</w:t>
            </w:r>
            <w:r>
              <w:rPr>
                <w:rFonts w:ascii="Times New Roman" w:hAnsi="Times New Roman" w:cs="Times New Roman"/>
                <w:color w:val="000000" w:themeColor="text1"/>
                <w:sz w:val="24"/>
                <w:szCs w:val="24"/>
              </w:rPr>
              <w:t>,</w:t>
            </w:r>
            <w:r w:rsidRPr="001E73C4">
              <w:rPr>
                <w:rFonts w:ascii="Times New Roman" w:hAnsi="Times New Roman" w:cs="Times New Roman"/>
                <w:color w:val="000000" w:themeColor="text1"/>
                <w:sz w:val="24"/>
                <w:szCs w:val="24"/>
              </w:rPr>
              <w:t xml:space="preserve"> </w:t>
            </w:r>
            <w:r w:rsidRPr="001E73C4">
              <w:rPr>
                <w:rFonts w:ascii="Times New Roman" w:hAnsi="Times New Roman" w:cs="Times New Roman"/>
                <w:color w:val="000000" w:themeColor="text1"/>
                <w:sz w:val="24"/>
                <w:szCs w:val="24"/>
              </w:rPr>
              <w:t>provide opportunities</w:t>
            </w:r>
            <w:r w:rsidRPr="001E73C4">
              <w:rPr>
                <w:rFonts w:ascii="Times New Roman" w:hAnsi="Times New Roman" w:cs="Times New Roman"/>
                <w:color w:val="000000" w:themeColor="text1"/>
                <w:sz w:val="24"/>
                <w:szCs w:val="24"/>
              </w:rPr>
              <w:t xml:space="preserve"> for students to shape their community</w:t>
            </w:r>
            <w:r>
              <w:rPr>
                <w:rFonts w:ascii="Times New Roman" w:hAnsi="Times New Roman" w:cs="Times New Roman"/>
                <w:color w:val="000000" w:themeColor="text1"/>
                <w:sz w:val="24"/>
                <w:szCs w:val="24"/>
              </w:rPr>
              <w:t>.</w:t>
            </w:r>
          </w:p>
        </w:tc>
      </w:tr>
      <w:tr w:rsidR="00F32359" w:rsidTr="00694E4A">
        <w:tc>
          <w:tcPr>
            <w:tcW w:w="2394" w:type="dxa"/>
          </w:tcPr>
          <w:p w:rsidR="00F32359" w:rsidRPr="0077786D" w:rsidRDefault="00F32359" w:rsidP="00F32359">
            <w:pPr>
              <w:rPr>
                <w:rFonts w:ascii="Times New Roman" w:hAnsi="Times New Roman" w:cs="Times New Roman"/>
                <w:sz w:val="24"/>
                <w:szCs w:val="24"/>
              </w:rPr>
            </w:pPr>
            <w:r w:rsidRPr="0077786D">
              <w:rPr>
                <w:rFonts w:ascii="Times New Roman" w:hAnsi="Times New Roman" w:cs="Times New Roman"/>
                <w:sz w:val="24"/>
                <w:szCs w:val="24"/>
              </w:rPr>
              <w:t>Study Ha</w:t>
            </w:r>
            <w:r>
              <w:rPr>
                <w:rFonts w:ascii="Times New Roman" w:hAnsi="Times New Roman" w:cs="Times New Roman"/>
                <w:sz w:val="24"/>
                <w:szCs w:val="24"/>
              </w:rPr>
              <w:t>ll R</w:t>
            </w:r>
            <w:r w:rsidRPr="0077786D">
              <w:rPr>
                <w:rFonts w:ascii="Times New Roman" w:hAnsi="Times New Roman" w:cs="Times New Roman"/>
                <w:sz w:val="24"/>
                <w:szCs w:val="24"/>
              </w:rPr>
              <w:t>equirements</w:t>
            </w:r>
          </w:p>
          <w:p w:rsidR="00F32359" w:rsidRPr="001E73C4" w:rsidRDefault="00F32359" w:rsidP="00F32359">
            <w:pPr>
              <w:jc w:val="both"/>
              <w:rPr>
                <w:rFonts w:ascii="Times New Roman" w:hAnsi="Times New Roman" w:cs="Times New Roman"/>
                <w:color w:val="000000" w:themeColor="text1"/>
                <w:sz w:val="24"/>
                <w:szCs w:val="24"/>
              </w:rPr>
            </w:pPr>
          </w:p>
        </w:tc>
        <w:tc>
          <w:tcPr>
            <w:tcW w:w="7254" w:type="dxa"/>
          </w:tcPr>
          <w:p w:rsidR="00F32359" w:rsidRDefault="00F32359" w:rsidP="00694E4A">
            <w:pPr>
              <w:rPr>
                <w:rFonts w:ascii="Times New Roman" w:hAnsi="Times New Roman" w:cs="Times New Roman"/>
                <w:color w:val="000000"/>
                <w:sz w:val="24"/>
                <w:szCs w:val="24"/>
              </w:rPr>
            </w:pPr>
            <w:r w:rsidRPr="0077786D">
              <w:rPr>
                <w:rFonts w:ascii="Times New Roman" w:hAnsi="Times New Roman" w:cs="Times New Roman"/>
                <w:color w:val="000000"/>
                <w:sz w:val="24"/>
                <w:szCs w:val="24"/>
              </w:rPr>
              <w:t>As a part of the academic class connected to the living learning program, students are required to complete four study hall hours a week. A large study area in the main library on campus is the location of the study hall.</w:t>
            </w:r>
          </w:p>
        </w:tc>
      </w:tr>
      <w:tr w:rsidR="00F32359" w:rsidTr="00694E4A">
        <w:tc>
          <w:tcPr>
            <w:tcW w:w="2394" w:type="dxa"/>
          </w:tcPr>
          <w:p w:rsidR="00F32359" w:rsidRPr="0077786D" w:rsidRDefault="00F32359" w:rsidP="00F32359">
            <w:pPr>
              <w:rPr>
                <w:rFonts w:ascii="Times New Roman" w:hAnsi="Times New Roman"/>
              </w:rPr>
            </w:pPr>
            <w:r w:rsidRPr="0077786D">
              <w:rPr>
                <w:rFonts w:ascii="Times New Roman" w:hAnsi="Times New Roman"/>
              </w:rPr>
              <w:t>Community Service</w:t>
            </w:r>
          </w:p>
          <w:p w:rsidR="00F32359" w:rsidRPr="001E73C4" w:rsidRDefault="00F32359" w:rsidP="00F32359">
            <w:pPr>
              <w:jc w:val="both"/>
              <w:rPr>
                <w:rFonts w:ascii="Times New Roman" w:hAnsi="Times New Roman" w:cs="Times New Roman"/>
                <w:color w:val="000000" w:themeColor="text1"/>
                <w:sz w:val="24"/>
                <w:szCs w:val="24"/>
              </w:rPr>
            </w:pPr>
          </w:p>
        </w:tc>
        <w:tc>
          <w:tcPr>
            <w:tcW w:w="7254" w:type="dxa"/>
          </w:tcPr>
          <w:p w:rsidR="00F32359" w:rsidRDefault="00F32359" w:rsidP="00694E4A">
            <w:pPr>
              <w:rPr>
                <w:rFonts w:ascii="Times New Roman" w:hAnsi="Times New Roman" w:cs="Times New Roman"/>
                <w:color w:val="000000"/>
                <w:sz w:val="24"/>
                <w:szCs w:val="24"/>
              </w:rPr>
            </w:pPr>
            <w:r w:rsidRPr="0077786D">
              <w:rPr>
                <w:rFonts w:ascii="Times New Roman" w:hAnsi="Times New Roman" w:cs="Times New Roman"/>
                <w:color w:val="000000"/>
                <w:sz w:val="24"/>
                <w:szCs w:val="24"/>
              </w:rPr>
              <w:t>In an effort to create an awareness of civic responsibility, conversations about community issues begin at the end of the fall semester. The spring semester is dedicated to community service. Students in the programs are required to complete ten hours of community service in the Tuscaloosa community.</w:t>
            </w:r>
          </w:p>
        </w:tc>
      </w:tr>
      <w:tr w:rsidR="00F32359" w:rsidTr="00694E4A">
        <w:tc>
          <w:tcPr>
            <w:tcW w:w="2394" w:type="dxa"/>
          </w:tcPr>
          <w:p w:rsidR="00F32359" w:rsidRPr="001E73C4" w:rsidRDefault="00F32359" w:rsidP="00F32359">
            <w:pPr>
              <w:jc w:val="both"/>
              <w:rPr>
                <w:rFonts w:ascii="Times New Roman" w:hAnsi="Times New Roman" w:cs="Times New Roman"/>
                <w:color w:val="000000" w:themeColor="text1"/>
                <w:sz w:val="24"/>
                <w:szCs w:val="24"/>
              </w:rPr>
            </w:pPr>
            <w:r>
              <w:rPr>
                <w:rFonts w:ascii="Times New Roman" w:hAnsi="Times New Roman"/>
              </w:rPr>
              <w:t>Faculty in Residence</w:t>
            </w:r>
          </w:p>
        </w:tc>
        <w:tc>
          <w:tcPr>
            <w:tcW w:w="7254" w:type="dxa"/>
          </w:tcPr>
          <w:p w:rsidR="00F32359" w:rsidRDefault="00F32359" w:rsidP="00694E4A">
            <w:pPr>
              <w:rPr>
                <w:rFonts w:ascii="Times New Roman" w:hAnsi="Times New Roman" w:cs="Times New Roman"/>
                <w:color w:val="000000"/>
                <w:sz w:val="24"/>
                <w:szCs w:val="24"/>
              </w:rPr>
            </w:pPr>
            <w:r>
              <w:rPr>
                <w:rFonts w:ascii="Times New Roman" w:hAnsi="Times New Roman" w:cs="Times New Roman"/>
                <w:color w:val="000000"/>
                <w:sz w:val="24"/>
                <w:szCs w:val="24"/>
              </w:rPr>
              <w:t>Parker Adams is home to a faculty member who serves as an academic mentor to the students living in the residence hall.</w:t>
            </w:r>
          </w:p>
        </w:tc>
      </w:tr>
      <w:tr w:rsidR="00F32359" w:rsidTr="00694E4A">
        <w:tc>
          <w:tcPr>
            <w:tcW w:w="2394" w:type="dxa"/>
          </w:tcPr>
          <w:p w:rsidR="00F32359" w:rsidRPr="001E73C4" w:rsidRDefault="00F32359" w:rsidP="00F32359">
            <w:pPr>
              <w:rPr>
                <w:rFonts w:ascii="Times New Roman" w:hAnsi="Times New Roman" w:cs="Times New Roman"/>
                <w:color w:val="000000" w:themeColor="text1"/>
                <w:sz w:val="24"/>
                <w:szCs w:val="24"/>
              </w:rPr>
            </w:pPr>
            <w:r>
              <w:rPr>
                <w:rFonts w:ascii="Times New Roman" w:hAnsi="Times New Roman"/>
              </w:rPr>
              <w:t xml:space="preserve">Graduate </w:t>
            </w:r>
            <w:r>
              <w:rPr>
                <w:rFonts w:ascii="Times New Roman" w:hAnsi="Times New Roman"/>
              </w:rPr>
              <w:t>Student Support</w:t>
            </w:r>
          </w:p>
        </w:tc>
        <w:tc>
          <w:tcPr>
            <w:tcW w:w="7254" w:type="dxa"/>
          </w:tcPr>
          <w:p w:rsidR="00F32359" w:rsidRDefault="00F32359" w:rsidP="00694E4A">
            <w:pPr>
              <w:rPr>
                <w:rFonts w:ascii="Times New Roman" w:hAnsi="Times New Roman" w:cs="Times New Roman"/>
                <w:color w:val="000000"/>
                <w:sz w:val="24"/>
                <w:szCs w:val="24"/>
              </w:rPr>
            </w:pPr>
            <w:r>
              <w:rPr>
                <w:rFonts w:ascii="Times New Roman" w:hAnsi="Times New Roman" w:cs="Times New Roman"/>
                <w:color w:val="000000"/>
                <w:sz w:val="24"/>
                <w:szCs w:val="24"/>
              </w:rPr>
              <w:t>A Graduate Student Staff member from Housing and Residential Communities lives in the building and provides supervisory support</w:t>
            </w:r>
          </w:p>
        </w:tc>
      </w:tr>
      <w:tr w:rsidR="00F32359" w:rsidTr="00694E4A">
        <w:tc>
          <w:tcPr>
            <w:tcW w:w="2394" w:type="dxa"/>
          </w:tcPr>
          <w:p w:rsidR="00F32359" w:rsidRDefault="00F32359" w:rsidP="00F32359">
            <w:pPr>
              <w:jc w:val="both"/>
              <w:rPr>
                <w:rFonts w:ascii="Times New Roman" w:hAnsi="Times New Roman"/>
              </w:rPr>
            </w:pPr>
            <w:r>
              <w:rPr>
                <w:rFonts w:ascii="Times New Roman" w:hAnsi="Times New Roman"/>
              </w:rPr>
              <w:t>Peer Mentors</w:t>
            </w:r>
          </w:p>
          <w:p w:rsidR="00EF6C31" w:rsidRPr="001E73C4" w:rsidRDefault="00EF6C31" w:rsidP="00F32359">
            <w:pPr>
              <w:jc w:val="both"/>
              <w:rPr>
                <w:rFonts w:ascii="Times New Roman" w:hAnsi="Times New Roman" w:cs="Times New Roman"/>
                <w:color w:val="000000" w:themeColor="text1"/>
                <w:sz w:val="24"/>
                <w:szCs w:val="24"/>
              </w:rPr>
            </w:pPr>
            <w:r>
              <w:rPr>
                <w:rFonts w:ascii="Times New Roman" w:hAnsi="Times New Roman"/>
              </w:rPr>
              <w:t xml:space="preserve">“Fellows” </w:t>
            </w:r>
          </w:p>
        </w:tc>
        <w:tc>
          <w:tcPr>
            <w:tcW w:w="7254" w:type="dxa"/>
          </w:tcPr>
          <w:p w:rsidR="00F32359" w:rsidRDefault="00F32359" w:rsidP="00694E4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The College of Arts and Science and Housing and Residential Communities </w:t>
            </w:r>
            <w:r w:rsidR="00EF6C31">
              <w:rPr>
                <w:rFonts w:ascii="Times New Roman" w:hAnsi="Times New Roman" w:cs="Times New Roman"/>
                <w:color w:val="000000"/>
                <w:sz w:val="24"/>
                <w:szCs w:val="24"/>
              </w:rPr>
              <w:t xml:space="preserve">select undergraduate peers to serve as role models and to proctor study hall hours in Gorgas Library. </w:t>
            </w:r>
          </w:p>
        </w:tc>
      </w:tr>
    </w:tbl>
    <w:p w:rsidR="00CD449B" w:rsidRDefault="00CD449B" w:rsidP="006476AF">
      <w:pPr>
        <w:rPr>
          <w:rFonts w:ascii="Times New Roman" w:hAnsi="Times New Roman" w:cs="Times New Roman"/>
          <w:bCs/>
          <w:sz w:val="24"/>
          <w:szCs w:val="24"/>
        </w:rPr>
      </w:pPr>
    </w:p>
    <w:p w:rsidR="00EF6C31" w:rsidRDefault="00EF6C31" w:rsidP="006476AF">
      <w:pPr>
        <w:rPr>
          <w:rFonts w:ascii="Times New Roman" w:hAnsi="Times New Roman" w:cs="Times New Roman"/>
          <w:bCs/>
          <w:sz w:val="24"/>
          <w:szCs w:val="24"/>
        </w:rPr>
      </w:pPr>
    </w:p>
    <w:tbl>
      <w:tblPr>
        <w:tblStyle w:val="TableGrid"/>
        <w:tblW w:w="9648" w:type="dxa"/>
        <w:tblLook w:val="04A0"/>
      </w:tblPr>
      <w:tblGrid>
        <w:gridCol w:w="2394"/>
        <w:gridCol w:w="7254"/>
      </w:tblGrid>
      <w:tr w:rsidR="00EF6C31" w:rsidTr="00812EF9">
        <w:tc>
          <w:tcPr>
            <w:tcW w:w="2394" w:type="dxa"/>
            <w:tc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tcBorders>
            <w:shd w:val="clear" w:color="auto" w:fill="943634" w:themeFill="accent2" w:themeFillShade="BF"/>
          </w:tcPr>
          <w:p w:rsidR="00EF6C31" w:rsidRDefault="00EF6C31" w:rsidP="00812EF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UA- ACTS </w:t>
            </w:r>
            <w:r w:rsidRPr="00E17EF0">
              <w:rPr>
                <w:rFonts w:ascii="Times New Roman" w:hAnsi="Times New Roman" w:cs="Times New Roman"/>
                <w:color w:val="FFFFFF" w:themeColor="background1"/>
                <w:sz w:val="24"/>
                <w:szCs w:val="24"/>
              </w:rPr>
              <w:t>Program</w:t>
            </w:r>
          </w:p>
          <w:p w:rsidR="00EF6C31" w:rsidRPr="00E17EF0" w:rsidRDefault="00EF6C31" w:rsidP="00812EF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Components</w:t>
            </w:r>
          </w:p>
        </w:tc>
        <w:tc>
          <w:tcPr>
            <w:tcW w:w="7254" w:type="dxa"/>
            <w:tc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tcBorders>
            <w:shd w:val="clear" w:color="auto" w:fill="943634" w:themeFill="accent2" w:themeFillShade="BF"/>
          </w:tcPr>
          <w:p w:rsidR="00EF6C31" w:rsidRPr="00E17EF0" w:rsidRDefault="00EF6C31" w:rsidP="00EF6C31">
            <w:pPr>
              <w:jc w:val="center"/>
              <w:rPr>
                <w:rFonts w:ascii="Times New Roman" w:hAnsi="Times New Roman" w:cs="Times New Roman"/>
                <w:color w:val="FFFFFF" w:themeColor="background1"/>
                <w:sz w:val="24"/>
                <w:szCs w:val="24"/>
              </w:rPr>
            </w:pPr>
            <w:r w:rsidRPr="00E17EF0">
              <w:rPr>
                <w:rFonts w:ascii="Times New Roman" w:hAnsi="Times New Roman" w:cs="Times New Roman"/>
                <w:color w:val="FFFFFF" w:themeColor="background1"/>
                <w:sz w:val="24"/>
                <w:szCs w:val="24"/>
              </w:rPr>
              <w:t>Description</w:t>
            </w:r>
          </w:p>
        </w:tc>
      </w:tr>
      <w:tr w:rsidR="00EF6C31" w:rsidTr="00812EF9">
        <w:tc>
          <w:tcPr>
            <w:tcW w:w="2394" w:type="dxa"/>
            <w:tcBorders>
              <w:top w:val="single" w:sz="4" w:space="0" w:color="943634" w:themeColor="accent2" w:themeShade="BF"/>
            </w:tcBorders>
          </w:tcPr>
          <w:p w:rsidR="00EF6C31" w:rsidRPr="00E17EF0" w:rsidRDefault="00EF6C31" w:rsidP="00812EF9">
            <w:pPr>
              <w:rPr>
                <w:rFonts w:ascii="Times New Roman" w:hAnsi="Times New Roman" w:cs="Times New Roman"/>
                <w:sz w:val="24"/>
                <w:szCs w:val="24"/>
              </w:rPr>
            </w:pPr>
          </w:p>
        </w:tc>
        <w:tc>
          <w:tcPr>
            <w:tcW w:w="7254" w:type="dxa"/>
            <w:tcBorders>
              <w:top w:val="single" w:sz="4" w:space="0" w:color="943634" w:themeColor="accent2" w:themeShade="BF"/>
            </w:tcBorders>
          </w:tcPr>
          <w:p w:rsidR="00EF6C31" w:rsidRPr="00E17EF0" w:rsidRDefault="00EF6C31" w:rsidP="00812EF9">
            <w:pPr>
              <w:rPr>
                <w:rFonts w:ascii="Times New Roman" w:hAnsi="Times New Roman" w:cs="Times New Roman"/>
                <w:sz w:val="24"/>
                <w:szCs w:val="24"/>
              </w:rPr>
            </w:pPr>
          </w:p>
        </w:tc>
      </w:tr>
      <w:tr w:rsidR="00EF6C31" w:rsidTr="00812EF9">
        <w:tc>
          <w:tcPr>
            <w:tcW w:w="2394" w:type="dxa"/>
          </w:tcPr>
          <w:p w:rsidR="00EF6C31" w:rsidRPr="00E17EF0" w:rsidRDefault="00EF6C31" w:rsidP="00812EF9">
            <w:pPr>
              <w:rPr>
                <w:rFonts w:ascii="Times New Roman" w:hAnsi="Times New Roman" w:cs="Times New Roman"/>
                <w:sz w:val="24"/>
                <w:szCs w:val="24"/>
              </w:rPr>
            </w:pPr>
          </w:p>
        </w:tc>
        <w:tc>
          <w:tcPr>
            <w:tcW w:w="7254" w:type="dxa"/>
          </w:tcPr>
          <w:p w:rsidR="00EF6C31" w:rsidRPr="00E17EF0" w:rsidRDefault="00EF6C31" w:rsidP="00812EF9">
            <w:pPr>
              <w:rPr>
                <w:rFonts w:ascii="Times New Roman" w:hAnsi="Times New Roman" w:cs="Times New Roman"/>
                <w:sz w:val="24"/>
                <w:szCs w:val="24"/>
              </w:rPr>
            </w:pPr>
          </w:p>
        </w:tc>
      </w:tr>
      <w:tr w:rsidR="00EF6C31" w:rsidTr="00812EF9">
        <w:tc>
          <w:tcPr>
            <w:tcW w:w="2394" w:type="dxa"/>
          </w:tcPr>
          <w:p w:rsidR="00EF6C31" w:rsidRPr="00E17EF0" w:rsidRDefault="00EF6C31" w:rsidP="00EF6C31">
            <w:pPr>
              <w:jc w:val="both"/>
              <w:rPr>
                <w:rFonts w:ascii="Times New Roman" w:hAnsi="Times New Roman" w:cs="Times New Roman"/>
                <w:sz w:val="24"/>
                <w:szCs w:val="24"/>
              </w:rPr>
            </w:pPr>
          </w:p>
        </w:tc>
        <w:tc>
          <w:tcPr>
            <w:tcW w:w="7254" w:type="dxa"/>
          </w:tcPr>
          <w:p w:rsidR="00EF6C31" w:rsidRPr="00E17EF0" w:rsidRDefault="00EF6C31" w:rsidP="00812EF9">
            <w:pPr>
              <w:rPr>
                <w:rFonts w:ascii="Times New Roman" w:hAnsi="Times New Roman" w:cs="Times New Roman"/>
                <w:sz w:val="24"/>
                <w:szCs w:val="24"/>
              </w:rPr>
            </w:pPr>
          </w:p>
        </w:tc>
      </w:tr>
      <w:tr w:rsidR="00EF6C31" w:rsidTr="00812EF9">
        <w:tc>
          <w:tcPr>
            <w:tcW w:w="2394" w:type="dxa"/>
          </w:tcPr>
          <w:p w:rsidR="00EF6C31" w:rsidRPr="00E17EF0" w:rsidRDefault="00EF6C31" w:rsidP="00812EF9">
            <w:pPr>
              <w:rPr>
                <w:rFonts w:ascii="Times New Roman" w:hAnsi="Times New Roman" w:cs="Times New Roman"/>
                <w:sz w:val="24"/>
                <w:szCs w:val="24"/>
              </w:rPr>
            </w:pPr>
          </w:p>
        </w:tc>
        <w:tc>
          <w:tcPr>
            <w:tcW w:w="7254" w:type="dxa"/>
          </w:tcPr>
          <w:p w:rsidR="00EF6C31" w:rsidRPr="00E17EF0" w:rsidRDefault="00EF6C31" w:rsidP="00812EF9">
            <w:pPr>
              <w:rPr>
                <w:rFonts w:ascii="Times New Roman" w:hAnsi="Times New Roman" w:cs="Times New Roman"/>
                <w:sz w:val="24"/>
                <w:szCs w:val="24"/>
              </w:rPr>
            </w:pPr>
            <w:r w:rsidRPr="00E17EF0">
              <w:rPr>
                <w:rFonts w:ascii="Times New Roman" w:hAnsi="Times New Roman" w:cs="Times New Roman"/>
                <w:sz w:val="24"/>
                <w:szCs w:val="24"/>
              </w:rPr>
              <w:t>.</w:t>
            </w:r>
          </w:p>
        </w:tc>
      </w:tr>
      <w:tr w:rsidR="00EF6C31" w:rsidTr="00812EF9">
        <w:tc>
          <w:tcPr>
            <w:tcW w:w="2394" w:type="dxa"/>
          </w:tcPr>
          <w:p w:rsidR="00EF6C31" w:rsidRPr="00E17EF0" w:rsidRDefault="00EF6C31" w:rsidP="00812EF9">
            <w:pPr>
              <w:jc w:val="both"/>
              <w:rPr>
                <w:rFonts w:ascii="Times New Roman" w:hAnsi="Times New Roman" w:cs="Times New Roman"/>
                <w:bCs/>
                <w:sz w:val="24"/>
                <w:szCs w:val="24"/>
              </w:rPr>
            </w:pPr>
          </w:p>
        </w:tc>
        <w:tc>
          <w:tcPr>
            <w:tcW w:w="7254" w:type="dxa"/>
          </w:tcPr>
          <w:p w:rsidR="00EF6C31" w:rsidRPr="00E17EF0" w:rsidRDefault="00EF6C31" w:rsidP="00812EF9">
            <w:pPr>
              <w:rPr>
                <w:rFonts w:ascii="Times New Roman" w:hAnsi="Times New Roman" w:cs="Times New Roman"/>
                <w:b/>
                <w:bCs/>
                <w:sz w:val="24"/>
                <w:szCs w:val="24"/>
              </w:rPr>
            </w:pPr>
          </w:p>
        </w:tc>
      </w:tr>
    </w:tbl>
    <w:p w:rsidR="00EF6C31" w:rsidRDefault="00EF6C31" w:rsidP="006476AF">
      <w:pPr>
        <w:rPr>
          <w:rFonts w:ascii="Times New Roman" w:hAnsi="Times New Roman" w:cs="Times New Roman"/>
          <w:bCs/>
          <w:sz w:val="24"/>
          <w:szCs w:val="24"/>
        </w:rPr>
        <w:sectPr w:rsidR="00EF6C31" w:rsidSect="004A0110">
          <w:footerReference w:type="default" r:id="rId9"/>
          <w:pgSz w:w="12240" w:h="15840"/>
          <w:pgMar w:top="1440" w:right="1440" w:bottom="1440" w:left="1440" w:header="720" w:footer="720" w:gutter="0"/>
          <w:cols w:space="720"/>
          <w:docGrid w:linePitch="360"/>
        </w:sectPr>
      </w:pPr>
    </w:p>
    <w:p w:rsidR="000A32C8" w:rsidRPr="00A836DF" w:rsidRDefault="000A32C8" w:rsidP="003D1312">
      <w:pPr>
        <w:spacing w:after="0" w:line="240" w:lineRule="auto"/>
        <w:rPr>
          <w:rFonts w:ascii="Garamond" w:hAnsi="Garamond"/>
          <w:b/>
          <w:smallCaps/>
          <w:color w:val="943634" w:themeColor="accent2" w:themeShade="BF"/>
          <w:sz w:val="24"/>
          <w:szCs w:val="24"/>
        </w:rPr>
      </w:pPr>
    </w:p>
    <w:p w:rsidR="003D1312" w:rsidRDefault="003D1312" w:rsidP="003D1312">
      <w:pPr>
        <w:spacing w:after="0" w:line="240" w:lineRule="auto"/>
        <w:jc w:val="center"/>
        <w:rPr>
          <w:rFonts w:ascii="Garamond" w:hAnsi="Garamond"/>
          <w:b/>
          <w:smallCaps/>
          <w:color w:val="808080"/>
        </w:rPr>
      </w:pPr>
    </w:p>
    <w:p w:rsidR="004A0110" w:rsidRDefault="004A0110"/>
    <w:sectPr w:rsidR="004A0110" w:rsidSect="004A01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445D" w:rsidRDefault="0030445D" w:rsidP="000A32C8">
      <w:pPr>
        <w:spacing w:after="0" w:line="240" w:lineRule="auto"/>
      </w:pPr>
      <w:r>
        <w:separator/>
      </w:r>
    </w:p>
  </w:endnote>
  <w:endnote w:type="continuationSeparator" w:id="1">
    <w:p w:rsidR="0030445D" w:rsidRDefault="0030445D" w:rsidP="000A32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786D" w:rsidRDefault="0077786D" w:rsidP="0077786D">
    <w:pPr>
      <w:pStyle w:val="Footer"/>
      <w:jc w:val="center"/>
    </w:pPr>
    <w:r>
      <w:rPr>
        <w:rFonts w:ascii="Garamond" w:hAnsi="Garamond"/>
        <w:b/>
        <w:smallCaps/>
        <w:color w:val="808080"/>
      </w:rPr>
      <w:t>This is how college is meant to be</w:t>
    </w:r>
  </w:p>
  <w:p w:rsidR="0077786D" w:rsidRDefault="007778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445D" w:rsidRDefault="0030445D" w:rsidP="000A32C8">
      <w:pPr>
        <w:spacing w:after="0" w:line="240" w:lineRule="auto"/>
      </w:pPr>
      <w:r>
        <w:separator/>
      </w:r>
    </w:p>
  </w:footnote>
  <w:footnote w:type="continuationSeparator" w:id="1">
    <w:p w:rsidR="0030445D" w:rsidRDefault="0030445D" w:rsidP="000A32C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A29C6"/>
    <w:multiLevelType w:val="hybridMultilevel"/>
    <w:tmpl w:val="F37CA68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3614BC9"/>
    <w:multiLevelType w:val="hybridMultilevel"/>
    <w:tmpl w:val="81D658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3C30A8B"/>
    <w:multiLevelType w:val="hybridMultilevel"/>
    <w:tmpl w:val="317CC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5D37D3"/>
    <w:multiLevelType w:val="hybridMultilevel"/>
    <w:tmpl w:val="90AEE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C50BFD"/>
    <w:multiLevelType w:val="hybridMultilevel"/>
    <w:tmpl w:val="2408B1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B65353F"/>
    <w:multiLevelType w:val="hybridMultilevel"/>
    <w:tmpl w:val="D158DC8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1"/>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D1312"/>
    <w:rsid w:val="00036561"/>
    <w:rsid w:val="000A32C8"/>
    <w:rsid w:val="000D2B29"/>
    <w:rsid w:val="001E73C4"/>
    <w:rsid w:val="0028631C"/>
    <w:rsid w:val="002A6184"/>
    <w:rsid w:val="0030445D"/>
    <w:rsid w:val="003D1312"/>
    <w:rsid w:val="00410791"/>
    <w:rsid w:val="00460EF1"/>
    <w:rsid w:val="00495188"/>
    <w:rsid w:val="004A0110"/>
    <w:rsid w:val="00602B0E"/>
    <w:rsid w:val="006056A5"/>
    <w:rsid w:val="006476AF"/>
    <w:rsid w:val="00657884"/>
    <w:rsid w:val="00694E4A"/>
    <w:rsid w:val="006D6955"/>
    <w:rsid w:val="0077786D"/>
    <w:rsid w:val="007F724B"/>
    <w:rsid w:val="00823A9A"/>
    <w:rsid w:val="009B132E"/>
    <w:rsid w:val="00A80155"/>
    <w:rsid w:val="00B458BC"/>
    <w:rsid w:val="00C52A25"/>
    <w:rsid w:val="00CD449B"/>
    <w:rsid w:val="00E17EF0"/>
    <w:rsid w:val="00E460C4"/>
    <w:rsid w:val="00EF6C31"/>
    <w:rsid w:val="00F323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3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2C8"/>
    <w:pPr>
      <w:ind w:left="720"/>
    </w:pPr>
    <w:rPr>
      <w:rFonts w:ascii="Calibri" w:hAnsi="Calibri" w:cs="Times New Roman"/>
    </w:rPr>
  </w:style>
  <w:style w:type="paragraph" w:styleId="Header">
    <w:name w:val="header"/>
    <w:basedOn w:val="Normal"/>
    <w:link w:val="HeaderChar"/>
    <w:uiPriority w:val="99"/>
    <w:semiHidden/>
    <w:unhideWhenUsed/>
    <w:rsid w:val="000A32C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A32C8"/>
  </w:style>
  <w:style w:type="paragraph" w:styleId="Footer">
    <w:name w:val="footer"/>
    <w:basedOn w:val="Normal"/>
    <w:link w:val="FooterChar"/>
    <w:uiPriority w:val="99"/>
    <w:semiHidden/>
    <w:unhideWhenUsed/>
    <w:rsid w:val="000A32C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A32C8"/>
  </w:style>
  <w:style w:type="table" w:styleId="TableGrid">
    <w:name w:val="Table Grid"/>
    <w:basedOn w:val="TableNormal"/>
    <w:uiPriority w:val="59"/>
    <w:rsid w:val="00460EF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1211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F585D2-0B04-4D73-8C2C-5B15FFFBD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3</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The University of Alabama</Company>
  <LinksUpToDate>false</LinksUpToDate>
  <CharactersWithSpaces>4474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hhallmann</dc:creator>
  <cp:keywords/>
  <dc:description/>
  <cp:lastModifiedBy>hhallmann</cp:lastModifiedBy>
  <cp:revision>32</cp:revision>
  <dcterms:created xsi:type="dcterms:W3CDTF">2008-01-07T18:53:00Z</dcterms:created>
  <dcterms:modified xsi:type="dcterms:W3CDTF">2008-02-15T19:51:00Z</dcterms:modified>
</cp:coreProperties>
</file>