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75" w:rsidRDefault="00D94D75" w:rsidP="007C0FB5">
      <w:pPr>
        <w:rPr>
          <w:rFonts w:ascii="Garamond" w:hAnsi="Garamond"/>
          <w:b/>
          <w:smallCaps/>
          <w:color w:val="808080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-447675</wp:posOffset>
            </wp:positionV>
            <wp:extent cx="1689100" cy="619125"/>
            <wp:effectExtent l="19050" t="0" r="6350" b="0"/>
            <wp:wrapSquare wrapText="bothSides"/>
            <wp:docPr id="1" name="Picture 1" descr="uaword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wordmar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6BB3" w:rsidRDefault="00346BB3" w:rsidP="00346BB3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  <w:r>
        <w:rPr>
          <w:rFonts w:ascii="Garamond" w:hAnsi="Garamond"/>
          <w:b/>
          <w:smallCaps/>
          <w:color w:val="808080"/>
        </w:rPr>
        <w:t>College of Arts and Sciences and Housing and Residential Communities</w:t>
      </w:r>
    </w:p>
    <w:p w:rsidR="007C0FB5" w:rsidRDefault="007C0FB5" w:rsidP="007C0FB5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  <w:r>
        <w:rPr>
          <w:rFonts w:ascii="Garamond" w:hAnsi="Garamond"/>
          <w:b/>
          <w:smallCaps/>
          <w:color w:val="808080"/>
        </w:rPr>
        <w:t>Capstone Living Learning Communities</w:t>
      </w:r>
    </w:p>
    <w:p w:rsidR="00ED75F7" w:rsidRDefault="00ED75F7" w:rsidP="007C0FB5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</w:p>
    <w:p w:rsidR="00ED75F7" w:rsidRDefault="00ED75F7" w:rsidP="007C0FB5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</w:p>
    <w:p w:rsidR="00AA41C2" w:rsidRDefault="00AA41C2" w:rsidP="007C0FB5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</w:p>
    <w:p w:rsidR="00AA41C2" w:rsidRPr="00A836DF" w:rsidRDefault="00ED75F7" w:rsidP="00AA41C2">
      <w:pPr>
        <w:spacing w:after="0" w:line="240" w:lineRule="auto"/>
        <w:rPr>
          <w:rFonts w:ascii="Garamond" w:hAnsi="Garamond"/>
          <w:b/>
          <w:smallCaps/>
          <w:color w:val="943634" w:themeColor="accent2" w:themeShade="BF"/>
          <w:sz w:val="24"/>
          <w:szCs w:val="24"/>
        </w:rPr>
      </w:pPr>
      <w:r w:rsidRPr="00A836DF">
        <w:rPr>
          <w:rFonts w:ascii="Garamond" w:hAnsi="Garamond"/>
          <w:b/>
          <w:smallCaps/>
          <w:color w:val="943634" w:themeColor="accent2" w:themeShade="BF"/>
          <w:sz w:val="24"/>
          <w:szCs w:val="24"/>
        </w:rPr>
        <w:t xml:space="preserve">College of Arts and Sciences </w:t>
      </w:r>
    </w:p>
    <w:p w:rsidR="00C0735D" w:rsidRPr="00A836DF" w:rsidRDefault="00C0735D" w:rsidP="00AA41C2">
      <w:pPr>
        <w:spacing w:after="0" w:line="240" w:lineRule="auto"/>
        <w:rPr>
          <w:rFonts w:ascii="Garamond" w:hAnsi="Garamond"/>
          <w:b/>
          <w:smallCaps/>
          <w:color w:val="943634" w:themeColor="accent2" w:themeShade="BF"/>
          <w:sz w:val="24"/>
          <w:szCs w:val="24"/>
        </w:rPr>
      </w:pPr>
      <w:r w:rsidRPr="00A836DF">
        <w:rPr>
          <w:rFonts w:ascii="Garamond" w:hAnsi="Garamond"/>
          <w:b/>
          <w:smallCaps/>
          <w:color w:val="943634" w:themeColor="accent2" w:themeShade="BF"/>
          <w:sz w:val="24"/>
          <w:szCs w:val="24"/>
        </w:rPr>
        <w:t>Academic Initiatives and Outcomes</w:t>
      </w:r>
    </w:p>
    <w:p w:rsidR="00C0735D" w:rsidRDefault="00C0735D" w:rsidP="00AA41C2">
      <w:pPr>
        <w:spacing w:after="0" w:line="240" w:lineRule="auto"/>
        <w:rPr>
          <w:rFonts w:ascii="Garamond" w:hAnsi="Garamond"/>
          <w:b/>
          <w:smallCaps/>
          <w:color w:val="808080"/>
        </w:rPr>
      </w:pPr>
    </w:p>
    <w:p w:rsidR="00C0735D" w:rsidRPr="00C0735D" w:rsidRDefault="00AA41C2" w:rsidP="000F51EB">
      <w:pPr>
        <w:outlineLvl w:val="0"/>
        <w:rPr>
          <w:sz w:val="24"/>
          <w:szCs w:val="24"/>
        </w:rPr>
      </w:pPr>
      <w:r w:rsidRPr="00C0735D">
        <w:rPr>
          <w:b/>
          <w:sz w:val="24"/>
          <w:szCs w:val="24"/>
        </w:rPr>
        <w:t xml:space="preserve">The Capstone Living Learning Community in Parker-Adams Hall:  </w:t>
      </w:r>
      <w:r w:rsidRPr="00C0735D">
        <w:rPr>
          <w:i/>
          <w:sz w:val="24"/>
          <w:szCs w:val="24"/>
        </w:rPr>
        <w:t>The Parker-Adams Year,</w:t>
      </w:r>
      <w:r w:rsidRPr="00C0735D">
        <w:rPr>
          <w:sz w:val="24"/>
          <w:szCs w:val="24"/>
        </w:rPr>
        <w:t xml:space="preserve"> which began in fall 2000, serves a maximu</w:t>
      </w:r>
      <w:r w:rsidR="00D56751" w:rsidRPr="00C0735D">
        <w:rPr>
          <w:sz w:val="24"/>
          <w:szCs w:val="24"/>
        </w:rPr>
        <w:t>m of 96 Arts &amp; Sciences first year students</w:t>
      </w:r>
      <w:r w:rsidRPr="00C0735D">
        <w:rPr>
          <w:sz w:val="24"/>
          <w:szCs w:val="24"/>
        </w:rPr>
        <w:t>.</w:t>
      </w:r>
      <w:r w:rsidR="009956FF" w:rsidRPr="00C0735D">
        <w:rPr>
          <w:sz w:val="24"/>
          <w:szCs w:val="24"/>
        </w:rPr>
        <w:t xml:space="preserve"> </w:t>
      </w:r>
      <w:r w:rsidR="009956FF" w:rsidRPr="00C0735D">
        <w:rPr>
          <w:i/>
          <w:sz w:val="24"/>
          <w:szCs w:val="24"/>
        </w:rPr>
        <w:t>The Parker-Adams Year</w:t>
      </w:r>
      <w:r w:rsidR="009956FF" w:rsidRPr="00C0735D">
        <w:rPr>
          <w:rFonts w:ascii="Times New Roman" w:eastAsia="Times New Roman" w:hAnsi="Times New Roman" w:cs="Times New Roman"/>
          <w:sz w:val="24"/>
          <w:szCs w:val="24"/>
        </w:rPr>
        <w:t xml:space="preserve"> focus is on </w:t>
      </w:r>
      <w:r w:rsidR="009956FF" w:rsidRPr="00C0735D">
        <w:rPr>
          <w:sz w:val="24"/>
          <w:szCs w:val="24"/>
        </w:rPr>
        <w:t xml:space="preserve">the first year transition and </w:t>
      </w:r>
      <w:r w:rsidR="009956FF" w:rsidRPr="00C0735D">
        <w:rPr>
          <w:rFonts w:ascii="Times New Roman" w:eastAsia="Times New Roman" w:hAnsi="Times New Roman" w:cs="Times New Roman"/>
          <w:sz w:val="24"/>
          <w:szCs w:val="24"/>
        </w:rPr>
        <w:t>mentoring</w:t>
      </w:r>
      <w:r w:rsidR="009956FF" w:rsidRPr="00C0735D">
        <w:rPr>
          <w:sz w:val="24"/>
          <w:szCs w:val="24"/>
        </w:rPr>
        <w:t xml:space="preserve"> by faculty</w:t>
      </w:r>
      <w:r w:rsidR="009956FF" w:rsidRPr="00C073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9956FF" w:rsidRPr="00C0735D">
        <w:rPr>
          <w:sz w:val="24"/>
          <w:szCs w:val="24"/>
        </w:rPr>
        <w:t xml:space="preserve"> </w:t>
      </w:r>
      <w:r w:rsidR="00C0568A" w:rsidRPr="00C0735D">
        <w:rPr>
          <w:sz w:val="24"/>
          <w:szCs w:val="24"/>
        </w:rPr>
        <w:t>student fellows and Resident</w:t>
      </w:r>
      <w:r w:rsidR="009956FF" w:rsidRPr="00C0735D">
        <w:rPr>
          <w:sz w:val="24"/>
          <w:szCs w:val="24"/>
        </w:rPr>
        <w:t xml:space="preserve"> Advisors</w:t>
      </w:r>
      <w:r w:rsidR="00546580">
        <w:rPr>
          <w:sz w:val="24"/>
          <w:szCs w:val="24"/>
        </w:rPr>
        <w:t>.</w:t>
      </w:r>
      <w:r w:rsidR="00C0735D" w:rsidRPr="00C0735D">
        <w:rPr>
          <w:sz w:val="24"/>
          <w:szCs w:val="24"/>
        </w:rPr>
        <w:t xml:space="preserve">  The staff</w:t>
      </w:r>
      <w:r w:rsidRPr="00C0735D">
        <w:rPr>
          <w:sz w:val="24"/>
          <w:szCs w:val="24"/>
        </w:rPr>
        <w:t xml:space="preserve"> consists of a faculty-in-residence, academic advisor</w:t>
      </w:r>
      <w:r w:rsidR="00FE16BB" w:rsidRPr="00C0735D">
        <w:rPr>
          <w:sz w:val="24"/>
          <w:szCs w:val="24"/>
        </w:rPr>
        <w:t>, community director,</w:t>
      </w:r>
      <w:r w:rsidRPr="00C0735D">
        <w:rPr>
          <w:sz w:val="24"/>
          <w:szCs w:val="24"/>
        </w:rPr>
        <w:t xml:space="preserve"> a graduate hall director, five RAs, and five fellows, who are sophomores or above who have living-learning experience.  The program is composed of common English 101 and 102 sections, and a common two-semester compass course.</w:t>
      </w:r>
      <w:r w:rsidR="00FE16BB" w:rsidRPr="00C0735D">
        <w:rPr>
          <w:sz w:val="24"/>
          <w:szCs w:val="24"/>
        </w:rPr>
        <w:t xml:space="preserve">  As part of the compass course and </w:t>
      </w:r>
      <w:r w:rsidR="00FE16BB" w:rsidRPr="00D90FB6">
        <w:rPr>
          <w:rFonts w:cstheme="minorHAnsi"/>
          <w:sz w:val="24"/>
          <w:szCs w:val="24"/>
        </w:rPr>
        <w:t>residential program</w:t>
      </w:r>
      <w:r w:rsidRPr="00D90FB6">
        <w:rPr>
          <w:rFonts w:cstheme="minorHAnsi"/>
          <w:sz w:val="24"/>
          <w:szCs w:val="24"/>
        </w:rPr>
        <w:t xml:space="preserve"> students have interaction with faculty as mentors wh</w:t>
      </w:r>
      <w:r w:rsidR="00D56751" w:rsidRPr="00D90FB6">
        <w:rPr>
          <w:rFonts w:cstheme="minorHAnsi"/>
          <w:sz w:val="24"/>
          <w:szCs w:val="24"/>
        </w:rPr>
        <w:t>o visit the hall, give</w:t>
      </w:r>
      <w:r w:rsidR="00FD091E" w:rsidRPr="00D90FB6">
        <w:rPr>
          <w:rFonts w:cstheme="minorHAnsi"/>
          <w:sz w:val="24"/>
          <w:szCs w:val="24"/>
        </w:rPr>
        <w:t xml:space="preserve"> talks, dine with students monthly and serve as academic</w:t>
      </w:r>
      <w:r w:rsidR="00D56751" w:rsidRPr="00D90FB6">
        <w:rPr>
          <w:rFonts w:cstheme="minorHAnsi"/>
          <w:sz w:val="24"/>
          <w:szCs w:val="24"/>
        </w:rPr>
        <w:t xml:space="preserve"> and personal</w:t>
      </w:r>
      <w:r w:rsidR="00FD091E" w:rsidRPr="00D90FB6">
        <w:rPr>
          <w:rFonts w:cstheme="minorHAnsi"/>
          <w:sz w:val="24"/>
          <w:szCs w:val="24"/>
        </w:rPr>
        <w:t xml:space="preserve"> resources.</w:t>
      </w:r>
      <w:r w:rsidRPr="00D90FB6">
        <w:rPr>
          <w:rFonts w:cstheme="minorHAnsi"/>
          <w:sz w:val="24"/>
          <w:szCs w:val="24"/>
        </w:rPr>
        <w:t xml:space="preserve"> Students are required to complete four hours per week of supervised study hall, attend a minimum of three cultural events per semester and</w:t>
      </w:r>
      <w:r w:rsidR="009956FF" w:rsidRPr="00D90FB6">
        <w:rPr>
          <w:rFonts w:cstheme="minorHAnsi"/>
          <w:sz w:val="24"/>
          <w:szCs w:val="24"/>
        </w:rPr>
        <w:t xml:space="preserve"> community service. </w:t>
      </w:r>
      <w:r w:rsidRPr="00D90FB6">
        <w:rPr>
          <w:rFonts w:cstheme="minorHAnsi"/>
          <w:sz w:val="24"/>
          <w:szCs w:val="24"/>
        </w:rPr>
        <w:t xml:space="preserve"> </w:t>
      </w:r>
      <w:r w:rsidR="009956FF" w:rsidRPr="00D90FB6">
        <w:rPr>
          <w:rFonts w:cstheme="minorHAnsi"/>
          <w:sz w:val="24"/>
          <w:szCs w:val="24"/>
        </w:rPr>
        <w:t>T</w:t>
      </w:r>
      <w:r w:rsidR="00D56751" w:rsidRPr="00D90FB6">
        <w:rPr>
          <w:rFonts w:cstheme="minorHAnsi"/>
          <w:sz w:val="24"/>
          <w:szCs w:val="24"/>
        </w:rPr>
        <w:t xml:space="preserve">he in class and out of class experiences are woven together to create a seamless learning environment that </w:t>
      </w:r>
      <w:r w:rsidRPr="00D90FB6">
        <w:rPr>
          <w:rFonts w:cstheme="minorHAnsi"/>
          <w:sz w:val="24"/>
          <w:szCs w:val="24"/>
        </w:rPr>
        <w:t>actively</w:t>
      </w:r>
      <w:r w:rsidR="00D56751" w:rsidRPr="00D90FB6">
        <w:rPr>
          <w:rFonts w:cstheme="minorHAnsi"/>
          <w:sz w:val="24"/>
          <w:szCs w:val="24"/>
        </w:rPr>
        <w:t xml:space="preserve"> promotes</w:t>
      </w:r>
      <w:r w:rsidRPr="00D90FB6">
        <w:rPr>
          <w:rFonts w:cstheme="minorHAnsi"/>
          <w:sz w:val="24"/>
          <w:szCs w:val="24"/>
        </w:rPr>
        <w:t xml:space="preserve"> </w:t>
      </w:r>
      <w:r w:rsidR="00D56751" w:rsidRPr="00D90FB6">
        <w:rPr>
          <w:rFonts w:cstheme="minorHAnsi"/>
          <w:sz w:val="24"/>
          <w:szCs w:val="24"/>
        </w:rPr>
        <w:t xml:space="preserve">student </w:t>
      </w:r>
      <w:r w:rsidRPr="00D90FB6">
        <w:rPr>
          <w:rFonts w:cstheme="minorHAnsi"/>
          <w:sz w:val="24"/>
          <w:szCs w:val="24"/>
        </w:rPr>
        <w:t>engage</w:t>
      </w:r>
      <w:r w:rsidR="00D56751" w:rsidRPr="00D90FB6">
        <w:rPr>
          <w:rFonts w:cstheme="minorHAnsi"/>
          <w:sz w:val="24"/>
          <w:szCs w:val="24"/>
        </w:rPr>
        <w:t>ment</w:t>
      </w:r>
      <w:r w:rsidRPr="00D90FB6">
        <w:rPr>
          <w:rFonts w:cstheme="minorHAnsi"/>
          <w:sz w:val="24"/>
          <w:szCs w:val="24"/>
        </w:rPr>
        <w:t xml:space="preserve"> in </w:t>
      </w:r>
      <w:r w:rsidR="00D56751" w:rsidRPr="00D90FB6">
        <w:rPr>
          <w:rFonts w:cstheme="minorHAnsi"/>
          <w:sz w:val="24"/>
          <w:szCs w:val="24"/>
        </w:rPr>
        <w:t>the</w:t>
      </w:r>
      <w:r w:rsidRPr="00D90FB6">
        <w:rPr>
          <w:rFonts w:cstheme="minorHAnsi"/>
          <w:sz w:val="24"/>
          <w:szCs w:val="24"/>
        </w:rPr>
        <w:t xml:space="preserve"> </w:t>
      </w:r>
      <w:r w:rsidR="00D56751" w:rsidRPr="00D90FB6">
        <w:rPr>
          <w:rFonts w:cstheme="minorHAnsi"/>
          <w:sz w:val="24"/>
          <w:szCs w:val="24"/>
        </w:rPr>
        <w:t>community</w:t>
      </w:r>
      <w:r w:rsidRPr="00D90FB6">
        <w:rPr>
          <w:rFonts w:cstheme="minorHAnsi"/>
          <w:sz w:val="24"/>
          <w:szCs w:val="24"/>
        </w:rPr>
        <w:t xml:space="preserve"> as citizens and scholars.</w:t>
      </w:r>
    </w:p>
    <w:p w:rsidR="00C0735D" w:rsidRDefault="006E1BE4" w:rsidP="00C0735D">
      <w:pPr>
        <w:ind w:firstLine="72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Learning </w:t>
      </w:r>
      <w:r w:rsidR="00FF1D69">
        <w:rPr>
          <w:b/>
          <w:sz w:val="24"/>
          <w:szCs w:val="24"/>
        </w:rPr>
        <w:t xml:space="preserve">Objectives </w:t>
      </w:r>
    </w:p>
    <w:p w:rsidR="00FF1D69" w:rsidRPr="00250043" w:rsidRDefault="00FF1D69" w:rsidP="00FF1D6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Provide students with meaningful opportunities to be engaged with their communities.</w:t>
      </w:r>
    </w:p>
    <w:p w:rsidR="00FF1D69" w:rsidRPr="00250043" w:rsidRDefault="00FF1D69" w:rsidP="00FF1D6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Encourage students to make healthy choices regarding academic, and student life.</w:t>
      </w:r>
    </w:p>
    <w:p w:rsidR="00FF1D69" w:rsidRPr="00250043" w:rsidRDefault="00FF1D69" w:rsidP="00FF1D6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Challenge students to excel, develop intellectual curiosity and cultural enrichment.</w:t>
      </w:r>
    </w:p>
    <w:p w:rsidR="00FF1D69" w:rsidRDefault="00FF1D69" w:rsidP="00FF1D69"/>
    <w:p w:rsidR="00FF1D69" w:rsidRPr="00250043" w:rsidRDefault="00FF1D69" w:rsidP="00FF1D69">
      <w:pPr>
        <w:ind w:firstLine="720"/>
        <w:outlineLvl w:val="0"/>
        <w:rPr>
          <w:b/>
          <w:sz w:val="24"/>
          <w:szCs w:val="24"/>
        </w:rPr>
      </w:pPr>
      <w:r w:rsidRPr="00250043">
        <w:rPr>
          <w:b/>
          <w:sz w:val="24"/>
          <w:szCs w:val="24"/>
        </w:rPr>
        <w:t>Learning Outcomes</w:t>
      </w:r>
    </w:p>
    <w:p w:rsidR="00FF1D69" w:rsidRPr="00250043" w:rsidRDefault="00FF1D69" w:rsidP="00FF1D6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Students will develop a supportive network of peers</w:t>
      </w:r>
    </w:p>
    <w:p w:rsidR="00FF1D69" w:rsidRPr="00250043" w:rsidRDefault="00FF1D69" w:rsidP="00FF1D6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Students will participate in service projects as a citizen and scholar</w:t>
      </w:r>
    </w:p>
    <w:p w:rsidR="00FF1D69" w:rsidRPr="00250043" w:rsidRDefault="00FF1D69" w:rsidP="00FF1D6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Students will link involvement in campus organizations and group activities with leadership skill development</w:t>
      </w:r>
    </w:p>
    <w:p w:rsidR="00FF1D69" w:rsidRPr="00250043" w:rsidRDefault="00FF1D69" w:rsidP="00FF1D6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Students will utilize resources designed for academic and personal success (writing lab, math lab, coun</w:t>
      </w:r>
      <w:r w:rsidR="00A836DF" w:rsidRPr="00250043">
        <w:rPr>
          <w:sz w:val="24"/>
          <w:szCs w:val="24"/>
        </w:rPr>
        <w:t>seling center, center for teaching and learning</w:t>
      </w:r>
      <w:r w:rsidRPr="00250043">
        <w:rPr>
          <w:sz w:val="24"/>
          <w:szCs w:val="24"/>
        </w:rPr>
        <w:t>)</w:t>
      </w:r>
    </w:p>
    <w:p w:rsidR="00FF1D69" w:rsidRPr="00250043" w:rsidRDefault="00FF1D69" w:rsidP="00FF1D6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Students will engage in discussions with faculty as active learners</w:t>
      </w:r>
    </w:p>
    <w:p w:rsidR="00FF1D69" w:rsidRPr="00250043" w:rsidRDefault="00FF1D69" w:rsidP="00FF1D6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Students will develop an academic plan that ensures persistence to graduation</w:t>
      </w:r>
    </w:p>
    <w:p w:rsidR="00FF1D69" w:rsidRPr="00250043" w:rsidRDefault="00FF1D69" w:rsidP="00FF1D6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Students will participate in creative activity and cultural arts events</w:t>
      </w:r>
    </w:p>
    <w:p w:rsidR="00FF1D69" w:rsidRPr="00250043" w:rsidRDefault="00FF1D69" w:rsidP="00FF1D69">
      <w:pPr>
        <w:rPr>
          <w:rFonts w:ascii="Bell MT" w:hAnsi="Bell MT"/>
          <w:i/>
          <w:color w:val="000080"/>
          <w:sz w:val="24"/>
          <w:szCs w:val="24"/>
        </w:rPr>
      </w:pPr>
    </w:p>
    <w:p w:rsidR="00FF1D69" w:rsidRDefault="00FF1D69" w:rsidP="00C0735D">
      <w:pPr>
        <w:ind w:firstLine="720"/>
        <w:outlineLvl w:val="0"/>
        <w:rPr>
          <w:b/>
          <w:sz w:val="24"/>
          <w:szCs w:val="24"/>
        </w:rPr>
      </w:pPr>
    </w:p>
    <w:p w:rsidR="00C0735D" w:rsidRPr="00C0735D" w:rsidRDefault="00C0735D" w:rsidP="00C0735D">
      <w:pPr>
        <w:ind w:firstLine="720"/>
        <w:outlineLvl w:val="0"/>
        <w:rPr>
          <w:b/>
          <w:sz w:val="24"/>
          <w:szCs w:val="24"/>
        </w:rPr>
      </w:pPr>
    </w:p>
    <w:p w:rsidR="000F51EB" w:rsidRPr="00C0735D" w:rsidRDefault="00D56751" w:rsidP="000F51EB">
      <w:pPr>
        <w:outlineLvl w:val="0"/>
        <w:rPr>
          <w:sz w:val="24"/>
          <w:szCs w:val="24"/>
        </w:rPr>
      </w:pPr>
      <w:r w:rsidRPr="00C0735D">
        <w:rPr>
          <w:b/>
          <w:sz w:val="24"/>
          <w:szCs w:val="24"/>
        </w:rPr>
        <w:t>The Capstone Living Learning Community</w:t>
      </w:r>
      <w:r w:rsidR="009956FF" w:rsidRPr="00C0735D">
        <w:rPr>
          <w:b/>
          <w:sz w:val="24"/>
          <w:szCs w:val="24"/>
        </w:rPr>
        <w:t xml:space="preserve"> in Harris Hall:</w:t>
      </w:r>
      <w:r w:rsidR="009956FF" w:rsidRPr="00C0735D">
        <w:rPr>
          <w:rFonts w:ascii="Times New Roman" w:eastAsia="Times New Roman" w:hAnsi="Times New Roman" w:cs="Times New Roman"/>
          <w:sz w:val="24"/>
          <w:szCs w:val="24"/>
        </w:rPr>
        <w:t xml:space="preserve"> The Harris Living Learning Program, which began in fall 2003, grew out of an assessment of the success of the </w:t>
      </w:r>
      <w:r w:rsidR="009956FF" w:rsidRPr="00C0735D">
        <w:rPr>
          <w:rFonts w:ascii="Times New Roman" w:eastAsia="Times New Roman" w:hAnsi="Times New Roman" w:cs="Times New Roman"/>
          <w:i/>
          <w:sz w:val="24"/>
          <w:szCs w:val="24"/>
        </w:rPr>
        <w:t>Parker-Ad</w:t>
      </w:r>
      <w:r w:rsidR="00C0568A" w:rsidRPr="00C0735D">
        <w:rPr>
          <w:rFonts w:ascii="Times New Roman" w:eastAsia="Times New Roman" w:hAnsi="Times New Roman" w:cs="Times New Roman"/>
          <w:i/>
          <w:sz w:val="24"/>
          <w:szCs w:val="24"/>
        </w:rPr>
        <w:t>ams Year</w:t>
      </w:r>
      <w:r w:rsidR="00C0568A" w:rsidRPr="00C0735D">
        <w:rPr>
          <w:rFonts w:ascii="Times New Roman" w:eastAsia="Times New Roman" w:hAnsi="Times New Roman" w:cs="Times New Roman"/>
          <w:sz w:val="24"/>
          <w:szCs w:val="24"/>
        </w:rPr>
        <w:t>.  Initiated by the College of Arts and Sciences, with a focus on pre-professional education and the linkages between professional and liberal arts education,</w:t>
      </w:r>
      <w:r w:rsidR="00C0568A" w:rsidRPr="00C0735D">
        <w:rPr>
          <w:sz w:val="24"/>
          <w:szCs w:val="24"/>
        </w:rPr>
        <w:t xml:space="preserve"> </w:t>
      </w:r>
      <w:r w:rsidR="00C0568A" w:rsidRPr="00C0735D">
        <w:rPr>
          <w:rFonts w:ascii="Times New Roman" w:eastAsia="Times New Roman" w:hAnsi="Times New Roman" w:cs="Times New Roman"/>
          <w:sz w:val="24"/>
          <w:szCs w:val="24"/>
        </w:rPr>
        <w:t>t</w:t>
      </w:r>
      <w:r w:rsidR="009956FF" w:rsidRPr="00C0735D">
        <w:rPr>
          <w:rFonts w:ascii="Times New Roman" w:eastAsia="Times New Roman" w:hAnsi="Times New Roman" w:cs="Times New Roman"/>
          <w:sz w:val="24"/>
          <w:szCs w:val="24"/>
        </w:rPr>
        <w:t xml:space="preserve">he program involves four colleges (Arts and Sciences, Communication and Information Sciences, Human Environmental Science, and Nursing). </w:t>
      </w:r>
      <w:r w:rsidR="000F51EB" w:rsidRPr="00C0735D">
        <w:rPr>
          <w:sz w:val="24"/>
          <w:szCs w:val="24"/>
        </w:rPr>
        <w:t>It is a first year</w:t>
      </w:r>
      <w:r w:rsidR="000F51EB" w:rsidRPr="00C0735D">
        <w:rPr>
          <w:rFonts w:ascii="Times New Roman" w:eastAsia="Times New Roman" w:hAnsi="Times New Roman" w:cs="Times New Roman"/>
          <w:sz w:val="24"/>
          <w:szCs w:val="24"/>
        </w:rPr>
        <w:t xml:space="preserve"> coeducational community of approximately 200 students</w:t>
      </w:r>
      <w:r w:rsidR="000F51EB" w:rsidRPr="00C0735D">
        <w:rPr>
          <w:sz w:val="24"/>
          <w:szCs w:val="24"/>
        </w:rPr>
        <w:t xml:space="preserve">.  </w:t>
      </w:r>
      <w:r w:rsidR="000F51EB" w:rsidRPr="00C0735D">
        <w:rPr>
          <w:rFonts w:ascii="Times New Roman" w:eastAsia="Times New Roman" w:hAnsi="Times New Roman" w:cs="Times New Roman"/>
          <w:sz w:val="24"/>
          <w:szCs w:val="24"/>
        </w:rPr>
        <w:t>Programming consists of cohort-scheduled classes and a common compass class</w:t>
      </w:r>
      <w:r w:rsidR="000F51EB" w:rsidRPr="00C0735D">
        <w:rPr>
          <w:sz w:val="24"/>
          <w:szCs w:val="24"/>
        </w:rPr>
        <w:t xml:space="preserve"> taught by faculty members in each of the colleges</w:t>
      </w:r>
      <w:r w:rsidR="000F51EB" w:rsidRPr="00C0735D">
        <w:rPr>
          <w:rFonts w:ascii="Times New Roman" w:eastAsia="Times New Roman" w:hAnsi="Times New Roman" w:cs="Times New Roman"/>
          <w:sz w:val="24"/>
          <w:szCs w:val="24"/>
        </w:rPr>
        <w:t>.  As part of the compass class, the students have r</w:t>
      </w:r>
      <w:r w:rsidR="000F51EB" w:rsidRPr="00C0735D">
        <w:rPr>
          <w:sz w:val="24"/>
          <w:szCs w:val="24"/>
        </w:rPr>
        <w:t xml:space="preserve">equired attendance at </w:t>
      </w:r>
      <w:r w:rsidR="000F51EB" w:rsidRPr="00C0735D">
        <w:rPr>
          <w:rFonts w:ascii="Times New Roman" w:eastAsia="Times New Roman" w:hAnsi="Times New Roman" w:cs="Times New Roman"/>
          <w:sz w:val="24"/>
          <w:szCs w:val="24"/>
        </w:rPr>
        <w:t>study hall, and they must attend campus cultural events.  As part of the compass course, faculty from the four colleges visit the hall to engage students in di</w:t>
      </w:r>
      <w:r w:rsidR="000F51EB" w:rsidRPr="00C0735D">
        <w:rPr>
          <w:sz w:val="24"/>
          <w:szCs w:val="24"/>
        </w:rPr>
        <w:t>scussion of a variety of topics designed to assist with academic success, s</w:t>
      </w:r>
      <w:r w:rsidR="00C0735D" w:rsidRPr="00C0735D">
        <w:rPr>
          <w:sz w:val="24"/>
          <w:szCs w:val="24"/>
        </w:rPr>
        <w:t>ocial adjustment,</w:t>
      </w:r>
      <w:r w:rsidR="00D90FB6">
        <w:rPr>
          <w:sz w:val="24"/>
          <w:szCs w:val="24"/>
        </w:rPr>
        <w:t xml:space="preserve"> </w:t>
      </w:r>
      <w:r w:rsidR="000F51EB" w:rsidRPr="00C0735D">
        <w:rPr>
          <w:rFonts w:ascii="Times New Roman" w:eastAsia="Times New Roman" w:hAnsi="Times New Roman" w:cs="Times New Roman"/>
          <w:sz w:val="24"/>
          <w:szCs w:val="24"/>
        </w:rPr>
        <w:t xml:space="preserve">community engagement both in the Harris community and the larger University Community, freshman to sophomore retention, </w:t>
      </w:r>
      <w:r w:rsidR="000F51EB" w:rsidRPr="00C0735D">
        <w:rPr>
          <w:sz w:val="24"/>
          <w:szCs w:val="24"/>
        </w:rPr>
        <w:t>and persistence to graduation for each of the participating colleges</w:t>
      </w:r>
    </w:p>
    <w:p w:rsidR="00FF1D69" w:rsidRDefault="00FF1D69" w:rsidP="00FF1D69">
      <w:pPr>
        <w:ind w:firstLine="72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Learning Objectives </w:t>
      </w:r>
    </w:p>
    <w:p w:rsidR="00FF1D69" w:rsidRPr="00250043" w:rsidRDefault="00FF1D69" w:rsidP="00FF1D6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Provide students with meaningful opportunities to be engaged with their communities.</w:t>
      </w:r>
    </w:p>
    <w:p w:rsidR="00FF1D69" w:rsidRPr="00250043" w:rsidRDefault="00FF1D69" w:rsidP="00FF1D6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Encourage students to make healthy choices regarding academic, and student life.</w:t>
      </w:r>
    </w:p>
    <w:p w:rsidR="00FF1D69" w:rsidRPr="00250043" w:rsidRDefault="00FF1D69" w:rsidP="00FF1D6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Challenge students to excel, develop intellectual curiosity and cultural enrichment.</w:t>
      </w:r>
    </w:p>
    <w:p w:rsidR="00FF1D69" w:rsidRDefault="00FF1D69" w:rsidP="00FF1D69">
      <w:pPr>
        <w:pStyle w:val="ListParagraph"/>
        <w:spacing w:after="0" w:line="240" w:lineRule="auto"/>
      </w:pPr>
    </w:p>
    <w:p w:rsidR="00FF1D69" w:rsidRPr="00FF1D69" w:rsidRDefault="00FF1D69" w:rsidP="00FF1D69">
      <w:pPr>
        <w:ind w:firstLine="72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Learning Outcomes</w:t>
      </w:r>
    </w:p>
    <w:p w:rsidR="00FF1D69" w:rsidRPr="00250043" w:rsidRDefault="00FF1D69" w:rsidP="00FF1D6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Students will develop a supportive network of peers</w:t>
      </w:r>
    </w:p>
    <w:p w:rsidR="00FF1D69" w:rsidRPr="00250043" w:rsidRDefault="00FF1D69" w:rsidP="00FF1D6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Students will participate in service projects as a citizen and scholar</w:t>
      </w:r>
    </w:p>
    <w:p w:rsidR="00FF1D69" w:rsidRPr="00250043" w:rsidRDefault="00FF1D69" w:rsidP="00FF1D6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Students will link involvement in campus organizations and group activities with leadership skill development</w:t>
      </w:r>
    </w:p>
    <w:p w:rsidR="00FF1D69" w:rsidRPr="00250043" w:rsidRDefault="00FF1D69" w:rsidP="00FF1D6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Students will utilize resources designed for academic and personal success (writing lab, math lab, coun</w:t>
      </w:r>
      <w:r w:rsidR="00A836DF" w:rsidRPr="00250043">
        <w:rPr>
          <w:sz w:val="24"/>
          <w:szCs w:val="24"/>
        </w:rPr>
        <w:t>seling center, center for teaching and learning</w:t>
      </w:r>
      <w:r w:rsidRPr="00250043">
        <w:rPr>
          <w:sz w:val="24"/>
          <w:szCs w:val="24"/>
        </w:rPr>
        <w:t>)</w:t>
      </w:r>
    </w:p>
    <w:p w:rsidR="00FF1D69" w:rsidRPr="00250043" w:rsidRDefault="00FF1D69" w:rsidP="00FF1D6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Students will engage in discussions with faculty as active learners</w:t>
      </w:r>
    </w:p>
    <w:p w:rsidR="00FF1D69" w:rsidRPr="00250043" w:rsidRDefault="00FF1D69" w:rsidP="00FF1D6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Students will develop an academic plan that ensures persistence to graduation</w:t>
      </w:r>
    </w:p>
    <w:p w:rsidR="006E1BE4" w:rsidRPr="00CF0AAD" w:rsidRDefault="00FF1D69" w:rsidP="00CF0AA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0043">
        <w:rPr>
          <w:sz w:val="24"/>
          <w:szCs w:val="24"/>
        </w:rPr>
        <w:t>Students will participate in creative activity and cultural arts events</w:t>
      </w:r>
    </w:p>
    <w:p w:rsidR="007C0FB5" w:rsidRDefault="007C0FB5" w:rsidP="00D94D75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</w:p>
    <w:p w:rsidR="007C0FB5" w:rsidRDefault="007C0FB5" w:rsidP="00D94D75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</w:p>
    <w:p w:rsidR="007C0FB5" w:rsidRDefault="007C0FB5" w:rsidP="00D94D75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</w:p>
    <w:p w:rsidR="007C0FB5" w:rsidRDefault="007C0FB5" w:rsidP="00D94D75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</w:p>
    <w:p w:rsidR="007C0FB5" w:rsidRDefault="007C0FB5" w:rsidP="00D94D75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</w:p>
    <w:p w:rsidR="007C0FB5" w:rsidRDefault="007C0FB5" w:rsidP="00D94D75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</w:p>
    <w:p w:rsidR="007C0FB5" w:rsidRDefault="007C0FB5" w:rsidP="00D94D75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</w:p>
    <w:p w:rsidR="007C0FB5" w:rsidRDefault="007C0FB5" w:rsidP="00D94D75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</w:p>
    <w:p w:rsidR="00346BB3" w:rsidRDefault="00346BB3" w:rsidP="00D94D75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</w:p>
    <w:p w:rsidR="00D94D75" w:rsidRDefault="00D94D75" w:rsidP="00D94D75">
      <w:pPr>
        <w:spacing w:after="0" w:line="240" w:lineRule="auto"/>
        <w:jc w:val="center"/>
        <w:rPr>
          <w:rFonts w:ascii="Garamond" w:hAnsi="Garamond"/>
          <w:b/>
          <w:smallCaps/>
          <w:color w:val="808080"/>
        </w:rPr>
      </w:pPr>
    </w:p>
    <w:p w:rsidR="00D94D75" w:rsidRDefault="00D94D75" w:rsidP="00CF0AAD"/>
    <w:sectPr w:rsidR="00D94D75" w:rsidSect="004A011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45E" w:rsidRDefault="00B4345E" w:rsidP="00FF1D69">
      <w:pPr>
        <w:spacing w:after="0" w:line="240" w:lineRule="auto"/>
      </w:pPr>
      <w:r>
        <w:separator/>
      </w:r>
    </w:p>
  </w:endnote>
  <w:endnote w:type="continuationSeparator" w:id="1">
    <w:p w:rsidR="00B4345E" w:rsidRDefault="00B4345E" w:rsidP="00FF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D69" w:rsidRDefault="00FF1D69" w:rsidP="00FF1D69">
    <w:pPr>
      <w:pStyle w:val="Footer"/>
      <w:jc w:val="center"/>
    </w:pPr>
    <w:r>
      <w:rPr>
        <w:rFonts w:ascii="Garamond" w:hAnsi="Garamond"/>
        <w:b/>
        <w:smallCaps/>
        <w:color w:val="808080"/>
      </w:rPr>
      <w:t>This is how college is meant to be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45E" w:rsidRDefault="00B4345E" w:rsidP="00FF1D69">
      <w:pPr>
        <w:spacing w:after="0" w:line="240" w:lineRule="auto"/>
      </w:pPr>
      <w:r>
        <w:separator/>
      </w:r>
    </w:p>
  </w:footnote>
  <w:footnote w:type="continuationSeparator" w:id="1">
    <w:p w:rsidR="00B4345E" w:rsidRDefault="00B4345E" w:rsidP="00FF1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29C6"/>
    <w:multiLevelType w:val="hybridMultilevel"/>
    <w:tmpl w:val="F37CA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0853CD"/>
    <w:multiLevelType w:val="hybridMultilevel"/>
    <w:tmpl w:val="461E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4D75"/>
    <w:rsid w:val="000028C0"/>
    <w:rsid w:val="00051DD0"/>
    <w:rsid w:val="000B4D20"/>
    <w:rsid w:val="000C4399"/>
    <w:rsid w:val="000F5026"/>
    <w:rsid w:val="000F51EB"/>
    <w:rsid w:val="00154498"/>
    <w:rsid w:val="00250043"/>
    <w:rsid w:val="00346BB3"/>
    <w:rsid w:val="004A0110"/>
    <w:rsid w:val="004F4543"/>
    <w:rsid w:val="00546580"/>
    <w:rsid w:val="006100D2"/>
    <w:rsid w:val="006E1BE4"/>
    <w:rsid w:val="00762497"/>
    <w:rsid w:val="007C0FB5"/>
    <w:rsid w:val="0091054D"/>
    <w:rsid w:val="009479C9"/>
    <w:rsid w:val="009956FF"/>
    <w:rsid w:val="009D62F3"/>
    <w:rsid w:val="00A836DF"/>
    <w:rsid w:val="00AA41C2"/>
    <w:rsid w:val="00AF3E15"/>
    <w:rsid w:val="00B4345E"/>
    <w:rsid w:val="00B67202"/>
    <w:rsid w:val="00C0568A"/>
    <w:rsid w:val="00C0735D"/>
    <w:rsid w:val="00C073E0"/>
    <w:rsid w:val="00CF0AAD"/>
    <w:rsid w:val="00CF5F81"/>
    <w:rsid w:val="00D56751"/>
    <w:rsid w:val="00D90FB6"/>
    <w:rsid w:val="00D94D75"/>
    <w:rsid w:val="00E44D92"/>
    <w:rsid w:val="00ED75F7"/>
    <w:rsid w:val="00F478AF"/>
    <w:rsid w:val="00FC4AAB"/>
    <w:rsid w:val="00FD091E"/>
    <w:rsid w:val="00FE16BB"/>
    <w:rsid w:val="00FF1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D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D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1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D69"/>
  </w:style>
  <w:style w:type="paragraph" w:styleId="Footer">
    <w:name w:val="footer"/>
    <w:basedOn w:val="Normal"/>
    <w:link w:val="FooterChar"/>
    <w:uiPriority w:val="99"/>
    <w:semiHidden/>
    <w:unhideWhenUsed/>
    <w:rsid w:val="00FF1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D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hhallmann</dc:creator>
  <cp:keywords/>
  <dc:description/>
  <cp:lastModifiedBy>hhallmann</cp:lastModifiedBy>
  <cp:revision>8</cp:revision>
  <dcterms:created xsi:type="dcterms:W3CDTF">2008-01-07T18:46:00Z</dcterms:created>
  <dcterms:modified xsi:type="dcterms:W3CDTF">2008-02-15T19:13:00Z</dcterms:modified>
</cp:coreProperties>
</file>