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DIAGNÓSTICO FINAL DO PARSER</w:t>
      </w:r>
    </w:p>
    <w:p>
      <w:pPr>
        <w:pStyle w:val="Heading1"/>
      </w:pPr>
      <w:r>
        <w:t>Constituição e o Supremo — Parser v6</w:t>
      </w:r>
    </w:p>
    <w:p>
      <w:pPr>
        <w:pStyle w:val="Heading2"/>
      </w:pPr>
      <w:r>
        <w:t>Resumo</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Nós na árvore canônica</w:t>
            </w:r>
          </w:p>
        </w:tc>
        <w:tc>
          <w:tcPr>
            <w:tcW w:type="dxa" w:w="4320"/>
          </w:tcPr>
          <w:p>
            <w:r>
              <w:t>3140</w:t>
            </w:r>
          </w:p>
        </w:tc>
      </w:tr>
      <w:tr>
        <w:tc>
          <w:tcPr>
            <w:tcW w:type="dxa" w:w="4320"/>
          </w:tcPr>
          <w:p>
            <w:r>
              <w:t>Blocos resolvidos</w:t>
            </w:r>
          </w:p>
        </w:tc>
        <w:tc>
          <w:tcPr>
            <w:tcW w:type="dxa" w:w="4320"/>
          </w:tcPr>
          <w:p>
            <w:r>
              <w:t>9046</w:t>
            </w:r>
          </w:p>
        </w:tc>
      </w:tr>
      <w:tr>
        <w:tc>
          <w:tcPr>
            <w:tcW w:type="dxa" w:w="4320"/>
          </w:tcPr>
          <w:p>
            <w:r>
              <w:t>Artigos cobertos</w:t>
            </w:r>
          </w:p>
        </w:tc>
        <w:tc>
          <w:tcPr>
            <w:tcW w:type="dxa" w:w="4320"/>
          </w:tcPr>
          <w:p>
            <w:r>
              <w:t>231</w:t>
            </w:r>
          </w:p>
        </w:tc>
      </w:tr>
      <w:tr>
        <w:tc>
          <w:tcPr>
            <w:tcW w:type="dxa" w:w="4320"/>
          </w:tcPr>
          <w:p>
            <w:r>
              <w:t>Artigos sem decisão</w:t>
            </w:r>
          </w:p>
        </w:tc>
        <w:tc>
          <w:tcPr>
            <w:tcW w:type="dxa" w:w="4320"/>
          </w:tcPr>
          <w:p>
            <w:r>
              <w:t>19</w:t>
            </w:r>
          </w:p>
        </w:tc>
      </w:tr>
      <w:tr>
        <w:tc>
          <w:tcPr>
            <w:tcW w:type="dxa" w:w="4320"/>
          </w:tcPr>
          <w:p>
            <w:r>
              <w:t>Blocos com inciso</w:t>
            </w:r>
          </w:p>
        </w:tc>
        <w:tc>
          <w:tcPr>
            <w:tcW w:type="dxa" w:w="4320"/>
          </w:tcPr>
          <w:p>
            <w:r>
              <w:t>5649</w:t>
            </w:r>
          </w:p>
        </w:tc>
      </w:tr>
      <w:tr>
        <w:tc>
          <w:tcPr>
            <w:tcW w:type="dxa" w:w="4320"/>
          </w:tcPr>
          <w:p>
            <w:r>
              <w:t>Blocos com parágrafo</w:t>
            </w:r>
          </w:p>
        </w:tc>
        <w:tc>
          <w:tcPr>
            <w:tcW w:type="dxa" w:w="4320"/>
          </w:tcPr>
          <w:p>
            <w:r>
              <w:t>2702</w:t>
            </w:r>
          </w:p>
        </w:tc>
      </w:tr>
      <w:tr>
        <w:tc>
          <w:tcPr>
            <w:tcW w:type="dxa" w:w="4320"/>
          </w:tcPr>
          <w:p>
            <w:r>
              <w:t>Blocos com alínea</w:t>
            </w:r>
          </w:p>
        </w:tc>
        <w:tc>
          <w:tcPr>
            <w:tcW w:type="dxa" w:w="4320"/>
          </w:tcPr>
          <w:p>
            <w:r>
              <w:t>1610</w:t>
            </w:r>
          </w:p>
        </w:tc>
      </w:tr>
      <w:tr>
        <w:tc>
          <w:tcPr>
            <w:tcW w:type="dxa" w:w="4320"/>
          </w:tcPr>
          <w:p>
            <w:r>
              <w:t>Blocos com processo</w:t>
            </w:r>
          </w:p>
        </w:tc>
        <w:tc>
          <w:tcPr>
            <w:tcW w:type="dxa" w:w="4320"/>
          </w:tcPr>
          <w:p>
            <w:r>
              <w:t>8169</w:t>
            </w:r>
          </w:p>
        </w:tc>
      </w:tr>
    </w:tbl>
    <w:p>
      <w:pPr>
        <w:pStyle w:val="Heading2"/>
      </w:pPr>
      <w:r>
        <w:t>Artigos sem decisão</w:t>
      </w:r>
    </w:p>
    <w:p>
      <w:r>
        <w:t>[72, 82, 106, 112, 116, 118, 119, 137, 138, 140, 147, 172, 180, 189, 190, 229, 234, 248, 249]</w:t>
      </w:r>
    </w:p>
    <w:p>
      <w:pPr>
        <w:pStyle w:val="Heading2"/>
      </w:pPr>
      <w:r>
        <w:t>Por marcador editorial</w:t>
      </w:r>
    </w:p>
    <w:tbl>
      <w:tblPr>
        <w:tblStyle w:val="LightGrid-Accent1"/>
        <w:tblW w:type="auto" w:w="0"/>
        <w:tblLook w:firstColumn="1" w:firstRow="1" w:lastColumn="0" w:lastRow="0" w:noHBand="0" w:noVBand="1" w:val="04A0"/>
      </w:tblPr>
      <w:tblGrid>
        <w:gridCol w:w="4320"/>
        <w:gridCol w:w="4320"/>
      </w:tblGrid>
      <w:tr>
        <w:tc>
          <w:tcPr>
            <w:tcW w:type="dxa" w:w="4320"/>
          </w:tcPr>
          <w:p>
            <w:r>
              <w:t>Editorial</w:t>
            </w:r>
          </w:p>
        </w:tc>
        <w:tc>
          <w:tcPr>
            <w:tcW w:type="dxa" w:w="4320"/>
          </w:tcPr>
          <w:p>
            <w:r>
              <w:t>Blocos</w:t>
            </w:r>
          </w:p>
        </w:tc>
      </w:tr>
      <w:tr>
        <w:tc>
          <w:tcPr>
            <w:tcW w:type="dxa" w:w="4320"/>
          </w:tcPr>
          <w:p>
            <w:r>
              <w:t>julgados_correlatos</w:t>
            </w:r>
          </w:p>
        </w:tc>
        <w:tc>
          <w:tcPr>
            <w:tcW w:type="dxa" w:w="4320"/>
          </w:tcPr>
          <w:p>
            <w:r>
              <w:t>4789</w:t>
            </w:r>
          </w:p>
        </w:tc>
      </w:tr>
      <w:tr>
        <w:tc>
          <w:tcPr>
            <w:tcW w:type="dxa" w:w="4320"/>
          </w:tcPr>
          <w:p>
            <w:r>
              <w:t>controle_concentrado</w:t>
            </w:r>
          </w:p>
        </w:tc>
        <w:tc>
          <w:tcPr>
            <w:tcW w:type="dxa" w:w="4320"/>
          </w:tcPr>
          <w:p>
            <w:r>
              <w:t>2887</w:t>
            </w:r>
          </w:p>
        </w:tc>
      </w:tr>
      <w:tr>
        <w:tc>
          <w:tcPr>
            <w:tcW w:type="dxa" w:w="4320"/>
          </w:tcPr>
          <w:p>
            <w:r>
              <w:t>repercussao_geral</w:t>
            </w:r>
          </w:p>
        </w:tc>
        <w:tc>
          <w:tcPr>
            <w:tcW w:type="dxa" w:w="4320"/>
          </w:tcPr>
          <w:p>
            <w:r>
              <w:t>764</w:t>
            </w:r>
          </w:p>
        </w:tc>
      </w:tr>
      <w:tr>
        <w:tc>
          <w:tcPr>
            <w:tcW w:type="dxa" w:w="4320"/>
          </w:tcPr>
          <w:p>
            <w:r>
              <w:t>sem_categoria</w:t>
            </w:r>
          </w:p>
        </w:tc>
        <w:tc>
          <w:tcPr>
            <w:tcW w:type="dxa" w:w="4320"/>
          </w:tcPr>
          <w:p>
            <w:r>
              <w:t>232</w:t>
            </w:r>
          </w:p>
        </w:tc>
      </w:tr>
      <w:tr>
        <w:tc>
          <w:tcPr>
            <w:tcW w:type="dxa" w:w="4320"/>
          </w:tcPr>
          <w:p>
            <w:r>
              <w:t>sumula</w:t>
            </w:r>
          </w:p>
        </w:tc>
        <w:tc>
          <w:tcPr>
            <w:tcW w:type="dxa" w:w="4320"/>
          </w:tcPr>
          <w:p>
            <w:r>
              <w:t>225</w:t>
            </w:r>
          </w:p>
        </w:tc>
      </w:tr>
      <w:tr>
        <w:tc>
          <w:tcPr>
            <w:tcW w:type="dxa" w:w="4320"/>
          </w:tcPr>
          <w:p>
            <w:r>
              <w:t>sumula_vinculante</w:t>
            </w:r>
          </w:p>
        </w:tc>
        <w:tc>
          <w:tcPr>
            <w:tcW w:type="dxa" w:w="4320"/>
          </w:tcPr>
          <w:p>
            <w:r>
              <w:t>149</w:t>
            </w:r>
          </w:p>
        </w:tc>
      </w:tr>
    </w:tbl>
    <w:p>
      <w:pPr>
        <w:pStyle w:val="Heading2"/>
      </w:pPr>
      <w:r>
        <w:t>Top 20 artigos por blocos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Artigo</w:t>
            </w:r>
          </w:p>
        </w:tc>
        <w:tc>
          <w:tcPr>
            <w:tcW w:type="dxa" w:w="2880"/>
          </w:tcPr>
          <w:p>
            <w:r>
              <w:t>Blocos</w:t>
            </w:r>
          </w:p>
        </w:tc>
        <w:tc>
          <w:tcPr>
            <w:tcW w:type="dxa" w:w="2880"/>
          </w:tcPr>
          <w:p>
            <w:r>
              <w:t>Ramos</w:t>
            </w:r>
          </w:p>
        </w:tc>
      </w:tr>
      <w:tr>
        <w:tc>
          <w:tcPr>
            <w:tcW w:type="dxa" w:w="2880"/>
          </w:tcPr>
          <w:p>
            <w:r>
              <w:t>Art. 5</w:t>
            </w:r>
          </w:p>
        </w:tc>
        <w:tc>
          <w:tcPr>
            <w:tcW w:type="dxa" w:w="2880"/>
          </w:tcPr>
          <w:p>
            <w:r>
              <w:t>1737</w:t>
            </w:r>
          </w:p>
        </w:tc>
        <w:tc>
          <w:tcPr>
            <w:tcW w:type="dxa" w:w="2880"/>
          </w:tcPr>
          <w:p>
            <w:r>
              <w:t>35</w:t>
            </w:r>
          </w:p>
        </w:tc>
      </w:tr>
      <w:tr>
        <w:tc>
          <w:tcPr>
            <w:tcW w:type="dxa" w:w="2880"/>
          </w:tcPr>
          <w:p>
            <w:r>
              <w:t>Art. 102</w:t>
            </w:r>
          </w:p>
        </w:tc>
        <w:tc>
          <w:tcPr>
            <w:tcW w:type="dxa" w:w="2880"/>
          </w:tcPr>
          <w:p>
            <w:r>
              <w:t>644</w:t>
            </w:r>
          </w:p>
        </w:tc>
        <w:tc>
          <w:tcPr>
            <w:tcW w:type="dxa" w:w="2880"/>
          </w:tcPr>
          <w:p>
            <w:r>
              <w:t>22</w:t>
            </w:r>
          </w:p>
        </w:tc>
      </w:tr>
      <w:tr>
        <w:tc>
          <w:tcPr>
            <w:tcW w:type="dxa" w:w="2880"/>
          </w:tcPr>
          <w:p>
            <w:r>
              <w:t>Art. 37</w:t>
            </w:r>
          </w:p>
        </w:tc>
        <w:tc>
          <w:tcPr>
            <w:tcW w:type="dxa" w:w="2880"/>
          </w:tcPr>
          <w:p>
            <w:r>
              <w:t>625</w:t>
            </w:r>
          </w:p>
        </w:tc>
        <w:tc>
          <w:tcPr>
            <w:tcW w:type="dxa" w:w="2880"/>
          </w:tcPr>
          <w:p>
            <w:r>
              <w:t>21</w:t>
            </w:r>
          </w:p>
        </w:tc>
      </w:tr>
      <w:tr>
        <w:tc>
          <w:tcPr>
            <w:tcW w:type="dxa" w:w="2880"/>
          </w:tcPr>
          <w:p>
            <w:r>
              <w:t>Art. 233</w:t>
            </w:r>
          </w:p>
        </w:tc>
        <w:tc>
          <w:tcPr>
            <w:tcW w:type="dxa" w:w="2880"/>
          </w:tcPr>
          <w:p>
            <w:r>
              <w:t>570</w:t>
            </w:r>
          </w:p>
        </w:tc>
        <w:tc>
          <w:tcPr>
            <w:tcW w:type="dxa" w:w="2880"/>
          </w:tcPr>
          <w:p>
            <w:r>
              <w:t>61</w:t>
            </w:r>
          </w:p>
        </w:tc>
      </w:tr>
      <w:tr>
        <w:tc>
          <w:tcPr>
            <w:tcW w:type="dxa" w:w="2880"/>
          </w:tcPr>
          <w:p>
            <w:r>
              <w:t>Art. 150</w:t>
            </w:r>
          </w:p>
        </w:tc>
        <w:tc>
          <w:tcPr>
            <w:tcW w:type="dxa" w:w="2880"/>
          </w:tcPr>
          <w:p>
            <w:r>
              <w:t>237</w:t>
            </w:r>
          </w:p>
        </w:tc>
        <w:tc>
          <w:tcPr>
            <w:tcW w:type="dxa" w:w="2880"/>
          </w:tcPr>
          <w:p>
            <w:r>
              <w:t>12</w:t>
            </w:r>
          </w:p>
        </w:tc>
      </w:tr>
      <w:tr>
        <w:tc>
          <w:tcPr>
            <w:tcW w:type="dxa" w:w="2880"/>
          </w:tcPr>
          <w:p>
            <w:r>
              <w:t>Art. 7</w:t>
            </w:r>
          </w:p>
        </w:tc>
        <w:tc>
          <w:tcPr>
            <w:tcW w:type="dxa" w:w="2880"/>
          </w:tcPr>
          <w:p>
            <w:r>
              <w:t>175</w:t>
            </w:r>
          </w:p>
        </w:tc>
        <w:tc>
          <w:tcPr>
            <w:tcW w:type="dxa" w:w="2880"/>
          </w:tcPr>
          <w:p>
            <w:r>
              <w:t>17</w:t>
            </w:r>
          </w:p>
        </w:tc>
      </w:tr>
      <w:tr>
        <w:tc>
          <w:tcPr>
            <w:tcW w:type="dxa" w:w="2880"/>
          </w:tcPr>
          <w:p>
            <w:r>
              <w:t>Art. 32</w:t>
            </w:r>
          </w:p>
        </w:tc>
        <w:tc>
          <w:tcPr>
            <w:tcW w:type="dxa" w:w="2880"/>
          </w:tcPr>
          <w:p>
            <w:r>
              <w:t>172</w:t>
            </w:r>
          </w:p>
        </w:tc>
        <w:tc>
          <w:tcPr>
            <w:tcW w:type="dxa" w:w="2880"/>
          </w:tcPr>
          <w:p>
            <w:r>
              <w:t>15</w:t>
            </w:r>
          </w:p>
        </w:tc>
      </w:tr>
      <w:tr>
        <w:tc>
          <w:tcPr>
            <w:tcW w:type="dxa" w:w="2880"/>
          </w:tcPr>
          <w:p>
            <w:r>
              <w:t>Art. 155</w:t>
            </w:r>
          </w:p>
        </w:tc>
        <w:tc>
          <w:tcPr>
            <w:tcW w:type="dxa" w:w="2880"/>
          </w:tcPr>
          <w:p>
            <w:r>
              <w:t>163</w:t>
            </w:r>
          </w:p>
        </w:tc>
        <w:tc>
          <w:tcPr>
            <w:tcW w:type="dxa" w:w="2880"/>
          </w:tcPr>
          <w:p>
            <w:r>
              <w:t>26</w:t>
            </w:r>
          </w:p>
        </w:tc>
      </w:tr>
      <w:tr>
        <w:tc>
          <w:tcPr>
            <w:tcW w:type="dxa" w:w="2880"/>
          </w:tcPr>
          <w:p>
            <w:r>
              <w:t>Art. 40</w:t>
            </w:r>
          </w:p>
        </w:tc>
        <w:tc>
          <w:tcPr>
            <w:tcW w:type="dxa" w:w="2880"/>
          </w:tcPr>
          <w:p>
            <w:r>
              <w:t>161</w:t>
            </w:r>
          </w:p>
        </w:tc>
        <w:tc>
          <w:tcPr>
            <w:tcW w:type="dxa" w:w="2880"/>
          </w:tcPr>
          <w:p>
            <w:r>
              <w:t>9</w:t>
            </w:r>
          </w:p>
        </w:tc>
      </w:tr>
      <w:tr>
        <w:tc>
          <w:tcPr>
            <w:tcW w:type="dxa" w:w="2880"/>
          </w:tcPr>
          <w:p>
            <w:r>
              <w:t>Art. 154</w:t>
            </w:r>
          </w:p>
        </w:tc>
        <w:tc>
          <w:tcPr>
            <w:tcW w:type="dxa" w:w="2880"/>
          </w:tcPr>
          <w:p>
            <w:r>
              <w:t>144</w:t>
            </w:r>
          </w:p>
        </w:tc>
        <w:tc>
          <w:tcPr>
            <w:tcW w:type="dxa" w:w="2880"/>
          </w:tcPr>
          <w:p>
            <w:r>
              <w:t>4</w:t>
            </w:r>
          </w:p>
        </w:tc>
      </w:tr>
      <w:tr>
        <w:tc>
          <w:tcPr>
            <w:tcW w:type="dxa" w:w="2880"/>
          </w:tcPr>
          <w:p>
            <w:r>
              <w:t>Art. 195</w:t>
            </w:r>
          </w:p>
        </w:tc>
        <w:tc>
          <w:tcPr>
            <w:tcW w:type="dxa" w:w="2880"/>
          </w:tcPr>
          <w:p>
            <w:r>
              <w:t>140</w:t>
            </w:r>
          </w:p>
        </w:tc>
        <w:tc>
          <w:tcPr>
            <w:tcW w:type="dxa" w:w="2880"/>
          </w:tcPr>
          <w:p>
            <w:r>
              <w:t>12</w:t>
            </w:r>
          </w:p>
        </w:tc>
      </w:tr>
      <w:tr>
        <w:tc>
          <w:tcPr>
            <w:tcW w:type="dxa" w:w="2880"/>
          </w:tcPr>
          <w:p>
            <w:r>
              <w:t>Art. 24</w:t>
            </w:r>
          </w:p>
        </w:tc>
        <w:tc>
          <w:tcPr>
            <w:tcW w:type="dxa" w:w="2880"/>
          </w:tcPr>
          <w:p>
            <w:r>
              <w:t>128</w:t>
            </w:r>
          </w:p>
        </w:tc>
        <w:tc>
          <w:tcPr>
            <w:tcW w:type="dxa" w:w="2880"/>
          </w:tcPr>
          <w:p>
            <w:r>
              <w:t>17</w:t>
            </w:r>
          </w:p>
        </w:tc>
      </w:tr>
      <w:tr>
        <w:tc>
          <w:tcPr>
            <w:tcW w:type="dxa" w:w="2880"/>
          </w:tcPr>
          <w:p>
            <w:r>
              <w:t>Art. 109</w:t>
            </w:r>
          </w:p>
        </w:tc>
        <w:tc>
          <w:tcPr>
            <w:tcW w:type="dxa" w:w="2880"/>
          </w:tcPr>
          <w:p>
            <w:r>
              <w:t>122</w:t>
            </w:r>
          </w:p>
        </w:tc>
        <w:tc>
          <w:tcPr>
            <w:tcW w:type="dxa" w:w="2880"/>
          </w:tcPr>
          <w:p>
            <w:r>
              <w:t>13</w:t>
            </w:r>
          </w:p>
        </w:tc>
      </w:tr>
      <w:tr>
        <w:tc>
          <w:tcPr>
            <w:tcW w:type="dxa" w:w="2880"/>
          </w:tcPr>
          <w:p>
            <w:r>
              <w:t>Art. 103</w:t>
            </w:r>
          </w:p>
        </w:tc>
        <w:tc>
          <w:tcPr>
            <w:tcW w:type="dxa" w:w="2880"/>
          </w:tcPr>
          <w:p>
            <w:r>
              <w:t>114</w:t>
            </w:r>
          </w:p>
        </w:tc>
        <w:tc>
          <w:tcPr>
            <w:tcW w:type="dxa" w:w="2880"/>
          </w:tcPr>
          <w:p>
            <w:r>
              <w:t>14</w:t>
            </w:r>
          </w:p>
        </w:tc>
      </w:tr>
      <w:tr>
        <w:tc>
          <w:tcPr>
            <w:tcW w:type="dxa" w:w="2880"/>
          </w:tcPr>
          <w:p>
            <w:r>
              <w:t>Art. 129</w:t>
            </w:r>
          </w:p>
        </w:tc>
        <w:tc>
          <w:tcPr>
            <w:tcW w:type="dxa" w:w="2880"/>
          </w:tcPr>
          <w:p>
            <w:r>
              <w:t>98</w:t>
            </w:r>
          </w:p>
        </w:tc>
        <w:tc>
          <w:tcPr>
            <w:tcW w:type="dxa" w:w="2880"/>
          </w:tcPr>
          <w:p>
            <w:r>
              <w:t>12</w:t>
            </w:r>
          </w:p>
        </w:tc>
      </w:tr>
      <w:tr>
        <w:tc>
          <w:tcPr>
            <w:tcW w:type="dxa" w:w="2880"/>
          </w:tcPr>
          <w:p>
            <w:r>
              <w:t>Art. 71</w:t>
            </w:r>
          </w:p>
        </w:tc>
        <w:tc>
          <w:tcPr>
            <w:tcW w:type="dxa" w:w="2880"/>
          </w:tcPr>
          <w:p>
            <w:r>
              <w:t>89</w:t>
            </w:r>
          </w:p>
        </w:tc>
        <w:tc>
          <w:tcPr>
            <w:tcW w:type="dxa" w:w="2880"/>
          </w:tcPr>
          <w:p>
            <w:r>
              <w:t>8</w:t>
            </w:r>
          </w:p>
        </w:tc>
      </w:tr>
      <w:tr>
        <w:tc>
          <w:tcPr>
            <w:tcW w:type="dxa" w:w="2880"/>
          </w:tcPr>
          <w:p>
            <w:r>
              <w:t>Art. 105</w:t>
            </w:r>
          </w:p>
        </w:tc>
        <w:tc>
          <w:tcPr>
            <w:tcW w:type="dxa" w:w="2880"/>
          </w:tcPr>
          <w:p>
            <w:r>
              <w:t>85</w:t>
            </w:r>
          </w:p>
        </w:tc>
        <w:tc>
          <w:tcPr>
            <w:tcW w:type="dxa" w:w="2880"/>
          </w:tcPr>
          <w:p>
            <w:r>
              <w:t>9</w:t>
            </w:r>
          </w:p>
        </w:tc>
      </w:tr>
      <w:tr>
        <w:tc>
          <w:tcPr>
            <w:tcW w:type="dxa" w:w="2880"/>
          </w:tcPr>
          <w:p>
            <w:r>
              <w:t>Art. 61</w:t>
            </w:r>
          </w:p>
        </w:tc>
        <w:tc>
          <w:tcPr>
            <w:tcW w:type="dxa" w:w="2880"/>
          </w:tcPr>
          <w:p>
            <w:r>
              <w:t>80</w:t>
            </w:r>
          </w:p>
        </w:tc>
        <w:tc>
          <w:tcPr>
            <w:tcW w:type="dxa" w:w="2880"/>
          </w:tcPr>
          <w:p>
            <w:r>
              <w:t>8</w:t>
            </w:r>
          </w:p>
        </w:tc>
      </w:tr>
      <w:tr>
        <w:tc>
          <w:tcPr>
            <w:tcW w:type="dxa" w:w="2880"/>
          </w:tcPr>
          <w:p>
            <w:r>
              <w:t>Art. 145</w:t>
            </w:r>
          </w:p>
        </w:tc>
        <w:tc>
          <w:tcPr>
            <w:tcW w:type="dxa" w:w="2880"/>
          </w:tcPr>
          <w:p>
            <w:r>
              <w:t>77</w:t>
            </w:r>
          </w:p>
        </w:tc>
        <w:tc>
          <w:tcPr>
            <w:tcW w:type="dxa" w:w="2880"/>
          </w:tcPr>
          <w:p>
            <w:r>
              <w:t>4</w:t>
            </w:r>
          </w:p>
        </w:tc>
      </w:tr>
      <w:tr>
        <w:tc>
          <w:tcPr>
            <w:tcW w:type="dxa" w:w="2880"/>
          </w:tcPr>
          <w:p>
            <w:r>
              <w:t>Art. 171</w:t>
            </w:r>
          </w:p>
        </w:tc>
        <w:tc>
          <w:tcPr>
            <w:tcW w:type="dxa" w:w="2880"/>
          </w:tcPr>
          <w:p>
            <w:r>
              <w:t>77</w:t>
            </w:r>
          </w:p>
        </w:tc>
        <w:tc>
          <w:tcPr>
            <w:tcW w:type="dxa" w:w="2880"/>
          </w:tcPr>
          <w:p>
            <w:r>
              <w:t>10</w:t>
            </w:r>
          </w:p>
        </w:tc>
      </w:tr>
    </w:tbl>
    <w:p>
      <w:pPr>
        <w:pStyle w:val="Heading2"/>
      </w:pPr>
      <w:r>
        <w:t>Top 10 artigos com mais ramos</w:t>
      </w:r>
    </w:p>
    <w:p>
      <w:r>
        <w:rPr>
          <w:b/>
        </w:rPr>
        <w:t>Art. 233: 61 ramos</w:t>
      </w:r>
    </w:p>
    <w:p>
      <w:pPr>
        <w:pStyle w:val="ListBullet"/>
      </w:pPr>
      <w:r>
        <w:t>cf-art-233-par-1</w:t>
      </w:r>
    </w:p>
    <w:p>
      <w:pPr>
        <w:pStyle w:val="ListBullet"/>
      </w:pPr>
      <w:r>
        <w:t>cf-art-233-par-1-inc-I</w:t>
      </w:r>
    </w:p>
    <w:p>
      <w:pPr>
        <w:pStyle w:val="ListBullet"/>
      </w:pPr>
      <w:r>
        <w:t>cf-art-233-par-1-inc-II</w:t>
      </w:r>
    </w:p>
    <w:p>
      <w:pPr>
        <w:pStyle w:val="ListBullet"/>
      </w:pPr>
      <w:r>
        <w:t>cf-art-233-par-1-inc-IV</w:t>
      </w:r>
    </w:p>
    <w:p>
      <w:pPr>
        <w:pStyle w:val="ListBullet"/>
      </w:pPr>
      <w:r>
        <w:t>cf-art-233-par-11</w:t>
      </w:r>
    </w:p>
    <w:p>
      <w:pPr>
        <w:pStyle w:val="ListBullet"/>
      </w:pPr>
      <w:r>
        <w:t>cf-art-233-par-2</w:t>
      </w:r>
    </w:p>
    <w:p>
      <w:pPr>
        <w:pStyle w:val="ListBullet"/>
      </w:pPr>
      <w:r>
        <w:t>cf-art-233-par-2-ali-a</w:t>
      </w:r>
    </w:p>
    <w:p>
      <w:pPr>
        <w:pStyle w:val="ListBullet"/>
      </w:pPr>
      <w:r>
        <w:t>cf-art-233-par-2-inc-I</w:t>
      </w:r>
    </w:p>
    <w:p>
      <w:pPr>
        <w:pStyle w:val="ListBullet"/>
      </w:pPr>
      <w:r>
        <w:t>...+53 ramos</w:t>
      </w:r>
    </w:p>
    <w:p>
      <w:r>
        <w:rPr>
          <w:b/>
        </w:rPr>
        <w:t>Art. 5: 35 ramos</w:t>
      </w:r>
    </w:p>
    <w:p>
      <w:pPr>
        <w:pStyle w:val="ListBullet"/>
      </w:pPr>
      <w:r>
        <w:t>cf-art-5</w:t>
      </w:r>
    </w:p>
    <w:p>
      <w:pPr>
        <w:pStyle w:val="ListBullet"/>
      </w:pPr>
      <w:r>
        <w:t>cf-art-5-inc-I</w:t>
      </w:r>
    </w:p>
    <w:p>
      <w:pPr>
        <w:pStyle w:val="ListBullet"/>
      </w:pPr>
      <w:r>
        <w:t>cf-art-5-inc-II</w:t>
      </w:r>
    </w:p>
    <w:p>
      <w:pPr>
        <w:pStyle w:val="ListBullet"/>
      </w:pPr>
      <w:r>
        <w:t>cf-art-5-inc-III</w:t>
      </w:r>
    </w:p>
    <w:p>
      <w:pPr>
        <w:pStyle w:val="ListBullet"/>
      </w:pPr>
      <w:r>
        <w:t>cf-art-5-inc-IV</w:t>
      </w:r>
    </w:p>
    <w:p>
      <w:pPr>
        <w:pStyle w:val="ListBullet"/>
      </w:pPr>
      <w:r>
        <w:t>cf-art-5-inc-IX</w:t>
      </w:r>
    </w:p>
    <w:p>
      <w:pPr>
        <w:pStyle w:val="ListBullet"/>
      </w:pPr>
      <w:r>
        <w:t>cf-art-5-inc-L</w:t>
      </w:r>
    </w:p>
    <w:p>
      <w:pPr>
        <w:pStyle w:val="ListBullet"/>
      </w:pPr>
      <w:r>
        <w:t>cf-art-5-inc-L-ali-a</w:t>
      </w:r>
    </w:p>
    <w:p>
      <w:pPr>
        <w:pStyle w:val="ListBullet"/>
      </w:pPr>
      <w:r>
        <w:t>...+27 ramos</w:t>
      </w:r>
    </w:p>
    <w:p>
      <w:r>
        <w:rPr>
          <w:b/>
        </w:rPr>
        <w:t>Art. 169: 27 ramos</w:t>
      </w:r>
    </w:p>
    <w:p>
      <w:pPr>
        <w:pStyle w:val="ListBullet"/>
      </w:pPr>
      <w:r>
        <w:t>cf-art-169</w:t>
      </w:r>
    </w:p>
    <w:p>
      <w:pPr>
        <w:pStyle w:val="ListBullet"/>
      </w:pPr>
      <w:r>
        <w:t>cf-art-169-par-1</w:t>
      </w:r>
    </w:p>
    <w:p>
      <w:pPr>
        <w:pStyle w:val="ListBullet"/>
      </w:pPr>
      <w:r>
        <w:t>cf-art-169-par-1-inc-I</w:t>
      </w:r>
    </w:p>
    <w:p>
      <w:pPr>
        <w:pStyle w:val="ListBullet"/>
      </w:pPr>
      <w:r>
        <w:t>cf-art-169-par-2</w:t>
      </w:r>
    </w:p>
    <w:p>
      <w:pPr>
        <w:pStyle w:val="ListBullet"/>
      </w:pPr>
      <w:r>
        <w:t>cf-art-169-par-2-inc-I</w:t>
      </w:r>
    </w:p>
    <w:p>
      <w:pPr>
        <w:pStyle w:val="ListBullet"/>
      </w:pPr>
      <w:r>
        <w:t>cf-art-169-par-2-inc-I-ali-f</w:t>
      </w:r>
    </w:p>
    <w:p>
      <w:pPr>
        <w:pStyle w:val="ListBullet"/>
      </w:pPr>
      <w:r>
        <w:t>cf-art-169-par-2-inc-II</w:t>
      </w:r>
    </w:p>
    <w:p>
      <w:pPr>
        <w:pStyle w:val="ListBullet"/>
      </w:pPr>
      <w:r>
        <w:t>cf-art-169-par-3</w:t>
      </w:r>
    </w:p>
    <w:p>
      <w:pPr>
        <w:pStyle w:val="ListBullet"/>
      </w:pPr>
      <w:r>
        <w:t>...+19 ramos</w:t>
      </w:r>
    </w:p>
    <w:p>
      <w:r>
        <w:rPr>
          <w:b/>
        </w:rPr>
        <w:t>Art. 155: 26 ramos</w:t>
      </w:r>
    </w:p>
    <w:p>
      <w:pPr>
        <w:pStyle w:val="ListBullet"/>
      </w:pPr>
      <w:r>
        <w:t>cf-art-155-inc-I</w:t>
      </w:r>
    </w:p>
    <w:p>
      <w:pPr>
        <w:pStyle w:val="ListBullet"/>
      </w:pPr>
      <w:r>
        <w:t>cf-art-155-inc-III</w:t>
      </w:r>
    </w:p>
    <w:p>
      <w:pPr>
        <w:pStyle w:val="ListBullet"/>
      </w:pPr>
      <w:r>
        <w:t>cf-art-155-par-1-inc-I</w:t>
      </w:r>
    </w:p>
    <w:p>
      <w:pPr>
        <w:pStyle w:val="ListBullet"/>
      </w:pPr>
      <w:r>
        <w:t>cf-art-155-par-1-inc-II</w:t>
      </w:r>
    </w:p>
    <w:p>
      <w:pPr>
        <w:pStyle w:val="ListBullet"/>
      </w:pPr>
      <w:r>
        <w:t>cf-art-155-par-1-inc-III</w:t>
      </w:r>
    </w:p>
    <w:p>
      <w:pPr>
        <w:pStyle w:val="ListBullet"/>
      </w:pPr>
      <w:r>
        <w:t>cf-art-155-par-1-inc-IV</w:t>
      </w:r>
    </w:p>
    <w:p>
      <w:pPr>
        <w:pStyle w:val="ListBullet"/>
      </w:pPr>
      <w:r>
        <w:t>cf-art-155-par-2</w:t>
      </w:r>
    </w:p>
    <w:p>
      <w:pPr>
        <w:pStyle w:val="ListBullet"/>
      </w:pPr>
      <w:r>
        <w:t>cf-art-155-par-2-inc-II</w:t>
      </w:r>
    </w:p>
    <w:p>
      <w:pPr>
        <w:pStyle w:val="ListBullet"/>
      </w:pPr>
      <w:r>
        <w:t>...+18 ramos</w:t>
      </w:r>
    </w:p>
    <w:p>
      <w:r>
        <w:rPr>
          <w:b/>
        </w:rPr>
        <w:t>Art. 102: 22 ramos</w:t>
      </w:r>
    </w:p>
    <w:p>
      <w:pPr>
        <w:pStyle w:val="ListBullet"/>
      </w:pPr>
      <w:r>
        <w:t>cf-art-102</w:t>
      </w:r>
    </w:p>
    <w:p>
      <w:pPr>
        <w:pStyle w:val="ListBullet"/>
      </w:pPr>
      <w:r>
        <w:t>cf-art-102-inc-I</w:t>
      </w:r>
    </w:p>
    <w:p>
      <w:pPr>
        <w:pStyle w:val="ListBullet"/>
      </w:pPr>
      <w:r>
        <w:t>cf-art-102-inc-I-ali-a</w:t>
      </w:r>
    </w:p>
    <w:p>
      <w:pPr>
        <w:pStyle w:val="ListBullet"/>
      </w:pPr>
      <w:r>
        <w:t>cf-art-102-inc-I-ali-b</w:t>
      </w:r>
    </w:p>
    <w:p>
      <w:pPr>
        <w:pStyle w:val="ListBullet"/>
      </w:pPr>
      <w:r>
        <w:t>cf-art-102-inc-I-ali-e</w:t>
      </w:r>
    </w:p>
    <w:p>
      <w:pPr>
        <w:pStyle w:val="ListBullet"/>
      </w:pPr>
      <w:r>
        <w:t>cf-art-102-inc-I-ali-f</w:t>
      </w:r>
    </w:p>
    <w:p>
      <w:pPr>
        <w:pStyle w:val="ListBullet"/>
      </w:pPr>
      <w:r>
        <w:t>cf-art-102-inc-I-ali-g</w:t>
      </w:r>
    </w:p>
    <w:p>
      <w:pPr>
        <w:pStyle w:val="ListBullet"/>
      </w:pPr>
      <w:r>
        <w:t>cf-art-102-inc-I-ali-h</w:t>
      </w:r>
    </w:p>
    <w:p>
      <w:pPr>
        <w:pStyle w:val="ListBullet"/>
      </w:pPr>
      <w:r>
        <w:t>...+14 ramos</w:t>
      </w:r>
    </w:p>
    <w:p>
      <w:r>
        <w:rPr>
          <w:b/>
        </w:rPr>
        <w:t>Art. 37: 21 ramos</w:t>
      </w:r>
    </w:p>
    <w:p>
      <w:pPr>
        <w:pStyle w:val="ListBullet"/>
      </w:pPr>
      <w:r>
        <w:t>cf-art-37</w:t>
      </w:r>
    </w:p>
    <w:p>
      <w:pPr>
        <w:pStyle w:val="ListBullet"/>
      </w:pPr>
      <w:r>
        <w:t>cf-art-37-inc-I</w:t>
      </w:r>
    </w:p>
    <w:p>
      <w:pPr>
        <w:pStyle w:val="ListBullet"/>
      </w:pPr>
      <w:r>
        <w:t>cf-art-37-inc-III</w:t>
      </w:r>
    </w:p>
    <w:p>
      <w:pPr>
        <w:pStyle w:val="ListBullet"/>
      </w:pPr>
      <w:r>
        <w:t>cf-art-37-inc-IX</w:t>
      </w:r>
    </w:p>
    <w:p>
      <w:pPr>
        <w:pStyle w:val="ListBullet"/>
      </w:pPr>
      <w:r>
        <w:t>cf-art-37-inc-VI</w:t>
      </w:r>
    </w:p>
    <w:p>
      <w:pPr>
        <w:pStyle w:val="ListBullet"/>
      </w:pPr>
      <w:r>
        <w:t>cf-art-37-inc-VII</w:t>
      </w:r>
    </w:p>
    <w:p>
      <w:pPr>
        <w:pStyle w:val="ListBullet"/>
      </w:pPr>
      <w:r>
        <w:t>cf-art-37-inc-VIII</w:t>
      </w:r>
    </w:p>
    <w:p>
      <w:pPr>
        <w:pStyle w:val="ListBullet"/>
      </w:pPr>
      <w:r>
        <w:t>cf-art-37-inc-XII</w:t>
      </w:r>
    </w:p>
    <w:p>
      <w:pPr>
        <w:pStyle w:val="ListBullet"/>
      </w:pPr>
      <w:r>
        <w:t>...+13 ramos</w:t>
      </w:r>
    </w:p>
    <w:p>
      <w:r>
        <w:rPr>
          <w:b/>
        </w:rPr>
        <w:t>Art. 7: 17 ramos</w:t>
      </w:r>
    </w:p>
    <w:p>
      <w:pPr>
        <w:pStyle w:val="ListBullet"/>
      </w:pPr>
      <w:r>
        <w:t>cf-art-7</w:t>
      </w:r>
    </w:p>
    <w:p>
      <w:pPr>
        <w:pStyle w:val="ListBullet"/>
      </w:pPr>
      <w:r>
        <w:t>cf-art-7-inc-I</w:t>
      </w:r>
    </w:p>
    <w:p>
      <w:pPr>
        <w:pStyle w:val="ListBullet"/>
      </w:pPr>
      <w:r>
        <w:t>cf-art-7-inc-II</w:t>
      </w:r>
    </w:p>
    <w:p>
      <w:pPr>
        <w:pStyle w:val="ListBullet"/>
      </w:pPr>
      <w:r>
        <w:t>cf-art-7-inc-III</w:t>
      </w:r>
    </w:p>
    <w:p>
      <w:pPr>
        <w:pStyle w:val="ListBullet"/>
      </w:pPr>
      <w:r>
        <w:t>cf-art-7-inc-V</w:t>
      </w:r>
    </w:p>
    <w:p>
      <w:pPr>
        <w:pStyle w:val="ListBullet"/>
      </w:pPr>
      <w:r>
        <w:t>cf-art-7-inc-VI</w:t>
      </w:r>
    </w:p>
    <w:p>
      <w:pPr>
        <w:pStyle w:val="ListBullet"/>
      </w:pPr>
      <w:r>
        <w:t>cf-art-7-inc-VII</w:t>
      </w:r>
    </w:p>
    <w:p>
      <w:pPr>
        <w:pStyle w:val="ListBullet"/>
      </w:pPr>
      <w:r>
        <w:t>cf-art-7-inc-VIII</w:t>
      </w:r>
    </w:p>
    <w:p>
      <w:pPr>
        <w:pStyle w:val="ListBullet"/>
      </w:pPr>
      <w:r>
        <w:t>...+9 ramos</w:t>
      </w:r>
    </w:p>
    <w:p>
      <w:r>
        <w:rPr>
          <w:b/>
        </w:rPr>
        <w:t>Art. 24: 17 ramos</w:t>
      </w:r>
    </w:p>
    <w:p>
      <w:pPr>
        <w:pStyle w:val="ListBullet"/>
      </w:pPr>
      <w:r>
        <w:t>cf-art-24</w:t>
      </w:r>
    </w:p>
    <w:p>
      <w:pPr>
        <w:pStyle w:val="ListBullet"/>
      </w:pPr>
      <w:r>
        <w:t>cf-art-24-inc-I</w:t>
      </w:r>
    </w:p>
    <w:p>
      <w:pPr>
        <w:pStyle w:val="ListBullet"/>
      </w:pPr>
      <w:r>
        <w:t>cf-art-24-inc-II</w:t>
      </w:r>
    </w:p>
    <w:p>
      <w:pPr>
        <w:pStyle w:val="ListBullet"/>
      </w:pPr>
      <w:r>
        <w:t>cf-art-24-inc-III</w:t>
      </w:r>
    </w:p>
    <w:p>
      <w:pPr>
        <w:pStyle w:val="ListBullet"/>
      </w:pPr>
      <w:r>
        <w:t>cf-art-24-inc-IV</w:t>
      </w:r>
    </w:p>
    <w:p>
      <w:pPr>
        <w:pStyle w:val="ListBullet"/>
      </w:pPr>
      <w:r>
        <w:t>cf-art-24-inc-IX</w:t>
      </w:r>
    </w:p>
    <w:p>
      <w:pPr>
        <w:pStyle w:val="ListBullet"/>
      </w:pPr>
      <w:r>
        <w:t>cf-art-24-inc-V</w:t>
      </w:r>
    </w:p>
    <w:p>
      <w:pPr>
        <w:pStyle w:val="ListBullet"/>
      </w:pPr>
      <w:r>
        <w:t>cf-art-24-inc-VI</w:t>
      </w:r>
    </w:p>
    <w:p>
      <w:pPr>
        <w:pStyle w:val="ListBullet"/>
      </w:pPr>
      <w:r>
        <w:t>...+9 ramos</w:t>
      </w:r>
    </w:p>
    <w:p>
      <w:r>
        <w:rPr>
          <w:b/>
        </w:rPr>
        <w:t>Art. 153: 17 ramos</w:t>
      </w:r>
    </w:p>
    <w:p>
      <w:pPr>
        <w:pStyle w:val="ListBullet"/>
      </w:pPr>
      <w:r>
        <w:t>cf-art-153-inc-I</w:t>
      </w:r>
    </w:p>
    <w:p>
      <w:pPr>
        <w:pStyle w:val="ListBullet"/>
      </w:pPr>
      <w:r>
        <w:t>cf-art-153-inc-II</w:t>
      </w:r>
    </w:p>
    <w:p>
      <w:pPr>
        <w:pStyle w:val="ListBullet"/>
      </w:pPr>
      <w:r>
        <w:t>cf-art-153-inc-III</w:t>
      </w:r>
    </w:p>
    <w:p>
      <w:pPr>
        <w:pStyle w:val="ListBullet"/>
      </w:pPr>
      <w:r>
        <w:t>cf-art-153-inc-IV</w:t>
      </w:r>
    </w:p>
    <w:p>
      <w:pPr>
        <w:pStyle w:val="ListBullet"/>
      </w:pPr>
      <w:r>
        <w:t>cf-art-153-inc-V</w:t>
      </w:r>
    </w:p>
    <w:p>
      <w:pPr>
        <w:pStyle w:val="ListBullet"/>
      </w:pPr>
      <w:r>
        <w:t>cf-art-153-inc-VI</w:t>
      </w:r>
    </w:p>
    <w:p>
      <w:pPr>
        <w:pStyle w:val="ListBullet"/>
      </w:pPr>
      <w:r>
        <w:t>cf-art-153-inc-VII</w:t>
      </w:r>
    </w:p>
    <w:p>
      <w:pPr>
        <w:pStyle w:val="ListBullet"/>
      </w:pPr>
      <w:r>
        <w:t>cf-art-153-par-1</w:t>
      </w:r>
    </w:p>
    <w:p>
      <w:pPr>
        <w:pStyle w:val="ListBullet"/>
      </w:pPr>
      <w:r>
        <w:t>...+9 ramos</w:t>
      </w:r>
    </w:p>
    <w:p>
      <w:r>
        <w:rPr>
          <w:b/>
        </w:rPr>
        <w:t>Art. 232: 16 ramos</w:t>
      </w:r>
    </w:p>
    <w:p>
      <w:pPr>
        <w:pStyle w:val="ListBullet"/>
      </w:pPr>
      <w:r>
        <w:t>cf-art-232</w:t>
      </w:r>
    </w:p>
    <w:p>
      <w:pPr>
        <w:pStyle w:val="ListBullet"/>
      </w:pPr>
      <w:r>
        <w:t>cf-art-232-par-1</w:t>
      </w:r>
    </w:p>
    <w:p>
      <w:pPr>
        <w:pStyle w:val="ListBullet"/>
      </w:pPr>
      <w:r>
        <w:t>cf-art-232-par-1-inc-III</w:t>
      </w:r>
    </w:p>
    <w:p>
      <w:pPr>
        <w:pStyle w:val="ListBullet"/>
      </w:pPr>
      <w:r>
        <w:t>cf-art-232-par-2</w:t>
      </w:r>
    </w:p>
    <w:p>
      <w:pPr>
        <w:pStyle w:val="ListBullet"/>
      </w:pPr>
      <w:r>
        <w:t>cf-art-232-par-3-inc-V</w:t>
      </w:r>
    </w:p>
    <w:p>
      <w:pPr>
        <w:pStyle w:val="ListBullet"/>
      </w:pPr>
      <w:r>
        <w:t>cf-art-232-par-6</w:t>
      </w:r>
    </w:p>
    <w:p>
      <w:pPr>
        <w:pStyle w:val="ListBullet"/>
      </w:pPr>
      <w:r>
        <w:t>cf-art-232-par-7</w:t>
      </w:r>
    </w:p>
    <w:p>
      <w:pPr>
        <w:pStyle w:val="ListBullet"/>
      </w:pPr>
      <w:r>
        <w:t>cf-art-232-par-8-inc-II</w:t>
      </w:r>
    </w:p>
    <w:p>
      <w:pPr>
        <w:pStyle w:val="ListBullet"/>
      </w:pPr>
      <w:r>
        <w:t>...+8 ramos</w:t>
      </w:r>
    </w:p>
    <w:p>
      <w:pPr>
        <w:pStyle w:val="Heading2"/>
      </w:pPr>
      <w:r>
        <w:t>Top 15 relatores</w:t>
      </w:r>
    </w:p>
    <w:tbl>
      <w:tblPr>
        <w:tblStyle w:val="LightGrid-Accent1"/>
        <w:tblW w:type="auto" w:w="0"/>
        <w:tblLook w:firstColumn="1" w:firstRow="1" w:lastColumn="0" w:lastRow="0" w:noHBand="0" w:noVBand="1" w:val="04A0"/>
      </w:tblPr>
      <w:tblGrid>
        <w:gridCol w:w="4320"/>
        <w:gridCol w:w="4320"/>
      </w:tblGrid>
      <w:tr>
        <w:tc>
          <w:tcPr>
            <w:tcW w:type="dxa" w:w="4320"/>
          </w:tcPr>
          <w:p>
            <w:r>
              <w:t>Relator</w:t>
            </w:r>
          </w:p>
        </w:tc>
        <w:tc>
          <w:tcPr>
            <w:tcW w:type="dxa" w:w="4320"/>
          </w:tcPr>
          <w:p>
            <w:r>
              <w:t>Blocos</w:t>
            </w:r>
          </w:p>
        </w:tc>
      </w:tr>
      <w:tr>
        <w:tc>
          <w:tcPr>
            <w:tcW w:type="dxa" w:w="4320"/>
          </w:tcPr>
          <w:p>
            <w:r>
              <w:t>Dias Toffoli</w:t>
            </w:r>
          </w:p>
        </w:tc>
        <w:tc>
          <w:tcPr>
            <w:tcW w:type="dxa" w:w="4320"/>
          </w:tcPr>
          <w:p>
            <w:r>
              <w:t>687</w:t>
            </w:r>
          </w:p>
        </w:tc>
      </w:tr>
      <w:tr>
        <w:tc>
          <w:tcPr>
            <w:tcW w:type="dxa" w:w="4320"/>
          </w:tcPr>
          <w:p>
            <w:r>
              <w:t>Marco Aurélio</w:t>
            </w:r>
          </w:p>
        </w:tc>
        <w:tc>
          <w:tcPr>
            <w:tcW w:type="dxa" w:w="4320"/>
          </w:tcPr>
          <w:p>
            <w:r>
              <w:t>609</w:t>
            </w:r>
          </w:p>
        </w:tc>
      </w:tr>
      <w:tr>
        <w:tc>
          <w:tcPr>
            <w:tcW w:type="dxa" w:w="4320"/>
          </w:tcPr>
          <w:p>
            <w:r>
              <w:t>Gilmar Mendes</w:t>
            </w:r>
          </w:p>
        </w:tc>
        <w:tc>
          <w:tcPr>
            <w:tcW w:type="dxa" w:w="4320"/>
          </w:tcPr>
          <w:p>
            <w:r>
              <w:t>580</w:t>
            </w:r>
          </w:p>
        </w:tc>
      </w:tr>
      <w:tr>
        <w:tc>
          <w:tcPr>
            <w:tcW w:type="dxa" w:w="4320"/>
          </w:tcPr>
          <w:p>
            <w:r>
              <w:t>Cármen Lúcia</w:t>
            </w:r>
          </w:p>
        </w:tc>
        <w:tc>
          <w:tcPr>
            <w:tcW w:type="dxa" w:w="4320"/>
          </w:tcPr>
          <w:p>
            <w:r>
              <w:t>570</w:t>
            </w:r>
          </w:p>
        </w:tc>
      </w:tr>
      <w:tr>
        <w:tc>
          <w:tcPr>
            <w:tcW w:type="dxa" w:w="4320"/>
          </w:tcPr>
          <w:p>
            <w:r>
              <w:t>Celso de Mello</w:t>
            </w:r>
          </w:p>
        </w:tc>
        <w:tc>
          <w:tcPr>
            <w:tcW w:type="dxa" w:w="4320"/>
          </w:tcPr>
          <w:p>
            <w:r>
              <w:t>543</w:t>
            </w:r>
          </w:p>
        </w:tc>
      </w:tr>
      <w:tr>
        <w:tc>
          <w:tcPr>
            <w:tcW w:type="dxa" w:w="4320"/>
          </w:tcPr>
          <w:p>
            <w:r>
              <w:t>Ricardo Lewandowski</w:t>
            </w:r>
          </w:p>
        </w:tc>
        <w:tc>
          <w:tcPr>
            <w:tcW w:type="dxa" w:w="4320"/>
          </w:tcPr>
          <w:p>
            <w:r>
              <w:t>433</w:t>
            </w:r>
          </w:p>
        </w:tc>
      </w:tr>
      <w:tr>
        <w:tc>
          <w:tcPr>
            <w:tcW w:type="dxa" w:w="4320"/>
          </w:tcPr>
          <w:p>
            <w:r>
              <w:t>Luiz Fux</w:t>
            </w:r>
          </w:p>
        </w:tc>
        <w:tc>
          <w:tcPr>
            <w:tcW w:type="dxa" w:w="4320"/>
          </w:tcPr>
          <w:p>
            <w:r>
              <w:t>383</w:t>
            </w:r>
          </w:p>
        </w:tc>
      </w:tr>
      <w:tr>
        <w:tc>
          <w:tcPr>
            <w:tcW w:type="dxa" w:w="4320"/>
          </w:tcPr>
          <w:p>
            <w:r>
              <w:t>Joaquim Barbosa</w:t>
            </w:r>
          </w:p>
        </w:tc>
        <w:tc>
          <w:tcPr>
            <w:tcW w:type="dxa" w:w="4320"/>
          </w:tcPr>
          <w:p>
            <w:r>
              <w:t>336</w:t>
            </w:r>
          </w:p>
        </w:tc>
      </w:tr>
      <w:tr>
        <w:tc>
          <w:tcPr>
            <w:tcW w:type="dxa" w:w="4320"/>
          </w:tcPr>
          <w:p>
            <w:r>
              <w:t>Eros Grau</w:t>
            </w:r>
          </w:p>
        </w:tc>
        <w:tc>
          <w:tcPr>
            <w:tcW w:type="dxa" w:w="4320"/>
          </w:tcPr>
          <w:p>
            <w:r>
              <w:t>298</w:t>
            </w:r>
          </w:p>
        </w:tc>
      </w:tr>
      <w:tr>
        <w:tc>
          <w:tcPr>
            <w:tcW w:type="dxa" w:w="4320"/>
          </w:tcPr>
          <w:p>
            <w:r>
              <w:t>Ellen Gracie</w:t>
            </w:r>
          </w:p>
        </w:tc>
        <w:tc>
          <w:tcPr>
            <w:tcW w:type="dxa" w:w="4320"/>
          </w:tcPr>
          <w:p>
            <w:r>
              <w:t>264</w:t>
            </w:r>
          </w:p>
        </w:tc>
      </w:tr>
      <w:tr>
        <w:tc>
          <w:tcPr>
            <w:tcW w:type="dxa" w:w="4320"/>
          </w:tcPr>
          <w:p>
            <w:r>
              <w:t>Sepúlveda Pertence</w:t>
            </w:r>
          </w:p>
        </w:tc>
        <w:tc>
          <w:tcPr>
            <w:tcW w:type="dxa" w:w="4320"/>
          </w:tcPr>
          <w:p>
            <w:r>
              <w:t>261</w:t>
            </w:r>
          </w:p>
        </w:tc>
      </w:tr>
      <w:tr>
        <w:tc>
          <w:tcPr>
            <w:tcW w:type="dxa" w:w="4320"/>
          </w:tcPr>
          <w:p>
            <w:r>
              <w:t>Cezar Peluso</w:t>
            </w:r>
          </w:p>
        </w:tc>
        <w:tc>
          <w:tcPr>
            <w:tcW w:type="dxa" w:w="4320"/>
          </w:tcPr>
          <w:p>
            <w:r>
              <w:t>245</w:t>
            </w:r>
          </w:p>
        </w:tc>
      </w:tr>
      <w:tr>
        <w:tc>
          <w:tcPr>
            <w:tcW w:type="dxa" w:w="4320"/>
          </w:tcPr>
          <w:p>
            <w:r>
              <w:t>Edson Fachin</w:t>
            </w:r>
          </w:p>
        </w:tc>
        <w:tc>
          <w:tcPr>
            <w:tcW w:type="dxa" w:w="4320"/>
          </w:tcPr>
          <w:p>
            <w:r>
              <w:t>243</w:t>
            </w:r>
          </w:p>
        </w:tc>
      </w:tr>
      <w:tr>
        <w:tc>
          <w:tcPr>
            <w:tcW w:type="dxa" w:w="4320"/>
          </w:tcPr>
          <w:p>
            <w:r>
              <w:t>Alexandre de Moraes</w:t>
            </w:r>
          </w:p>
        </w:tc>
        <w:tc>
          <w:tcPr>
            <w:tcW w:type="dxa" w:w="4320"/>
          </w:tcPr>
          <w:p>
            <w:r>
              <w:t>242</w:t>
            </w:r>
          </w:p>
        </w:tc>
      </w:tr>
      <w:tr>
        <w:tc>
          <w:tcPr>
            <w:tcW w:type="dxa" w:w="4320"/>
          </w:tcPr>
          <w:p>
            <w:r>
              <w:t>Ayres Britto</w:t>
            </w:r>
          </w:p>
        </w:tc>
        <w:tc>
          <w:tcPr>
            <w:tcW w:type="dxa" w:w="4320"/>
          </w:tcPr>
          <w:p>
            <w:r>
              <w:t>235</w:t>
            </w:r>
          </w:p>
        </w:tc>
      </w:tr>
    </w:tbl>
    <w:p>
      <w:pPr>
        <w:pStyle w:val="Heading2"/>
      </w:pPr>
      <w:r>
        <w:t>Amostra — Art. 5 (primeiros 10 blocos)</w:t>
      </w:r>
    </w:p>
    <w:p>
      <w:r>
        <w:rPr>
          <w:color w:val="646464"/>
          <w:sz w:val="16"/>
        </w:rPr>
        <w:t>[48] cf-art-5 | sem_categoria</w:t>
      </w:r>
    </w:p>
    <w:p>
      <w:pPr>
        <w:ind w:left="288"/>
      </w:pPr>
      <w:r>
        <w:rPr>
          <w:sz w:val="18"/>
        </w:rPr>
        <w:t>Não cabe ao Poder Judiciário, que não tem função legislativa, aumentar vencimentos de servidores públicos sob o fundamento de isonomia.</w:t>
      </w:r>
    </w:p>
    <w:p>
      <w:pPr>
        <w:ind w:left="288"/>
      </w:pPr>
      <w:r>
        <w:rPr>
          <w:b/>
          <w:color w:val="003C8C"/>
          <w:sz w:val="16"/>
        </w:rPr>
        <w:t>[Súmula Vinculante 37.]</w:t>
      </w:r>
    </w:p>
    <w:p>
      <w:r>
        <w:rPr>
          <w:color w:val="646464"/>
          <w:sz w:val="16"/>
        </w:rPr>
        <w:t>[49] cf-art-5 | sem_categoria</w:t>
      </w:r>
    </w:p>
    <w:p>
      <w:pPr>
        <w:ind w:left="288"/>
      </w:pPr>
      <w:r>
        <w:rPr>
          <w:sz w:val="18"/>
        </w:rPr>
        <w:t>Não viola a Constituição o estabelecimento de remuneração inferior ao salário mínimo para as praças prestadoras de serviço militar inicial.</w:t>
      </w:r>
    </w:p>
    <w:p>
      <w:pPr>
        <w:ind w:left="288"/>
      </w:pPr>
      <w:r>
        <w:rPr>
          <w:b/>
          <w:color w:val="003C8C"/>
          <w:sz w:val="16"/>
        </w:rPr>
        <w:t>[Súmula Vinculante 6.]</w:t>
      </w:r>
    </w:p>
    <w:p>
      <w:r>
        <w:rPr>
          <w:color w:val="646464"/>
          <w:sz w:val="16"/>
        </w:rPr>
        <w:t>[50] cf-art-5 | controle_concentrado</w:t>
      </w:r>
    </w:p>
    <w:p>
      <w:pPr>
        <w:ind w:left="288"/>
      </w:pPr>
      <w:r>
        <w:rPr>
          <w:sz w:val="18"/>
        </w:rPr>
        <w:t>Decretos 11.366/2023 e 11.615/2023. Atos normativos que promoveram a regulamentação do Estatuto do Desarmamento (Lei 10.823/2003). (...) Os Decretos 11.366/2023 e 11.615/2023 visam reverter a vertigin</w:t>
      </w:r>
    </w:p>
    <w:p>
      <w:r>
        <w:rPr>
          <w:color w:val="646464"/>
          <w:sz w:val="16"/>
        </w:rPr>
        <w:t>[51] cf-art-5 | repercussao_geral</w:t>
      </w:r>
    </w:p>
    <w:p>
      <w:pPr>
        <w:ind w:left="288"/>
      </w:pPr>
      <w:r>
        <w:rPr>
          <w:sz w:val="18"/>
        </w:rPr>
        <w:t>O artigo 144-A da Lei n. 6.880/19, conhecida como Estatuto dos Militares, viola o direito à igualdade e ao princípio da isonomia, expressos no artigo 5º, caput, da Constituição da República, por preve</w:t>
      </w:r>
    </w:p>
    <w:p>
      <w:r>
        <w:rPr>
          <w:color w:val="646464"/>
          <w:sz w:val="16"/>
        </w:rPr>
        <w:t>[52] cf-art-5 | julgados_correlatos</w:t>
      </w:r>
    </w:p>
    <w:p>
      <w:pPr>
        <w:ind w:left="288"/>
      </w:pPr>
      <w:r>
        <w:rPr>
          <w:sz w:val="18"/>
        </w:rPr>
        <w:t>Bonificação para classificação no curso de medicina em Universidade Federal. Critério regional. Alegação de afronta ao julgamento da ADI 4.868 e RE 614.873 (tema 474-RG). Ocorrência. Precedentes que p</w:t>
      </w:r>
    </w:p>
    <w:p>
      <w:r>
        <w:rPr>
          <w:color w:val="646464"/>
          <w:sz w:val="16"/>
        </w:rPr>
        <w:t>[53] cf-art-5-inc-I | julgados_correlatos</w:t>
      </w:r>
    </w:p>
    <w:p>
      <w:pPr>
        <w:ind w:left="288"/>
      </w:pPr>
      <w:r>
        <w:rPr>
          <w:sz w:val="18"/>
        </w:rPr>
        <w:t xml:space="preserve">Concurso público. Exames ginecológicos invasivos. Discriminação de gênero. (...) A determinação de exames ginecológicos invasivos, independentemente da idade da candidata, é discriminatória e afronta </w:t>
      </w:r>
    </w:p>
    <w:p>
      <w:pPr>
        <w:ind w:left="288"/>
      </w:pPr>
      <w:r>
        <w:rPr>
          <w:b/>
          <w:color w:val="003C8C"/>
          <w:sz w:val="16"/>
        </w:rPr>
        <w:t>[ARE 1.551.254 AgR, rel. min. Cristiano Zanin, j. 22-12-2025, P, DJE de 2-2-2026.]</w:t>
      </w:r>
    </w:p>
    <w:p>
      <w:r>
        <w:rPr>
          <w:color w:val="646464"/>
          <w:sz w:val="16"/>
        </w:rPr>
        <w:t>[54] cf-art-5-inc-I | controle_concentrado</w:t>
      </w:r>
    </w:p>
    <w:p>
      <w:pPr>
        <w:ind w:left="288"/>
      </w:pPr>
      <w:r>
        <w:rPr>
          <w:sz w:val="18"/>
        </w:rPr>
        <w:t>O RenovaBio, instituído pela Lei n. 13.576/2017, concretiza compromissos internacionais de mitigação de gases de efeito estufa assumidos pelo Brasil no Acordo de Paris, consubstanciando política públi</w:t>
      </w:r>
    </w:p>
    <w:p>
      <w:pPr>
        <w:ind w:left="288"/>
      </w:pPr>
      <w:r>
        <w:rPr>
          <w:b/>
          <w:color w:val="003C8C"/>
          <w:sz w:val="16"/>
        </w:rPr>
        <w:t>[ADI 4.424, rel. min. Marco Aurélio, j. 9-2-2012, P, DJE de 1º-8-2014.]</w:t>
      </w:r>
    </w:p>
    <w:p>
      <w:r>
        <w:rPr>
          <w:color w:val="646464"/>
          <w:sz w:val="16"/>
        </w:rPr>
        <w:t>[55] cf-art-5-inc-I | controle_concentrado</w:t>
      </w:r>
    </w:p>
    <w:p>
      <w:pPr>
        <w:ind w:left="288"/>
      </w:pPr>
      <w:r>
        <w:rPr>
          <w:sz w:val="18"/>
        </w:rPr>
        <w:t>= ARE 773.765 RG, rel. min. Gilmar Mendes, j. 3-4-2014, P, DJE de 28-4-2014, Tema 713 Plano de previdência complementar. Cláusula que exige o mesmo tempo de contribuição para homens e mulheres para re</w:t>
      </w:r>
    </w:p>
    <w:p>
      <w:pPr>
        <w:ind w:left="288"/>
      </w:pPr>
      <w:r>
        <w:rPr>
          <w:b/>
          <w:color w:val="003C8C"/>
          <w:sz w:val="16"/>
        </w:rPr>
        <w:t>[RE 1.415.115 RG, rel. min. Alexandre de Moraes, j. 6-2-2026, P, DJE de 2-3-2026, Tema 1.423, com mérito pendente.]</w:t>
      </w:r>
    </w:p>
    <w:p>
      <w:r>
        <w:rPr>
          <w:color w:val="646464"/>
          <w:sz w:val="16"/>
        </w:rPr>
        <w:t>[56] cf-art-5-inc-I | repercussao_geral</w:t>
      </w:r>
    </w:p>
    <w:p>
      <w:pPr>
        <w:ind w:left="288"/>
      </w:pPr>
      <w:r>
        <w:rPr>
          <w:sz w:val="18"/>
        </w:rPr>
        <w:t>À luz do art. 227 da CF que confere proteção integral da criança com absoluta prioridade, bem como do princípio da isonomia de direitos entre o homem e a mulher (art. 5º, I, CF), a licença maternidade</w:t>
      </w:r>
    </w:p>
    <w:p>
      <w:r>
        <w:rPr>
          <w:color w:val="646464"/>
          <w:sz w:val="16"/>
        </w:rPr>
        <w:t>[57] cf-art-5-inc-I | julgados_correlatos</w:t>
      </w:r>
    </w:p>
    <w:p>
      <w:pPr>
        <w:ind w:left="288"/>
      </w:pPr>
      <w:r>
        <w:rPr>
          <w:sz w:val="18"/>
        </w:rPr>
        <w:t>O princípio da isonomia material, conforme a tese do Tema 452, impõe que a aplicação das normas regulamentares dos planos de previdência complementar considere a correção de desigualdades estruturais,</w:t>
      </w:r>
    </w:p>
    <w:p>
      <w:pPr>
        <w:pStyle w:val="Heading2"/>
      </w:pPr>
      <w:r>
        <w:t>Amostra — Art. 37 (primeiros 10 blocos)</w:t>
      </w:r>
    </w:p>
    <w:p>
      <w:r>
        <w:rPr>
          <w:color w:val="646464"/>
          <w:sz w:val="16"/>
        </w:rPr>
        <w:t>[2911] cf-art-37 | sumula_vinculante</w:t>
      </w:r>
    </w:p>
    <w:p>
      <w:pPr>
        <w:ind w:left="288"/>
      </w:pPr>
      <w:r>
        <w:rPr>
          <w:sz w:val="18"/>
        </w:rPr>
        <w:t xml:space="preserve">A nomeação de cônjuge, companheiro, ou parente, em linha reta, colateral ou por afinidade, até o terceiro grau, inclusive, da autoridade nomeante ou de servidor da mesma pessoa jurídica, investido em </w:t>
      </w:r>
    </w:p>
    <w:p>
      <w:pPr>
        <w:ind w:left="288"/>
      </w:pPr>
      <w:r>
        <w:rPr>
          <w:b/>
          <w:color w:val="003C8C"/>
          <w:sz w:val="16"/>
        </w:rPr>
        <w:t>[Súmula Vinculante 13.]</w:t>
      </w:r>
    </w:p>
    <w:p>
      <w:r>
        <w:rPr>
          <w:color w:val="646464"/>
          <w:sz w:val="16"/>
        </w:rPr>
        <w:t>[2912] cf-art-37 | sumula</w:t>
      </w:r>
    </w:p>
    <w:p>
      <w:pPr>
        <w:ind w:left="288"/>
      </w:pPr>
      <w:r>
        <w:rPr>
          <w:sz w:val="18"/>
        </w:rPr>
        <w:t xml:space="preserve">Não cabe recurso extraordinário por contrariedade ao princípio constitucional da legalidade, quando a sua verificação pressuponha rever a interpretação dada a normas infraconstitucionais pela decisão </w:t>
      </w:r>
    </w:p>
    <w:p>
      <w:pPr>
        <w:ind w:left="288"/>
      </w:pPr>
      <w:r>
        <w:rPr>
          <w:b/>
          <w:color w:val="003C8C"/>
          <w:sz w:val="16"/>
        </w:rPr>
        <w:t>[Súmula 636.]</w:t>
      </w:r>
    </w:p>
    <w:p>
      <w:r>
        <w:rPr>
          <w:color w:val="646464"/>
          <w:sz w:val="16"/>
        </w:rPr>
        <w:t>[2913] cf-art-37 | sumula</w:t>
      </w:r>
    </w:p>
    <w:p>
      <w:pPr>
        <w:ind w:left="288"/>
      </w:pPr>
      <w:r>
        <w:rPr>
          <w:sz w:val="18"/>
        </w:rPr>
        <w:t>A administração pode anular seus próprios atos, quando eivados de vícios que os tornem ilegais, porque deles não se originam direitos, ou revogá-los, por motivo de conveniência ou oportunidade, respei</w:t>
      </w:r>
    </w:p>
    <w:p>
      <w:pPr>
        <w:ind w:left="288"/>
      </w:pPr>
      <w:r>
        <w:rPr>
          <w:b/>
          <w:color w:val="003C8C"/>
          <w:sz w:val="16"/>
        </w:rPr>
        <w:t>[Súmula 473.]</w:t>
      </w:r>
    </w:p>
    <w:p>
      <w:r>
        <w:rPr>
          <w:color w:val="646464"/>
          <w:sz w:val="16"/>
        </w:rPr>
        <w:t>[2914] cf-art-37 | sumula</w:t>
      </w:r>
    </w:p>
    <w:p>
      <w:pPr>
        <w:ind w:left="288"/>
      </w:pPr>
      <w:r>
        <w:rPr>
          <w:sz w:val="18"/>
        </w:rPr>
        <w:t>A administração pública pode declarar a nulidade dos seus próprios atos.</w:t>
      </w:r>
    </w:p>
    <w:p>
      <w:pPr>
        <w:ind w:left="288"/>
      </w:pPr>
      <w:r>
        <w:rPr>
          <w:b/>
          <w:color w:val="003C8C"/>
          <w:sz w:val="16"/>
        </w:rPr>
        <w:t>[Súmula 346.]</w:t>
      </w:r>
    </w:p>
    <w:p>
      <w:r>
        <w:rPr>
          <w:color w:val="646464"/>
          <w:sz w:val="16"/>
        </w:rPr>
        <w:t>[2915] cf-art-37 | sumula</w:t>
      </w:r>
    </w:p>
    <w:p>
      <w:pPr>
        <w:ind w:left="288"/>
      </w:pPr>
      <w:r>
        <w:rPr>
          <w:sz w:val="18"/>
        </w:rPr>
        <w:t>A imunidade tributária outorgada pelo art. 195, § 7º, da Constituição Federal às entidades beneficentes de assistência social é condicionada ao atendimento das exigências estabelecidas em lei. A relaç</w:t>
      </w:r>
    </w:p>
    <w:p>
      <w:pPr>
        <w:ind w:left="288"/>
      </w:pPr>
      <w:r>
        <w:rPr>
          <w:b/>
          <w:color w:val="003C8C"/>
          <w:sz w:val="16"/>
        </w:rPr>
        <w:t>[ADI 5.319, rel. min. Nunes Marques, j. 27-10-2025, P, DJE de 11-2-2026.]</w:t>
      </w:r>
    </w:p>
    <w:p>
      <w:r>
        <w:rPr>
          <w:color w:val="646464"/>
          <w:sz w:val="16"/>
        </w:rPr>
        <w:t>[2916] cf-art-37 | sumula</w:t>
      </w:r>
    </w:p>
    <w:p>
      <w:pPr>
        <w:ind w:left="288"/>
      </w:pPr>
      <w:r>
        <w:rPr>
          <w:sz w:val="18"/>
        </w:rPr>
        <w:t>A incorporação de gratificação concedida a servidores públicos que desempenham funções de segurança, com fundamento na exposição a risco de vida, consiste em compensação específica pelas condições lab</w:t>
      </w:r>
    </w:p>
    <w:p>
      <w:pPr>
        <w:ind w:left="288"/>
      </w:pPr>
      <w:r>
        <w:rPr>
          <w:b/>
          <w:color w:val="003C8C"/>
          <w:sz w:val="16"/>
        </w:rPr>
        <w:t>[ADI 4.285, rel. min. Nunes Marques, j. 20.10.2025, P, DJE de 27.10.2025.]</w:t>
      </w:r>
    </w:p>
    <w:p>
      <w:r>
        <w:rPr>
          <w:color w:val="646464"/>
          <w:sz w:val="16"/>
        </w:rPr>
        <w:t>[2917] cf-art-37 | sumula</w:t>
      </w:r>
    </w:p>
    <w:p>
      <w:pPr>
        <w:ind w:left="288"/>
      </w:pPr>
      <w:r>
        <w:rPr>
          <w:sz w:val="18"/>
        </w:rPr>
        <w:t>A Resolução n. 7/2005 do Conselho Nacional de Justiça, que institui regras sobre a proibição do nepotismo, declarada constitucional pelo Supremo (ADC 12, Rel. Min. Ayres Britto), proíbe, nos termos do</w:t>
      </w:r>
    </w:p>
    <w:p>
      <w:pPr>
        <w:ind w:left="288"/>
      </w:pPr>
      <w:r>
        <w:rPr>
          <w:b/>
          <w:color w:val="003C8C"/>
          <w:sz w:val="16"/>
        </w:rPr>
        <w:t>[ADI 3.496, rel. min. Nunes Marques, j. 13.10.2025, P, DJE de 12.11.2025.]</w:t>
      </w:r>
    </w:p>
    <w:p>
      <w:r>
        <w:rPr>
          <w:color w:val="646464"/>
          <w:sz w:val="16"/>
        </w:rPr>
        <w:t>[2918] cf-art-37 | sumula</w:t>
      </w:r>
    </w:p>
    <w:p>
      <w:pPr>
        <w:ind w:left="288"/>
      </w:pPr>
      <w:r>
        <w:rPr>
          <w:sz w:val="18"/>
        </w:rPr>
        <w:t xml:space="preserve">Vide ADC 12, rel. min. Ayres Britto, j. 20.08.2008, P, DJE de 18.12.2009 Serviços notariais e de registro. Reestruturação. Lei Estadual. Constitucionalidade. (...) Os serviços notariais e de registro </w:t>
      </w:r>
    </w:p>
    <w:p>
      <w:pPr>
        <w:ind w:left="288"/>
      </w:pPr>
      <w:r>
        <w:rPr>
          <w:b/>
          <w:color w:val="003C8C"/>
          <w:sz w:val="16"/>
        </w:rPr>
        <w:t>[ADI 7.352, rel. min. Cristiano Zanin, j. 29.09.2025, P, DJE de 02.10.2025.]</w:t>
      </w:r>
    </w:p>
    <w:p>
      <w:r>
        <w:rPr>
          <w:color w:val="646464"/>
          <w:sz w:val="16"/>
        </w:rPr>
        <w:t>[2919] cf-art-37 | sumula</w:t>
      </w:r>
    </w:p>
    <w:p>
      <w:pPr>
        <w:ind w:left="288"/>
      </w:pPr>
      <w:r>
        <w:rPr>
          <w:sz w:val="18"/>
        </w:rPr>
        <w:t>Lei Estadual. Ministério Público do Estado do Ceará. Serviço voluntário. (...) Não há falar em substituição de membros e servidores do Parquet, tampouco em ofensa à moralidade e eficiência da Administ</w:t>
      </w:r>
    </w:p>
    <w:p>
      <w:pPr>
        <w:ind w:left="288"/>
      </w:pPr>
      <w:r>
        <w:rPr>
          <w:b/>
          <w:color w:val="003C8C"/>
          <w:sz w:val="16"/>
        </w:rPr>
        <w:t>[ADI 5.451, rel. min. Nunes Marques, j. 17.02.2025, P, DJE de 11.03.2025.]</w:t>
      </w:r>
    </w:p>
    <w:p>
      <w:r>
        <w:rPr>
          <w:color w:val="646464"/>
          <w:sz w:val="16"/>
        </w:rPr>
        <w:t>[2920] cf-art-37 | sumula</w:t>
      </w:r>
    </w:p>
    <w:p>
      <w:pPr>
        <w:ind w:left="288"/>
      </w:pPr>
      <w:r>
        <w:rPr>
          <w:sz w:val="18"/>
        </w:rPr>
        <w:t xml:space="preserve">(...) o procedimento de descentralização da execução de serviços públicos não exclusivos para as entidades do terceiro setor, regulado pela Lei nº 23.081 do Estado de Minas Gerais, de 10 de agosto de </w:t>
      </w:r>
    </w:p>
    <w:p>
      <w:pPr>
        <w:ind w:left="288"/>
      </w:pPr>
      <w:r>
        <w:rPr>
          <w:b/>
          <w:color w:val="003C8C"/>
          <w:sz w:val="16"/>
        </w:rPr>
        <w:t>[ADI 7.629, rel. min. Dias Toffoli, j. 17.02.2025, P, DJE de 21.02.2025.]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