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color w:val="2E6DA4"/>
          <w:sz w:val="18"/>
          <w:szCs w:val="18"/>
        </w:rPr>
        <w:t xml:space="preserve">JudX / ICONS-PROJUS</w:t>
      </w:r>
    </w:p>
    <w:p>
      <w:pPr>
        <w:pBdr>
          <w:bottom w:val="single" w:color="1A3A5C" w:sz="8" w:space="6"/>
        </w:pBdr>
        <w:spacing w:after="120" w:before="0"/>
      </w:pPr>
      <w:r>
        <w:rPr>
          <w:rFonts w:ascii="Arial" w:cs="Arial" w:eastAsia="Arial" w:hAnsi="Arial"/>
          <w:b/>
          <w:bCs/>
          <w:color w:val="1A3A5C"/>
          <w:sz w:val="40"/>
          <w:szCs w:val="40"/>
        </w:rPr>
        <w:t xml:space="preserve">Declaração de Fronteiras do Banco de Dados</w:t>
      </w:r>
    </w:p>
    <w:p>
      <w:pPr>
        <w:spacing w:after="80" w:before="8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Documento de arquitetura interna  ·  Supabase judx-platform  ·  Versão 1.0  ·  </w:t>
      </w: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03 de abril de 2026</w:t>
      </w:r>
    </w:p>
    <w:p>
      <w:pPr>
        <w:spacing w:after="0" w:before="200"/>
      </w:pPr>
    </w:p>
    <w:p>
      <w:pPr>
        <w:pStyle w:val="Heading1"/>
        <w:pBdr>
          <w:bottom w:val="single" w:color="2E6DA4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1. Objetivo deste documento</w:t>
      </w:r>
    </w:p>
    <w:p>
      <w:pPr>
        <w:spacing w:after="10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Este documento declara, para cada tabela do banco judx-platform (Supabase), a qual fronteira ela pertence e qual é o seu papel. É o único lugar onde essa decisão está escrita de forma autoritativa.</w:t>
      </w:r>
    </w:p>
    <w:p>
      <w:pPr>
        <w:spacing w:after="10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Fronteira significa: qual é o propósito desta tabela, de onde vêm seus dados, quem pode alterá-la e em que condições.</w:t>
      </w:r>
    </w:p>
    <w:p>
      <w:pPr>
        <w:spacing w:after="10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Sem essa declaração, cada novo ciclo de desenvolvimento cria uma camada nova sobre camadas antigas sem que ninguém saiba o que é fonte, o que é produto e o que é protótipo. Este documento encerra esse ciclo.</w:t>
      </w:r>
    </w:p>
    <w:p>
      <w:pPr>
        <w:spacing w:after="0" w:before="120"/>
      </w:pPr>
    </w:p>
    <w:p>
      <w:pPr>
        <w:pStyle w:val="Heading1"/>
        <w:pBdr>
          <w:bottom w:val="single" w:color="2E6DA4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2. As cinco fronteiras</w:t>
      </w:r>
    </w:p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FONTE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2FD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Dados como vieram da origem. Somente leitura após ingestão. Nunca normalizados, nunca filtrados aqui. São o arquivo do projeto.</w:t>
            </w:r>
          </w:p>
        </w:tc>
      </w:tr>
    </w:tbl>
    <w:p>
      <w:pPr>
        <w:spacing w:after="0" w:before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D32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NÚCLEO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Dados normalizados, auditados e estáveis. Alimentam o produto. Só mudam com reprocessamento deliberado e documentado.</w:t>
            </w:r>
          </w:p>
        </w:tc>
      </w:tr>
    </w:tbl>
    <w:p>
      <w:pPr>
        <w:spacing w:after="0" w:before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7F17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PRODUTO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Derivados calculados a partir do NÚCLEO. Servem o front-end. Podem ser apagados e recriados sem perda de dados.</w:t>
            </w:r>
          </w:p>
        </w:tc>
      </w:tr>
    </w:tbl>
    <w:p>
      <w:pPr>
        <w:spacing w:after="0" w:before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57575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DESEN.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Protótipos e amostras criados durante desenvolvimento. Não alimentam endpoints. Marcar com prefixo _dev_ ou mover para schema dev.*</w:t>
            </w:r>
          </w:p>
        </w:tc>
      </w:tr>
    </w:tbl>
    <w:p>
      <w:pPr>
        <w:spacing w:after="0" w:before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62828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RESERV.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Schema definido, dados ausentes. Reservado para expansão futura. Não popular sem decisão explícita e documentada.</w:t>
            </w:r>
          </w:p>
        </w:tc>
      </w:tr>
    </w:tbl>
    <w:p>
      <w:pPr>
        <w:spacing w:after="0" w:before="240"/>
      </w:pPr>
    </w:p>
    <w:p>
      <w:pPr>
        <w:pStyle w:val="Heading1"/>
        <w:pBdr>
          <w:bottom w:val="single" w:color="2E6DA4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3. Mapa completo de tabelas</w:t>
      </w:r>
    </w:p>
    <w:p>
      <w:pPr>
        <w:spacing w:after="10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 tabela abaixo cobre todas as 88 tabelas identificadas no banco. A coluna 'Fronteira' é a decisão autoritativa.</w:t>
      </w:r>
    </w:p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1000"/>
        <w:gridCol w:w="1500"/>
        <w:gridCol w:w="2726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Seção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Fronteira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Rows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Papel / observação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stf_decisoes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STF — núcleo operacional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FONTE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194.165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Ingestão direta do crawler/portal STF. Somente leitura após ingestão.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stf_processos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STF — núcleo operacional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FONTE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21.181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Metadados de cabeçalho por processo. Fonte primária.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stf_partes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STF — núcleo operacional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FONTE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1.277.043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Partes brutas do scraper ativo. Ainda crescendo.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stj_decisoes_dj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STJ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FONTE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203.478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Fonte bruta do DJ do STJ.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stf_universal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STF — núcleo operacional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NÚCLEO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170.302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Tabela-mãe do produto. Normalizada e auditada a partir de stf_decisoes.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stf_partes_completo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STF — núcleo operacional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NÚCLEO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 (destino)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Destino final das partes quando scraper concluir. Versão normalizada/deduplicada de stf_partes.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stf_composicao_temporal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Referência institucional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NÚCLEO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92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Composição ministerial auditada. Não alterar sem fonte documental.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composicao_temporal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Referência institucional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NÚCLEO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92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Versão multi-tribunal da composição. Mantida em paralelo.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ministro_tribunal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Referência institucional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NÚCLEO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11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Cadastro canônico dos ministros ativos e egressos.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orgao_julgador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Referência institucional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NÚCLEO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19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Catálogo de órgãos julgadores por tribunal.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tribunal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Referência institucional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NÚCLEO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Tabela-mãe de tribunais.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classe_processual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Referência institucional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NÚCLEO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37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Taxonomia de classes por tribunal. Controlada.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taxonomia_nao_decisao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Referência institucional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NÚCLEO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Tipologia da não-decisão. Base teórica do produto.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mapeamento_origem_decisao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Referência institucional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NÚCLEO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Tradução de valores de origem_decisao para modo deliberação.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stj_universal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STJ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NÚCLEO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6.411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Decisões STJ normalizadas para produto futuro.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stj_temas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STJ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NÚCLEO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1.420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Temas repetitivos STJ.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stj_partes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STJ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NÚCLEO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18.332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Partes do STJ normalizadas.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stj_fases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STJ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NÚCLEO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46.174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Fases processuais STJ.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risco_processual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Produtos JudX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7F17"/>
                <w:sz w:val="18"/>
                <w:szCs w:val="18"/>
              </w:rPr>
              <w:t xml:space="preserve">PRODUTO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445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Materialização calculada. Recriável a qualquer momento. Front-end /risco-processual.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resultado_empirico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Produtos JudX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7F17"/>
                <w:sz w:val="18"/>
                <w:szCs w:val="18"/>
              </w:rPr>
              <w:t xml:space="preserve">PRODUTO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Métricas do hero da landing page. Recalcular ao atualizar corpus.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auditoria_corpus_strings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Produtos JudX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7F17"/>
                <w:sz w:val="18"/>
                <w:szCs w:val="18"/>
              </w:rPr>
              <w:t xml:space="preserve">PRODUTO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Snapshot dos números principais do corpus. Cache estático.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stf_partes_favoraveis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STF — núcleo operacional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57575"/>
                <w:sz w:val="18"/>
                <w:szCs w:val="18"/>
              </w:rPr>
              <w:t xml:space="preserve">DESEN.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442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Amostra de teste de lógica de provimento. Não alimenta produto.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stf_amostra_partes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STF — núcleo operacional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57575"/>
                <w:sz w:val="18"/>
                <w:szCs w:val="18"/>
              </w:rPr>
              <w:t xml:space="preserve">DESEN.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8.910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Amostra de partes para desenvolvimento. Não alimenta produto.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judx_decision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Ontologia JudX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57575"/>
                <w:sz w:val="18"/>
                <w:szCs w:val="18"/>
              </w:rPr>
              <w:t xml:space="preserve">DESEN.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225.601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Ingestão piloto do modelo judx_*. Não alimenta nenhum produto atual.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judx_case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Ontologia JudX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57575"/>
                <w:sz w:val="18"/>
                <w:szCs w:val="18"/>
              </w:rPr>
              <w:t xml:space="preserve">DESEN.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139.737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Ingestão piloto do modelo judx_*. Não alimenta nenhum produto atual.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judx_litigant + 18 outras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Ontologia JudX (vazia)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RESERV.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Schema reservado para arquitetura de longo prazo. Não popular sem decisão explícita.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processo_no + 2 outras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Modelo processual (vazio)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RESERV.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Schema do modelo de nós processuais. Reservado.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organizations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SaaS / usuários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RESERV.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Infraestrutura SaaS. Aguarda lançamento com planos pagos.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alerts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SaaS / usuários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RESERV.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7"/>
                <w:szCs w:val="17"/>
              </w:rPr>
              <w:t xml:space="preserve">Alertas por usuário/organização. Aguarda lançamento.</w:t>
            </w:r>
          </w:p>
        </w:tc>
      </w:tr>
    </w:tbl>
    <w:p>
      <w:pPr>
        <w:spacing w:after="0" w:before="240"/>
      </w:pPr>
    </w:p>
    <w:p>
      <w:pPr>
        <w:pStyle w:val="Heading1"/>
        <w:pBdr>
          <w:bottom w:val="single" w:color="2E6DA4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4. Ambiguidades documentadas — decisões tomadas</w:t>
      </w:r>
    </w:p>
    <w:p>
      <w:pPr>
        <w:spacing w:after="10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As questões abaixo foram identificadas na auditoria de março/abril 2026 e precisavam de resposta explícita. Estão respondidas aqui para evitar retrabalho futuro.</w:t>
      </w:r>
    </w:p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3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Ambiguidade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Decisão documentada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stf_partes_completo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Destino planejado vazio — confunde quem lê o banco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É o destino final quando o scraper de partes concluir. Enquanto isso, stf_partes serve o produto. NÃO dropar.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stf_partes_favoraveis + stf_amostra_partes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Protótipos de desenvolvimento sem relação com produção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Mover para schema dev.* ou prefixar _dev_. Não alimentam nenhum endpoint atual.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judx_decision + judx_case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Dados de ingestão piloto que nunca foi completada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Marcar como schema reservado. Não usar em queries de produto. Limpar antes de nova ingestão.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stf_universal ≠ stf_decisoes (24k rows de diferença)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Qual é a verdade oficial?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stf_universal é a verdade do produto. stf_decisoes é a fonte bruta com ruído. A diferença são registros sem dados mínimos descartados na consolidação.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stf_composicao_temporal (aparece 2x no mapa)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Duplicidade de nome em duas seções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Verificar se são a mesma tabela ou duas distintas. Se mesma, remover referência duplicada do mapa.</w:t>
            </w:r>
          </w:p>
        </w:tc>
      </w:tr>
    </w:tbl>
    <w:p>
      <w:pPr>
        <w:spacing w:after="0" w:before="240"/>
      </w:pPr>
    </w:p>
    <w:p>
      <w:pPr>
        <w:pStyle w:val="Heading1"/>
        <w:pBdr>
          <w:bottom w:val="single" w:color="2E6DA4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5. Estado atual do produto</w:t>
      </w:r>
    </w:p>
    <w:p>
      <w:pPr>
        <w:spacing w:after="10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 produto JudX tem tudo que precisa para operar. As tabelas a seguir estão populadas, estáveis e prontas:</w:t>
      </w:r>
    </w:p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5626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Rows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Função no produto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stf_universal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170.302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Corpus principal — todas as queries analíticas partem daqui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stf_partes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1.277.043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Partes processuais — enriquecimento de litigantes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risco_processual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445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Endpoint /risco-processual — taxa de sucesso por combinação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resultado_empirico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Hero da landing page — números principais do corpus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Referência institucional (8 tabelas)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~250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Catálogos de ministros, órgãos, classes, ontologia da não-decisão</w:t>
            </w:r>
          </w:p>
        </w:tc>
      </w:tr>
    </w:tbl>
    <w:p>
      <w:pPr>
        <w:spacing w:after="0" w:before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5100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!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E0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 risco de colapso em produção não vem da complexidade do banco. Vem de não saber qual tabela é a verdade oficial em cada momento. Este documento resolve isso.</w:t>
            </w:r>
          </w:p>
        </w:tc>
      </w:tr>
    </w:tbl>
    <w:p>
      <w:pPr>
        <w:spacing w:after="0" w:before="240"/>
      </w:pPr>
    </w:p>
    <w:p>
      <w:pPr>
        <w:pStyle w:val="Heading1"/>
        <w:pBdr>
          <w:bottom w:val="single" w:color="2E6DA4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6. Regra de ouro — como criar tabelas no futuro</w:t>
      </w:r>
    </w:p>
    <w:p>
      <w:pPr>
        <w:spacing w:after="10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Antes de criar qualquer tabela nova, responder obrigatoriamente às perguntas abaixo. Se a resposta a alguma delas for 'não sei', a tabela não deve ser criada ainda.</w:t>
      </w:r>
    </w:p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Antes de criar tabela nova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Pergunta obrigatória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Qual fronteira?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FONTE, NÚCLEO, PRODUTO, DESENVOLVIMENTO ou RESERVADO — definir antes de criar.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Qual a fonte de verdade?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De onde vêm os dados? Qual tabela alimenta qual?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É recalculável?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Se sim → PRODUTO. Se não pode ser recriada sem perda → FONTE ou NÚCLEO.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Alimenta algum endpoint?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Se não alimenta nada agora → DESENVOLVIMENTO ou RESERVADO.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Nome deixa claro o papel?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Prefixo _dev_ para protótipos. Schema src.* para fontes brutas se necessário.</w:t>
            </w:r>
          </w:p>
        </w:tc>
      </w:tr>
    </w:tbl>
    <w:p>
      <w:pPr>
        <w:spacing w:after="0" w:before="240"/>
      </w:pPr>
    </w:p>
    <w:p>
      <w:pPr>
        <w:pStyle w:val="Heading1"/>
        <w:pBdr>
          <w:bottom w:val="single" w:color="2E6DA4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7. Próximos passos recomendados</w:t>
      </w:r>
    </w:p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6626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Prazo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Esta semana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Adicionar COMMENT ON TABLE no Postgres para cada tabela, registrando a fronteira declarada neste documento.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Esta semana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Mover stf_partes_favoraveis e stf_amostra_partes para schema dev.* ou renomear com prefixo _dev_.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Esta semana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Verificar duplicidade de stf_composicao_temporal nas duas seções do mapa.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Quando scraper concluir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Popular stf_partes_completo a partir de stf_partes com deduplicação. Então stf_partes_completo passa a ser NÚCLEO.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Antes de qualquer migração judx_*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Limpar judx_decision e judx_case (dados do piloto). Documentar a decisão de quando ingestão completa será executada.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Contínuo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Toda nova tabela: preencher este documento antes de popular.</w:t>
            </w:r>
          </w:p>
        </w:tc>
      </w:tr>
    </w:tbl>
    <w:p>
      <w:pPr>
        <w:spacing w:after="0" w:before="200"/>
      </w:pPr>
    </w:p>
    <w:p>
      <w:pPr>
        <w:pBdr>
          <w:top w:val="single" w:color="2E6DA4" w:sz="4" w:space="8"/>
        </w:pBdr>
        <w:spacing w:after="40" w:before="20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Documento elaborado por Damares Medina  ·  ICONS / PROJUS  ·  JudX Platform</w:t>
      </w:r>
    </w:p>
    <w:p>
      <w:pPr>
        <w:spacing w:after="0" w:before="0"/>
      </w:pPr>
      <w:r>
        <w:rPr>
          <w:rFonts w:ascii="Arial" w:cs="Arial" w:eastAsia="Arial" w:hAnsi="Arial"/>
          <w:i/>
          <w:iCs/>
          <w:color w:val="888888"/>
          <w:sz w:val="17"/>
          <w:szCs w:val="17"/>
        </w:rPr>
        <w:t xml:space="preserve">Este documento é a fonte de verdade sobre a arquitetura do banco. Qualquer alteração de fronteira deve ser registrada aqui antes de ser executada no banco.</w:t>
      </w:r>
    </w:p>
    <w:sectPr>
      <w:footerReference w:type="default" r:id="rId7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6DA4" w:sz="4" w:space="4"/>
      </w:pBdr>
      <w:spacing w:before="100"/>
    </w:pPr>
    <w:r>
      <w:rPr>
        <w:rFonts w:ascii="Arial" w:cs="Arial" w:eastAsia="Arial" w:hAnsi="Arial"/>
        <w:color w:val="888888"/>
        <w:sz w:val="16"/>
        <w:szCs w:val="16"/>
      </w:rPr>
      <w:t xml:space="preserve">JudX / ICONS-PROJUS  —  Documento interno de arquitetura de dados  — 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2E6DA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2026-04-03T13:30:32.812Z</dcterms:created>
  <dcterms:modified xsi:type="dcterms:W3CDTF">2026-04-03T13:30:32.812Z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