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Accessibility: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design of products, devices, services, or environments for people with disabilities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Customizable text: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feature that allows users to change how text is displayed in order to read the text more easily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Edge case: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What happens when things go wrong that are beyond the user’s control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ability to understand someone else’s feelings or thoughts in a situation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 map: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easily understood chart that explains everything designers have learned about a type of user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Pain points: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UX issues that frustrate the user and block the user from getting what they need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Personas: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Fictional users whose goals and characteristics represent the needs of a larger group of users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Problem statement: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clear description of the user’s need that should be addressed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 development lifecycle: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process used to take a product from an idea to reality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group: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set of people who have similar interests, goals, or concerns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journey: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series of experiences a user has as they achieve a specific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story: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fictional one-sentence story told from the persona’s point of view to inspires and informs design decisions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27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