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easily understood chart that explains everything designers have learned about a type of user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Pain points: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UX issues that frustrate the user and block the user from getting what they need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 development lifecycle: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used to take a product from an idea to reality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14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