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469"/>
        <w:tblGridChange w:id="0">
          <w:tblGrid>
            <w:gridCol w:w="2547"/>
            <w:gridCol w:w="6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 of the data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Details/meaning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NADDEC_data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Seroprevalence data for samples tested at national laboratory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Livestock_all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Cattle, Sheep, goats movements for Uganda (2015-2021)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Human_census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Human Population for Uganda estimates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Folder_UBOS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Uganda location shape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Cattle_2021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Cattle population as per national census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Results_Feb 2024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Time-series analysis for NADDEC_data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Mosquito_paper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RVF transmission in mosquito and transmission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Human Clinical presentation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Prevalence of RVF in humans and symptomatic cases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Human Prevalence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Seroprevalence data for humans  samples in Uganda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A303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A303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A303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A303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A303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A303E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A303E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A303E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A303E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A303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A303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A303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A303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A303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A303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A303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A303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A303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A303E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303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A303E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A303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A303E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A303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A303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A303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A303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A303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A303E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9C63E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Y7bvbHCSZ6DJ97QRSmoD563ig==">CgMxLjA4AHIhMXFPdDY0TVJJVHdYRkl2eUx4dHp4QTZMV0wxSzRNUE1T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2024-04-15T14:14:00Z</dcterms:created>
  <dc:creator>Abel Wilson Walekhwa</dc:creator>
</cp:coreProperties>
</file>