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Page 1</w:t>
      </w:r>
    </w:p>
    <w:p>
      <w:r>
        <w:t>Titre</w:t>
        <w:br/>
        <w:t>1. Modèle d'indicateur. . . . . . . . . . . . . . . . . . . . . . . . . . . . . . . . . . . . . . . . . . . . . . . . . . . . . . . . . . . . . . . . . . . . . . . . . . . . . . . . . . . . . . . . . . . . .  3</w:t>
        <w:br/>
        <w:t>2. Page de navigation . . . . . . . . . . . . . . . . . . . . . . . . . . . . . . . . . . . . . . . . . . . . . . . . . . . . . . . . . . . . . . . . . . . . . . . . . . . . . . . . . . . . . . . . . . . . . . .  4</w:t>
        <w:br/>
        <w:t>3. Accueil . . . . . . . . . . . . . . . . . . . . . . . . . . . . . . . . . . . . . . . . . . . . . . . . . . . . . . . . . . . . . . . . . . . . . . . . . . . . . . . . . . . . . . . . . . . . . . . . . . . . . . .  5</w:t>
        <w:br/>
        <w:t>3.1 Objectif 1 . . . . . . . . . . . . . . . . . . . . . . . . . . . . . . . . . . . . . . . . . . . . . . . . . . . . . . . . . . . . . . . . . . . . . . . . . . . . . . . . . . . . . . . . . . . . . . . . . .  6</w:t>
        <w:br/>
        <w:t>3.1.1 Indicateur 1.1.1 . . . . . . . . . . . . . . . . . . . . . . . . . . . . . . . . . . . . . . . . . . . . . . . . . . . . . . . . . . . . . . . . . . . . . . . . . . . . . . . . . . . . . . .  7</w:t>
        <w:br/>
        <w:t>3.1.2 Indicateur 1.3.1 . . . . . . . . . . . . . . . . . . . . . . . . . . . . . . . . . . . . . . . . . . . . . . . . . . . . . . . . . . . . . . . . . . . . . . . . . . . . . . . . . . . . . .  10</w:t>
        <w:br/>
        <w:t>3.1.3 Indicateur 1.5.1 . . . . . . . . . . . . . . . . . . . . . . . . . . . . . . . . . . . . . . . . . . . . . . . . . . . . . . . . . . . . . . . . . . . . . . . . . . . . . . . . . . . . . .  13</w:t>
        <w:br/>
        <w:t>3.1.4 Indicateur 1.5.2 . . . . . . . . . . . . . . . . . . . . . . . . . . . . . . . . . . . . . . . . . . . . . . . . . . . . . . . . . . . . . . . . . . . . . . . . . . . . . . . . . . . . . .  15</w:t>
        <w:br/>
        <w:t>3.1.5 Indicateur 1.5.3 . . . . . . . . . . . . . . . . . . . . . . . . . . . . . . . . . . . . . . . . . . . . . . . . . . . . . . . . . . . . . . . . . . . . . . . . . . . . . . . . . . . . . .  18</w:t>
        <w:br/>
        <w:t>3.2 Objectif 2 . . . . . . . . . . . . . . . . . . . . . . . . . . . . . . . . . . . . . . . . . . . . . . . . . . . . . . . . . . . . . . . . . . . . . . . . . . . . . . . . . . . . . . . . . . . . . . . . .  21</w:t>
        <w:br/>
        <w:t>3.2.1 Indicateur 2.1.1 . . . . . . . . . . . . . . . . . . . . . . . . . . . . . . . . . . . . . . . . . . . . . . . . . . . . . . . . . . . . . . . . . . . . . . . . . . . . . . . . . . . . . .  22</w:t>
        <w:br/>
        <w:t>3.2.2 Indicateur 2.1.2 . . . . . . . . . . . . . . . . . . . . . . . . . . . . . . . . . . . . . . . . . . . . . . . . . . . . . . . . . . . . . . . . . . . . . . . . . . . . . . . . . . . . . .  27</w:t>
        <w:br/>
        <w:t>3.2.3 Indicateur 2.2.1 . . . . . . . . . . . . . . . . . . . . . . . . . . . . . . . . . . . . . . . . . . . . . . . . . . . . . . . . . . . . . . . . . . . . . . . . . . . . . . . . . . . . . .  31</w:t>
        <w:br/>
        <w:t>3.2.4 Indicateur 2.2.2 . . . . . . . . . . . . . . . . . . . . . . . . . . . . . . . . . . . . . . . . . . . . . . . . . . . . . . . . . . . . . . . . . . . . . . . . . . . . . . . . . . . . . .  34</w:t>
        <w:br/>
        <w:t>3.2.5 Indicateur 2.5.1 . . . . . . . . . . . . . . . . . . . . . . . . . . . . . . . . . . . . . . . . . . . . . . . . . . . . . . . . . . . . . . . . . . . . . . . . . . . . . . . . . . . . . .  37</w:t>
        <w:br/>
        <w:t>3.2.6 Indicateur 2.5.2 . . . . . . . . . . . . . . . . . . . . . . . . . . . . . . . . . . . . . . . . . . . . . . . . . . . . . . . . . . . . . . . . . . . . . . . . . . . . . . . . . . . . . .  40</w:t>
        <w:br/>
        <w:t>3.2.7 Indicateur 2.a.1 . . . . . . . . . . . . . . . . . . . . . . . . . . . . . . . . . . . . . . . . . . . . . . . . . . . . . . . . . . . . . . . . . . . . . . . . . . . . . . . . . . . . . .  44</w:t>
        <w:br/>
        <w:t>3.2.8 Indicateur 2.a.2 . . . . . . . . . . . . . . . . . . . . . . . . . . . . . . . . . . . . . . . . . . . . . . . . . . . . . . . . . . . . . . . . . . . . . . . . . . . . . . . . . . . . . .  47</w:t>
        <w:br/>
        <w:t>3.2.9 Indicateur 2.b.1 . . . . . . . . . . . . . . . . . . . . . . . . . . . . . . . . . . . . . . . . . . . . . . . . . . . . . . . . . . . . . . . . . . . . . . . . . . . . . . . . . . . . . .  49</w:t>
        <w:br/>
        <w:t>3.2.10 Indicateur 2.c.1 . . . . . . . . . . . . . . . . . . . . . . . . . . . . . . . . . . . . . . . . . . . . . . . . . . . . . . . . . . . . . . . . . . . . . . . . . . . . . . . . . . . . .  51</w:t>
        <w:br/>
        <w:t>3.3 Objectif 3 . . . . . . . . . . . . . . . . . . . . . . . . . . . . . . . . . . . . . . . . . . . . . . . . . . . . . . . . . . . . . . . . . . . . . . . . . . . . . . . . . . . . . . . . . . . . . . . . .  54</w:t>
        <w:br/>
        <w:t>3.3.1 Indicateur 3.1.1 . . . . . . . . . . . . . . . . . . . . . . . . . . . . . . . . . . . . . . . . . . . . . . . . . . . . . . . . . . . . . . . . . . . . . . . . . . . . . . . . . . . . . .  55</w:t>
        <w:br/>
        <w:t>3.3.2 Indicateur 3.2.1 . . . . . . . . . . . . . . . . . . . . . . . . . . . . . . . . . . . . . . . . . . . . . . . . . . . . . . . . . . . . . . . . . . . . . . . . . . . . . . . . . . . . . .  58</w:t>
        <w:br/>
        <w:t>3.3.3 Indicateur 3.2.2 . . . . . . . . . . . . . . . . . . . . . . . . . . . . . . . . . . . . . . . . . . . . . . . . . . . . . . . . . . . . . . . . . . . . . . . . . . . . . . . . . . . . . .  61</w:t>
        <w:br/>
        <w:t>3.3.4 Indicateur 3.3.1 . . . . . . . . . . . . . . . . . . . . . . . . . . . . . . . . . . . . . . . . . . . . . . . . . . . . . . . . . . . . . . . . . . . . . . . . . . . . . . . . . . . . . .  64</w:t>
        <w:br/>
        <w:t>3.3.5 Indicateur 3.3.2 . . . . . . . . . . . . . . . . . . . . . . . . . . . . . . . . . . . . . . . . . . . . . . . . . . . . . . . . . . . . . . . . . . . . . . . . . . . . . . . . . . . . . .  67</w:t>
        <w:br/>
        <w:t>3.3.6 Indicateur 3.3.5 . . . . . . . . . . . . . . . . . . . . . . . . . . . . . . . . . . . . . . . . . . . . . . . . . . . . . . . . . . . . . . . . . . . . . . . . . . . . . . . . . . . . . .  69</w:t>
        <w:br/>
        <w:t>3.3.7 Indicateur 3.4.1 . . . . . . . . . . . . . . . . . . . . . . . . . . . . . . . . . . . . . . . . . . . . . . . . . . . . . . . . . . . . . . . . . . . . . . . . . . . . . . . . . . . . . .  71</w:t>
        <w:br/>
        <w:t>3.3.8 Indicateur 3.4.2 . . . . . . . . . . . . . . . . . . . . . . . . . . . . . . . . . . . . . . . . . . . . . . . . . . . . . . . . . . . . . . . . . . . . . . . . . . . . . . . . . . . . . .  74</w:t>
        <w:br/>
        <w:t>3.3.9 Indicateur 3.5.2 . . . . . . . . . . . . . . . . . . . . . . . . . . . . . . . . . . . . . . . . . . . . . . . . . . . . . . . . . . . . . . . . . . . . . . . . . . . . . . . . . . . . . .  76</w:t>
        <w:br/>
        <w:t>3.3.10 Indicateur 3.6.1 . . . . . . . . . . . . . . . . . . . . . . . . . . . . . . . . . . . . . . . . . . . . . . . . . . . . . . . . . . . . . . . . . . . . . . . . . . . . . . . . . . . . .  79</w:t>
        <w:br/>
        <w:t>3.3.11 Indicateur 3.7.1 . . . . . . . . . . . . . . . . . . . . . . . . . . . . . . . . . . . . . . . . . . . . . . . . . . . . . . . . . . . . . . . . . . . . . . . . . . . . . . . . . . . . .  83</w:t>
        <w:br/>
        <w:t>3.3.12 Indicateur 3.7.2 . . . . . . . . . . . . . . . . . . . . . . . . . . . . . . . . . . . . . . . . . . . . . . . . . . . . . . . . . . . . . . . . . . . . . . . . . . . . . . . . . . . . .  86</w:t>
        <w:br/>
        <w:t>3.3.13 Indicateur 3.8.2 . . . . . . . . . . . . . . . . . . . . . . . . . . . . . . . . . . . . . . . . . . . . . . . . . . . . . . . . . . . . . . . . . . . . . . . . . . . . . . . . . . . . .  91</w:t>
        <w:br/>
        <w:t>3.3.14 Indicateur 3.9.1 . . . . . . . . . . . . . . . . . . . . . . . . . . . . . . . . . . . . . . . . . . . . . . . . . . . . . . . . . . . . . . . . . . . . . . . . . . . . . . . . . . . . .  94</w:t>
        <w:br/>
        <w:t>3.3.15 Indicateur 3.9.2 . . . . . . . . . . . . . . . . . . . . . . . . . . . . . . . . . . . . . . . . . . . . . . . . . . . . . . . . . . . . . . . . . . . . . . . . . . . . . . . . . . . . .  99</w:t>
        <w:br/>
        <w:t>3.3.16 Indicateur 3.9.3 . . . . . . . . . . . . . . . . . . . . . . . . . . . . . . . . . . . . . . . . . . . . . . . . . . . . . . . . . . . . . . . . . . . . . . . . . . . . . . . . . . . .  102</w:t>
        <w:br/>
        <w:t>3.3.17 Indicateur 3.b.2 . . . . . . . . . . . . . . . . . . . . . . . . . . . . . . . . . . . . . . . . . . . . . . . . . . . . . . . . . . . . . . . . . . . . . . . . . . . . . . . . . . . .  104</w:t>
        <w:br/>
        <w:t>3.3.18 Indicateur 3.c.1 . . . . . . . . . . . . . . . . . . . . . . . . . . . . . . . . . . . . . . . . . . . . . . . . . . . . . . . . . . . . . . . . . . . . . . . . . . . . . . . . . . . .  106</w:t>
        <w:br/>
        <w:t>3.4 Objectif 4 . . . . . . . . . . . . . . . . . . . . . . . . . . . . . . . . . . . . . . . . . . . . . . . . . . . . . . . . . . . . . . . . . . . . . . . . . . . . . . . . . . . . . . . . . . . . . . . .  109</w:t>
        <w:br/>
        <w:t>3.4.1 Indicateur 4.1.1 . . . . . . . . . . . . . . . . . . . . . . . . . . . . . . . . . . . . . . . . . . . . . . . . . . . . . . . . . . . . . . . . . . . . . . . . . . . . . . . . . . . . .  110</w:t>
        <w:br/>
        <w:t>3.4.2 Indicateur 4.2.2 . . . . . . . . . . . . . . . . . . . . . . . . . . . . . . . . . . . . . . . . . . . . . . . . . . . . . . . . . . . . . . . . . . . . . . . . . . . . . . . . . . . . .  113</w:t>
        <w:br/>
        <w:t>3.4.3 Indicateur 4.3.1 . . . . . . . . . . . . . . . . . . . . . . . . . . . . . . . . . . . . . . . . . . . . . . . . . . . . . . . . . . . . . . . . . . . . . . . . . . . . . . . . . . . . .  116</w:t>
        <w:br/>
        <w:t>3.4.4 Indicateur 4.4.1 . . . . . . . . . . . . . . . . . . . . . . . . . . . . . . . . . . . . . . . . . . . . . . . . . . . . . . . . . . . . . . . . . . . . . . . . . . . . . . . . . . . . .  119</w:t>
        <w:br/>
        <w:t>3.4.5 Indicateur 4.5.1 . . . . . . . . . . . . . . . . . . . . . . . . . . . . . . . . . . . . . . . . . . . . . . . . . . . . . . . . . . . . . . . . . . . . . . . . . . . . . . . . . . . . .  121</w:t>
        <w:br/>
        <w:t>3.4.6 Indicateur 4.6.1 . . . . . . . . . . . . . . . . . . . . . . . . . . . . . . . . . . . . . . . . . . . . . . . . . . . . . . . . . . . . . . . . . . . . . . . . . . . . . . . . . . . . .  123</w:t>
        <w:br/>
        <w:t>3.4.7 Indicateur 4.a.1 . . . . . . . . . . . . . . . . . . . . . . . . . . . . . . . . . . . . . . . . . . . . . . . . . . . . . . . . . . . . . . . . . . . . . . . . . . . . . . . . . . . . .  125</w:t>
        <w:br/>
        <w:t>3.4.8 Indicateur 4.b.1 . . . . . . . . . . . . . . . . . . . . . . . . . . . . . . . . . . . . . . . . . . . . . . . . . . . . . . . . . . . . . . . . . . . . . . . . . . . . . . . . . . . . .  129</w:t>
        <w:br/>
        <w:t>3.4.9 Indicateur 4.c.1 . . . . . . . . . . . . . . . . . . . . . . . . . . . . . . . . . . . . . . . . . . . . . . . . . . . . . . . . . . . . . . . . . . . . . . . . . . . . . . . . . . . . .  131</w:t>
        <w:br/>
        <w:t>3.5 Objectif 5 . . . . . . . . . . . . . . . . . . . . . . . . . . . . . . . . . . . . . . . . . . . . . . . . . . . . . . . . . . . . . . . . . . . . . . . . . . . . . . . . . . . . . . . . . . . . . . . .  133</w:t>
        <w:br/>
        <w:t>3.5.1 Indicateur 5.1.1 . . . . . . . . . . . . . . . . . . . . . . . . . . . . . . . . . . . . . . . . . . . . . . . . . . . . . . . . . . . . . . . . . . . . . . . . . . . . . . . . . . . . .  134</w:t>
        <w:br/>
        <w:t>3.5.2 Indicateur 5.2.1 . . . . . . . . . . . . . . . . . . . . . . . . . . . . . . . . . . . . . . . . . . . . . . . . . . . . . . . . . . . . . . . . . . . . . . . . . . . . . . . . . . . . .  138</w:t>
        <w:br/>
        <w:t>3.5.3 Indicateur 5.2.2 . . . . . . . . . . . . . . . . . . . . . . . . . . . . . . . . . . . . . . . . . . . . . . . . . . . . . . . . . . . . . . . . . . . . . . . . . . . . . . . . . . . . .  141</w:t>
        <w:br/>
        <w:t>3.5.4 Indicateur 5.3.1 . . . . . . . . . . . . . . . . . . . . . . . . . . . . . . . . . . . . . . . . . . . . . . . . . . . . . . . . . . . . . . . . . . . . . . . . . . . . . . . . . . . . .  144</w:t>
        <w:br/>
        <w:t>3.5.5 Indicateur 5.3.2 . . . . . . . . . . . . . . . . . . . . . . . . . . . . . . . . . . . . . . . . . . . . . . . . . . . . . . . . . . . . . . . . . . . . . . . . . . . . . . . . . . . . .  146</w:t>
        <w:br/>
        <w:t>3.5.6 Indicateur 5.4.1 . . . . . . . . . . . . . . . . . . . . . . . . . . . . . . . . . . . . . . . . . . . . . . . . . . . . . . . . . . . . . . . . . . . . . . . . . . . . . . . . . . . . .  148</w:t>
        <w:br/>
        <w:t>3.5.7 Indicateur 5.5.1_b . . . . . . . . . . . . . . . . . . . . . . . . . . . . . . . . . . . . . . . . . . . . . . . . . . . . . . . . . . . . . . . . . . . . . . . . . . . . . . . . . . .  151</w:t>
        <w:br/>
        <w:t>3.5.8 Indicateur 5.5.2 . . . . . . . . . . . . . . . . . . . . . . . . . . . . . . . . . . . . . . . . . . . . . . . . . . . . . . . . . . . . . . . . . . . . . . . . . . . . . . . . . . . . .  154</w:t>
        <w:br/>
        <w:t>3.5.9 Indicateur 5.6.1 . . . . . . . . . . . . . . . . . . . . . . . . . . . . . . . . . . . . . . . . . . . . . . . . . . . . . . . . . . . . . . . . . . . . . . . . . . . . . . . . . . . . .  157</w:t>
        <w:br/>
        <w:t>3.5.10 Indicateur 5.a.1 . . . . . . . . . . . . . . . . . . . . . . . . . . . . . . . . . . . . . . . . . . . . . . . . . . . . . . . . . . . . . . . . . . . . . . . . . . . . . . . . . . . .  160</w:t>
        <w:br/>
        <w:t>3.5.11 Indicateur 5.b.1 . . . . . . . . . . . . . . . . . . . . . . . . . . . . . . . . . . . . . . . . . . . . . . . . . . . . . . . . . . . . . . . . . . . . . . . . . . . . . . . . . . . .  163</w:t>
        <w:br/>
        <w:t>3.5.12 Indicateur 5.c.1 . . . . . . . . . . . . . . . . . . . . . . . . . . . . . . . . . . . . . . . . . . . . . . . . . . . . . . . . . . . . . . . . . . . . . . . . . . . . . . . . . . . .  165</w:t>
        <w:br/>
        <w:t>3.6 Objectif 6 . . . . . . . . . . . . . . . . . . . . . . . . . . . . . . . . . . . . . . . . . . . . . . . . . . . . . . . . . . . . . . . . . . . . . . . . . . . . . . . . . . . . . . . . . . . . . . . .  169</w:t>
        <w:br/>
        <w:t>3.6.1 Indicateur 6.1.1 . . . . . . . . . . . . . . . . . . . . . . . . . . . . . . . . . . . . . . . . . . . . . . . . . . . . . . . . . . . . . . . . . . . . . . . . . . . . . . . . . . . . .  170</w:t>
        <w:br/>
        <w:t>3.6.2 Indicateur 6.2.1 . . . . . . . . . . . . . . . . . . . . . . . . . . . . . . . . . . . . . . . . . . . . . . . . . . . . . . . . . . . . . . . . . . . . . . . . . . . . . . . . . . . . .  173</w:t>
        <w:br/>
        <w:t>3.6.3 Indicateur 6.4.2 . . . . . . . . . . . . . . . . . . . . . . . . . . . . . . . . . . . . . . . . . . . . . . . . . . . . . . . . . . . . . . . . . . . . . . . . . . . . . . . . . . . . .  176</w:t>
        <w:br/>
        <w:t>3.6.4 Indicateur 6.5.2 . . . . . . . . . . . . . . . . . . . . . . . . . . . . . . . . . . . . . . . . . . . . . . . . . . . . . . . . . . . . . . . . . . . . . . . . . . . . . . . . . . . . .  179</w:t>
        <w:br/>
        <w:t>3.6.5 Indicateur 6.a.1 . . . . . . . . . . . . . . . . . . . . . . . . . . . . . . . . . . . . . . . . . . . . . . . . . . . . . . . . . . . . . . . . . . . . . . . . . . . . . . . . . . . . .  182</w:t>
        <w:br/>
        <w:t>3.6.6 Indicateur 6.b.1 . . . . . . . . . . . . . . . . . . . . . . . . . . . . . . . . . . . . . . . . . . . . . . . . . . . . . . . . . . . . . . . . . . . . . . . . . . . . . . . . . . . . .  185</w:t>
        <w:br/>
        <w:t>3.7 Objectif 7 . . . . . . . . . . . . . . . . . . . . . . . . . . . . . . . . . . . . . . . . . . . . . . . . . . . . . . . . . . . . . . . . . . . . . . . . . . . . . . . . . . . . . . . . . . . . . . . .  188</w:t>
        <w:br/>
        <w:t>3.7.1 Indicateur 7.1.2 . . . . . . . . . . . . . . . . . . . . . . . . . . . . . . . . . . . . . . . . . . . . . . . . . . . . . . . . . . . . . . . . . . . . . . . . . . . . . . . . . . . . .  189</w:t>
        <w:br/>
        <w:t>3.7.2 Indicateur 7.2.1 . . . . . . . . . . . . . . . . . . . . . . . . . . . . . . . . . . . . . . . . . . . . . . . . . . . . . . . . . . . . . . . . . . . . . . . . . . . . . . . . . . . . .  192</w:t>
        <w:br/>
        <w:t>3.7.3 Indicateur 7.3.1 . . . . . . . . . . . . . . . . . . . . . . . . . . . . . . . . . . . . . . . . . . . . . . . . . . . . . . . . . . . . . . . . . . . . . . . . . . . . . . . . . . . . .  195</w:t>
        <w:br/>
        <w:t>3.7.4 Indicateur 7.a.1 . . . . . . . . . . . . . . . . . . . . . . . . . . . . . . . . . . . . . . . . . . . . . . . . . . . . . . . . . . . . . . . . . . . . . . . . . . . . . . . . . . . . .  197</w:t>
        <w:br/>
        <w:t>3.8 Objectif 8 . . . . . . . . . . . . . . . . . . . . . . . . . . . . . . . . . . . . . . . . . . . . . . . . . . . . . . . . . . . . . . . . . . . . . . . . . . . . . . . . . . . . . . . . . . . . . . . .  201</w:t>
        <w:br/>
        <w:t>3.8.1 Indicateur 8.1.1 . . . . . . . . . . . . . . . . . . . . . . . . . . . . . . . . . . . . . . . . . . . . . . . . . . . . . . . . . . . . . . . . . . . . . . . . . . . . . . . . . . . . .  202</w:t>
        <w:br/>
        <w:t>3.8.2 Indicateur 8.2.1 . . . . . . . . . . . . . . . . . . . . . . . . . . . . . . . . . . . . . . . . . . . . . . . . . . . . . . . . . . . . . . . . . . . . . . . . . . . . . . . . . . . . .  205</w:t>
        <w:br/>
        <w:t>3.8.3 Indicateur 8.3.1 . . . . . . . . . . . . . . . . . . . . . . . . . . . . . . . . . . . . . . . . . . . . . . . . . . . . . . . . . . . . . . . . . . . . . . . . . . . . . . . . . . . . .  208</w:t>
      </w:r>
    </w:p>
    <w:p>
      <w:pPr>
        <w:pStyle w:val="Heading2"/>
      </w:pPr>
      <w:r>
        <w:t>Page 2</w:t>
      </w:r>
    </w:p>
    <w:p>
      <w:r>
        <w:t>3.8.4 Indicateur 8.4.2 . . . . . . . . . . . . . . . . . . . . . . . . . . . . . . . . . . . . . . . . . . . . . . . . . . . . . . . . . . . . . . . . . . . . . . . . . . . . . . . . . . . . .  211</w:t>
        <w:br/>
        <w:t>3.8.5 Indicateur 8.5.1 . . . . . . . . . . . . . . . . . . . . . . . . . . . . . . . . . . . . . . . . . . . . . . . . . . . . . . . . . . . . . . . . . . . . . . . . . . . . . . . . . . . . .  213</w:t>
        <w:br/>
        <w:t>3.8.6 Indicateur 8.5.2 . . . . . . . . . . . . . . . . . . . . . . . . . . . . . . . . . . . . . . . . . . . . . . . . . . . . . . . . . . . . . . . . . . . . . . . . . . . . . . . . . . . . .  216</w:t>
        <w:br/>
        <w:t>3.8.7 Indicateur 8.6.1 . . . . . . . . . . . . . . . . . . . . . . . . . . . . . . . . . . . . . . . . . . . . . . . . . . . . . . . . . . . . . . . . . . . . . . . . . . . . . . . . . . . . .  219</w:t>
        <w:br/>
        <w:t>3.8.8 Indicateur 8.7.1 . . . . . . . . . . . . . . . . . . . . . . . . . . . . . . . . . . . . . . . . . . . . . . . . . . . . . . . . . . . . . . . . . . . . . . . . . . . . . . . . . . . . .  221</w:t>
        <w:br/>
        <w:t>3.8.9 Indicateur 8.8.1 . . . . . . . . . . . . . . . . . . . . . . . . . . . . . . . . . . . . . . . . . . . . . . . . . . . . . . . . . . . . . . . . . . . . . . . . . . . . . . . . . . . . .  224</w:t>
        <w:br/>
        <w:t>3.8.10 Indicateur 8.10.1 . . . . . . . . . . . . . . . . . . . . . . . . . . . . . . . . . . . . . . . . . . . . . . . . . . . . . . . . . . . . . . . . . . . . . . . . . . . . . . . . . . .  227</w:t>
        <w:br/>
        <w:t>3.8.11 Indicateur 8.a.1 . . . . . . . . . . . . . . . . . . . . . . . . . . . . . . . . . . . . . . . . . . . . . . . . . . . . . . . . . . . . . . . . . . . . . . . . . . . . . . . . . . . .  229</w:t>
        <w:br/>
        <w:t>3.9 Objectif 9 . . . . . . . . . . . . . . . . . . . . . . . . . . . . . . . . . . . . . . . . . . . . . . . . . . . . . . . . . . . . . . . . . . . . . . . . . . . . . . . . . . . . . . . . . . . . . . . .  231</w:t>
        <w:br/>
        <w:t>3.9.1 Indicateur 9.1.2 . . . . . . . . . . . . . . . . . . . . . . . . . . . . . . . . . . . . . . . . . . . . . . . . . . . . . . . . . . . . . . . . . . . . . . . . . . . . . . . . . . . . .  232</w:t>
        <w:br/>
        <w:t>3.9.2 Indicateur 9.2.1 . . . . . . . . . . . . . . . . . . . . . . . . . . . . . . . . . . . . . . . . . . . . . . . . . . . . . . . . . . . . . . . . . . . . . . . . . . . . . . . . . . . . .  234</w:t>
        <w:br/>
        <w:t>3.9.3 Indicateur 9.2.2 . . . . . . . . . . . . . . . . . . . . . . . . . . . . . . . . . . . . . . . . . . . . . . . . . . . . . . . . . . . . . . . . . . . . . . . . . . . . . . . . . . . . .  236</w:t>
        <w:br/>
        <w:t>3.9.4 Indicateur 9.3.1 . . . . . . . . . . . . . . . . . . . . . . . . . . . . . . . . . . . . . . . . . . . . . . . . . . . . . . . . . . . . . . . . . . . . . . . . . . . . . . . . . . . . .  238</w:t>
        <w:br/>
        <w:t>3.9.5 Indicateur 9.3.2 . . . . . . . . . . . . . . . . . . . . . . . . . . . . . . . . . . . . . . . . . . . . . . . . . . . . . . . . . . . . . . . . . . . . . . . . . . . . . . . . . . . . .  241</w:t>
        <w:br/>
        <w:t>3.9.6 Indicateur 9.4.1 . . . . . . . . . . . . . . . . . . . . . . . . . . . . . . . . . . . . . . . . . . . . . . . . . . . . . . . . . . . . . . . . . . . . . . . . . . . . . . . . . . . . .  244</w:t>
        <w:br/>
        <w:t>3.9.7 Indicateur 9.5.1 . . . . . . . . . . . . . . . . . . . . . . . . . . . . . . . . . . . . . . . . . . . . . . . . . . . . . . . . . . . . . . . . . . . . . . . . . . . . . . . . . . . . .  247</w:t>
        <w:br/>
        <w:t>3.9.8 Indicateur 9.5.2 . . . . . . . . . . . . . . . . . . . . . . . . . . . . . . . . . . . . . . . . . . . . . . . . . . . . . . . . . . . . . . . . . . . . . . . . . . . . . . . . . . . . .  250</w:t>
        <w:br/>
        <w:t>3.9.9 Indicateur 9.a.1 . . . . . . . . . . . . . . . . . . . . . . . . . . . . . . . . . . . . . . . . . . . . . . . . . . . . . . . . . . . . . . . . . . . . . . . . . . . . . . . . . . . . .  253</w:t>
        <w:br/>
        <w:t>3.9.10 Indicateur 9.b.1 . . . . . . . . . . . . . . . . . . . . . . . . . . . . . . . . . . . . . . . . . . . . . . . . . . . . . . . . . . . . . . . . . . . . . . . . . . . . . . . . . . . .  255</w:t>
        <w:br/>
        <w:t>3.9.11 Indicateur 9.c.1 . . . . . . . . . . . . . . . . . . . . . . . . . . . . . . . . . . . . . . . . . . . . . . . . . . . . . . . . . . . . . . . . . . . . . . . . . . . . . . . . . . . .  257</w:t>
        <w:br/>
        <w:t>3.10 Objectif 10 . . . . . . . . . . . . . . . . . . . . . . . . . . . . . . . . . . . . . . . . . . . . . . . . . . . . . . . . . . . . . . . . . . . . . . . . . . . . . . . . . . . . . . . . . . . . . .  259</w:t>
        <w:br/>
        <w:t>3.10.1 Indicateur 10.4.1 . . . . . . . . . . . . . . . . . . . . . . . . . . . . . . . . . . . . . . . . . . . . . . . . . . . . . . . . . . . . . . . . . . . . . . . . . . . . . . . . . . .  260</w:t>
        <w:br/>
        <w:t>3.10.2 Indicateur 10.6.1 . . . . . . . . . . . . . . . . . . . . . . . . . . . . . . . . . . . . . . . . . . . . . . . . . . . . . . . . . . . . . . . . . . . . . . . . . . . . . . . . . . .  262</w:t>
        <w:br/>
        <w:t>3.10.3 Indicateur 10.a.1 . . . . . . . . . . . . . . . . . . . . . . . . . . . . . . . . . . . . . . . . . . . . . . . . . . . . . . . . . . . . . . . . . . . . . . . . . . . . . . . . . . .  264</w:t>
        <w:br/>
        <w:t>3.10.4 Indicateur 10.b.1 . . . . . . . . . . . . . . . . . . . . . . . . . . . . . . . . . . . . . . . . . . . . . . . . . . . . . . . . . . . . . . . . . . . . . . . . . . . . . . . . . . .  267</w:t>
        <w:br/>
        <w:t>3.11 Objectif 11 . . . . . . . . . . . . . . . . . . . . . . . . . . . . . . . . . . . . . . . . . . . . . . . . . . . . . . . . . . . . . . . . . . . . . . . . . . . . . . . . . . . . . . . . . . . . . .  269</w:t>
        <w:br/>
        <w:t>3.11.1 Indicateur 11.5.1 . . . . . . . . . . . . . . . . . . . . . . . . . . . . . . . . . . . . . . . . . . . . . . . . . . . . . . . . . . . . . . . . . . . . . . . . . . . . . . . . . . .  270</w:t>
        <w:br/>
        <w:t>3.11.2 Indicateur 11.5.2 . . . . . . . . . . . . . . . . . . . . . . . . . . . . . . . . . . . . . . . . . . . . . . . . . . . . . . . . . . . . . . . . . . . . . . . . . . . . . . . . . . .  272</w:t>
        <w:br/>
        <w:t>3.11.3 Indicateur 11.6.1 . . . . . . . . . . . . . . . . . . . . . . . . . . . . . . . . . . . . . . . . . . . . . . . . . . . . . . . . . . . . . . . . . . . . . . . . . . . . . . . . . . .  277</w:t>
        <w:br/>
        <w:t>3.11.4 Indicateur 11.6.2 . . . . . . . . . . . . . . . . . . . . . . . . . . . . . . . . . . . . . . . . . . . . . . . . . . . . . . . . . . . . . . . . . . . . . . . . . . . . . . . . . . .  283</w:t>
        <w:br/>
        <w:t>3.11.5 Indicateur 11.b.1 . . . . . . . . . . . . . . . . . . . . . . . . . . . . . . . . . . . . . . . . . . . . . . . . . . . . . . . . . . . . . . . . . . . . . . . . . . . . . . . . . . .  286</w:t>
        <w:br/>
        <w:t>3.12 Objectif 12 . . . . . . . . . . . . . . . . . . . . . . . . . . . . . . . . . . . . . . . . . . . . . . . . . . . . . . . . . . . . . . . . . . . . . . . . . . . . . . . . . . . . . . . . . . . . . .  289</w:t>
        <w:br/>
        <w:t>3.12.1 Indicateur 12.2.2 . . . . . . . . . . . . . . . . . . . . . . . . . . . . . . . . . . . . . . . . . . . . . . . . . . . . . . . . . . . . . . . . . . . . . . . . . . . . . . . . . . .  290</w:t>
        <w:br/>
        <w:t>3.12.2 Indicateur 12.4.1 . . . . . . . . . . . . . . . . . . . . . . . . . . . . . . . . . . . . . . . . . . . . . . . . . . . . . . . . . . . . . . . . . . . . . . . . . . . . . . . . . . .  292</w:t>
        <w:br/>
        <w:t>3.13 Objectif 13 . . . . . . . . . . . . . . . . . . . . . . . . . . . . . . . . . . . . . . . . . . . . . . . . . . . . . . . . . . . . . . . . . . . . . . . . . . . . . . . . . . . . . . . . . . . . . .  295</w:t>
        <w:br/>
        <w:t>3.13.1 Indicateur 13.1.1 . . . . . . . . . . . . . . . . . . . . . . . . . . . . . . . . . . . . . . . . . . . . . . . . . . . . . . . . . . . . . . . . . . . . . . . . . . . . . . . . . . .  296</w:t>
        <w:br/>
        <w:t>3.13.2 Indicateur 13.1.2 . . . . . . . . . . . . . . . . . . . . . . . . . . . . . . . . . . . . . . . . . . . . . . . . . . . . . . . . . . . . . . . . . . . . . . . . . . . . . . . . . . .  298</w:t>
        <w:br/>
        <w:t>3.14 Objectif 14 . . . . . . . . . . . . . . . . . . . . . . . . . . . . . . . . . . . . . . . . . . . . . . . . . . . . . . . . . . . . . . . . . . . . . . . . . . . . . . . . . . . . . . . . . . . . . .  301</w:t>
        <w:br/>
        <w:t>3.14.1 Indicateur 14.4.1 . . . . . . . . . . . . . . . . . . . . . . . . . . . . . . . . . . . . . . . . . . . . . . . . . . . . . . . . . . . . . . . . . . . . . . . . . . . . . . . . . . .  302</w:t>
        <w:br/>
        <w:t>3.14.2 Indicateur 14.5.1 . . . . . . . . . . . . . . . . . . . . . . . . . . . . . . . . . . . . . . . . . . . . . . . . . . . . . . . . . . . . . . . . . . . . . . . . . . . . . . . . . . .  305</w:t>
        <w:br/>
        <w:t>3.15 Objectif 15 . . . . . . . . . . . . . . . . . . . . . . . . . . . . . . . . . . . . . . . . . . . . . . . . . . . . . . . . . . . . . . . . . . . . . . . . . . . . . . . . . . . . . . . . . . . . . .  309</w:t>
        <w:br/>
        <w:t>3.15.1 Indicateur 15.1.1 . . . . . . . . . . . . . . . . . . . . . . . . . . . . . . . . . . . . . . . . . . . . . . . . . . . . . . . . . . . . . . . . . . . . . . . . . . . . . . . . . . .  310</w:t>
        <w:br/>
        <w:t>3.15.2 Indicateur 15.2.1 . . . . . . . . . . . . . . . . . . . . . . . . . . . . . . . . . . . . . . . . . . . . . . . . . . . . . . . . . . . . . . . . . . . . . . . . . . . . . . . . . . .  312</w:t>
        <w:br/>
        <w:t>3.15.3 Indicateur 15.5.1 . . . . . . . . . . . . . . . . . . . . . . . . . . . . . . . . . . . . . . . . . . . . . . . . . . . . . . . . . . . . . . . . . . . . . . . . . . . . . . . . . . .  316</w:t>
        <w:br/>
        <w:t>3.15.4 Indicateur 15.6.1 . . . . . . . . . . . . . . . . . . . . . . . . . . . . . . . . . . . . . . . . . . . . . . . . . . . . . . . . . . . . . . . . . . . . . . . . . . . . . . . . . . .  320</w:t>
        <w:br/>
        <w:t>3.15.5 Indicateur 15.a.1 . . . . . . . . . . . . . . . . . . . . . . . . . . . . . . . . . . . . . . . . . . . . . . . . . . . . . . . . . . . . . . . . . . . . . . . . . . . . . . . . . . .  322</w:t>
        <w:br/>
        <w:t>3.15.6 Indicateur 15.b.1 . . . . . . . . . . . . . . . . . . . . . . . . . . . . . . . . . . . . . . . . . . . . . . . . . . . . . . . . . . . . . . . . . . . . . . . . . . . . . . . . . . .  324</w:t>
        <w:br/>
        <w:t>3.16 Objectif 16 . . . . . . . . . . . . . . . . . . . . . . . . . . . . . . . . . . . . . . . . . . . . . . . . . . . . . . . . . . . . . . . . . . . . . . . . . . . . . . . . . . . . . . . . . . . . . .  326</w:t>
        <w:br/>
        <w:t>3.16.1 Indicateur 16.2.1 . . . . . . . . . . . . . . . . . . . . . . . . . . . . . . . . . . . . . . . . . . . . . . . . . . . . . . . . . . . . . . . . . . . . . . . . . . . . . . . . . . .  327</w:t>
        <w:br/>
        <w:t>3.16.2 Indicateur 16.2.3 . . . . . . . . . . . . . . . . . . . . . . . . . . . . . . . . . . . . . . . . . . . . . . . . . . . . . . . . . . . . . . . . . . . . . . . . . . . . . . . . . . .  329</w:t>
        <w:br/>
        <w:t>3.16.3 Indicateur 16.8.1 . . . . . . . . . . . . . . . . . . . . . . . . . . . . . . . . . . . . . . . . . . . . . . . . . . . . . . . . . . . . . . . . . . . . . . . . . . . . . . . . . . .  332</w:t>
        <w:br/>
        <w:t>3.16.4 Indicateur 16.9.1 . . . . . . . . . . . . . . . . . . . . . . . . . . . . . . . . . . . . . . . . . . . . . . . . . . . . . . . . . . . . . . . . . . . . . . . . . . . . . . . . . . .  334</w:t>
        <w:br/>
        <w:t>3.16.5 Indicateur 16.a.1 . . . . . . . . . . . . . . . . . . . . . . . . . . . . . . . . . . . . . . . . . . . . . . . . . . . . . . . . . . . . . . . . . . . . . . . . . . . . . . . . . . .  336</w:t>
        <w:br/>
        <w:t>3.17 Objectif 17 . . . . . . . . . . . . . . . . . . . . . . . . . . . . . . . . . . . . . . . . . . . . . . . . . . . . . . . . . . . . . . . . . . . . . . . . . . . . . . . . . . . . . . . . . . . . . .  339</w:t>
        <w:br/>
        <w:t>3.17.1 Indicateur 17.1.1 . . . . . . . . . . . . . . . . . . . . . . . . . . . . . . . . . . . . . . . . . . . . . . . . . . . . . . . . . . . . . . . . . . . . . . . . . . . . . . . . . . .  340</w:t>
        <w:br/>
        <w:t>3.17.2 Indicateur 17.1.2 . . . . . . . . . . . . . . . . . . . . . . . . . . . . . . . . . . . . . . . . . . . . . . . . . . . . . . . . . . . . . . . . . . . . . . . . . . . . . . . . . . .  344</w:t>
        <w:br/>
        <w:t>3.17.3 Indicateur 17.2.1 . . . . . . . . . . . . . . . . . . . . . . . . . . . . . . . . . . . . . . . . . . . . . . . . . . . . . . . . . . . . . . . . . . . . . . . . . . . . . . . . . . .  346</w:t>
        <w:br/>
        <w:t>3.17.4 Indicateur 17.6.1 . . . . . . . . . . . . . . . . . . . . . . . . . . . . . . . . . . . . . . . . . . . . . . . . . . . . . . . . . . . . . . . . . . . . . . . . . . . . . . . . . . .  348</w:t>
        <w:br/>
        <w:t>3.17.5 Indicateur 17.8.1 . . . . . . . . . . . . . . . . . . . . . . . . . . . . . . . . . . . . . . . . . . . . . . . . . . . . . . . . . . . . . . . . . . . . . . . . . . . . . . . . . . .  350</w:t>
        <w:br/>
        <w:t>3.17.6 Indicateur 17.15.1 . . . . . . . . . . . . . . . . . . . . . . . . . . . . . . . . . . . . . . . . . . . . . . . . . . . . . . . . . . . . . . . . . . . . . . . . . . . . . . . . . .  353</w:t>
        <w:br/>
        <w:t>3.17.7 Indicateur 17.16.1 . . . . . . . . . . . . . . . . . . . . . . . . . . . . . . . . . . . . . . . . . . . . . . . . . . . . . . . . . . . . . . . . . . . . . . . . . . . . . . . . . .  356</w:t>
        <w:br/>
        <w:t>3.17.8 Indicateur 17.18.3 . . . . . . . . . . . . . . . . . . . . . . . . . . . . . . . . . . . . . . . . . . . . . . . . . . . . . . . . . . . . . . . . . . . . . . . . . . . . . . . . . .  359</w:t>
        <w:br/>
        <w:t>3.17.9 Indicateur 17.19.1 . . . . . . . . . . . . . . . . . . . . . . . . . . . . . . . . . . . . . . . . . . . . . . . . . . . . . . . . . . . . . . . . . . . . . . . . . . . . . . . . . .  361</w:t>
      </w:r>
    </w:p>
    <w:p>
      <w:pPr>
        <w:pStyle w:val="Heading2"/>
      </w:pPr>
      <w:r>
        <w:t>Page 3</w:t>
      </w:r>
    </w:p>
    <w:p>
      <w:r>
        <w:t>Texte d'en-tête</w:t>
        <w:br/>
        <w:t>Texte de pied de page</w:t>
        <w:br/>
        <w:t>Modèle d'indicateur</w:t>
        <w:br/>
        <w:t>Page d'accueil du manuel électronique</w:t>
        <w:br/>
        <w:t xml:space="preserve"> </w:t>
        <w:br/>
        <w:t>Nom de l’indicateur, cible et objectif</w:t>
        <w:br/>
        <w:t>Définition et justification</w:t>
        <w:br/>
        <w:t>Sources de données et méthode de collecte</w:t>
        <w:br/>
        <w:t>Méthode de calcul et autres considérations méthodologiques</w:t>
        <w:br/>
        <w:t>Désagrégation des données</w:t>
        <w:br/>
        <w:t>Références</w:t>
        <w:br/>
        <w:t>Organisation(s) internationale(s) de surveillance mondiale</w:t>
        <w:br/>
        <w:t>Contenu</w:t>
        <w:br/>
        <w:t>Nom de l’indicateur, cible et objectif</w:t>
        <w:br/>
        <w:t>Définition et justification</w:t>
        <w:br/>
        <w:t>Sources de données et méthode de collecte</w:t>
        <w:br/>
        <w:t>Méthode de calcul et autres considérations méthodologiques</w:t>
        <w:br/>
        <w:t>Désagrégation des données</w:t>
        <w:br/>
        <w:t>Références</w:t>
        <w:br/>
        <w:t>Organisation(s) internationale(s) de surveillance mondiale</w:t>
        <w:br/>
        <w:t xml:space="preserve"> Indicateur x.x.x :</w:t>
        <w:br/>
        <w:t>Cible x.x :</w:t>
        <w:br/>
        <w:t>Objectif x :</w:t>
      </w:r>
    </w:p>
    <w:p>
      <w:pPr>
        <w:pStyle w:val="Heading2"/>
      </w:pPr>
      <w:r>
        <w:t>Page 4</w:t>
      </w:r>
    </w:p>
    <w:p>
      <w:r>
        <w:t>Texte d'en-tête</w:t>
        <w:br/>
        <w:t>Texte de pied de page</w:t>
        <w:br/>
        <w:t>Page de navigation</w:t>
        <w:br/>
        <w:t xml:space="preserve"> </w:t>
        <w:br/>
        <w:t xml:space="preserve"> </w:t>
        <w:br/>
        <w:t xml:space="preserve"> Page d'accueil du manuel électronique</w:t>
      </w:r>
    </w:p>
    <w:p>
      <w:pPr>
        <w:pStyle w:val="Heading2"/>
      </w:pPr>
      <w:r>
        <w:t>Page 5</w:t>
      </w:r>
    </w:p>
    <w:p>
      <w:r>
        <w:t>Texte d'en-tête</w:t>
        <w:br/>
        <w:t>Texte de pied de page</w:t>
        <w:br/>
        <w:t>Accueil</w:t>
        <w:br/>
        <w:t>Bienvenue sur la page du Manuel électronique sur les indicateurs des objectifs de développement durable</w:t>
        <w:br/>
        <w:t xml:space="preserve">Le Programme de développement durable à l’horizon 2030 « encourage les membres </w:t>
        <w:br/>
        <w:t xml:space="preserve">les États doivent procéder à des examens réguliers et inclusifs des progrès réalisés au niveau </w:t>
        <w:br/>
        <w:t>niveaux national et infranational qui sont dirigés par le pays et dirigés par le pays.</w:t>
        <w:br/>
        <w:t xml:space="preserve">conduit ». </w:t>
        <w:br/>
        <w:t xml:space="preserve">Ce manuel s'adresse aux statisticiens nationaux pour leur permettre </w:t>
        <w:br/>
        <w:t xml:space="preserve">suivre les progrès réalisés dans la mise en œuvre du </w:t>
        <w:br/>
        <w:t xml:space="preserve">Objectifs de développement basés sur les données produites par les statistiques nationales </w:t>
        <w:br/>
        <w:t>.systèmes</w:t>
        <w:br/>
        <w:t xml:space="preserve">Il répond au besoin croissant d'informations ciblées sur </w:t>
        <w:br/>
        <w:t xml:space="preserve"> collecter, calculer et suivre les ODD en utilisant des statisticiens nationaux</w:t>
        <w:br/>
        <w:t xml:space="preserve">données produites par les systèmes statistiques nationaux. Nous espérons que ce sera un </w:t>
        <w:br/>
        <w:t xml:space="preserve">référence complète mais simple qui se concentre sur les principaux </w:t>
        <w:br/>
        <w:t xml:space="preserve">aspects - tels que les concepts, la définition, les sources, les calculs - qui sont </w:t>
        <w:br/>
        <w:t xml:space="preserve">indispensable à la mesure des indicateurs. Il fournit également des liens supplémentaires et </w:t>
        <w:br/>
        <w:t xml:space="preserve">des références à des informations plus détaillées, afin que les statisticiens nationaux </w:t>
        <w:br/>
        <w:t>capable d'approfondir des références détaillées en cas de besoin.</w:t>
        <w:br/>
        <w:t xml:space="preserve">Compte tenu du travail continu sur l'amélioration des indicateurs, ce manuel électronique </w:t>
        <w:br/>
        <w:t>sera conservé comme  pour être mis à jour au fur et à mesure des besoins dans le document évolutif</w:t>
        <w:br/>
        <w:t xml:space="preserve">ce wiki. </w:t>
        <w:br/>
        <w:t xml:space="preserve">Ce manuel a été préparé par la Division de statistique des Nations Unies </w:t>
        <w:br/>
        <w:t xml:space="preserve">(UNSD) en collaboration avec les agences dépositaires de chaque </w:t>
        <w:br/>
        <w:t xml:space="preserve">indicateurs. Pour les objectifs/indicateurs qui n’ont pas encore de chapitre ici, ils </w:t>
        <w:br/>
        <w:t xml:space="preserve">sont actuellement en préparation et seront mis en ligne ici dès que </w:t>
        <w:br/>
        <w:t xml:space="preserve">ils deviennent disponibles. </w:t>
        <w:br/>
        <w:t xml:space="preserve">*Le manuel est également disponible en téléchargement sous forme de fichier PDF. À </w:t>
        <w:br/>
        <w:t>télécharger, veuillez cliquer ici*</w:t>
        <w:br/>
        <w:t xml:space="preserve">Si vous avez des questions sur le manuel, veuillez contacter M. Yuxi. </w:t>
        <w:br/>
        <w:t>Zhang ( ) avec copie à M. Ze Yar Min ( ). yuxi.zhang@un.org min@un.org</w:t>
        <w:br/>
        <w:t>Recherchez le manuel électronique :</w:t>
      </w:r>
    </w:p>
    <w:p>
      <w:pPr>
        <w:pStyle w:val="Heading2"/>
      </w:pPr>
      <w:r>
        <w:t>Page 6</w:t>
      </w:r>
    </w:p>
    <w:p>
      <w:r>
        <w:t>Texte d'en-tête</w:t>
        <w:br/>
        <w:t>Texte de pied de page</w:t>
        <w:br/>
        <w:t>Objectif 1</w:t>
        <w:br/>
        <w:t>Mettre fin à la pauvreté sous toutes ses formes partout dans le monde</w:t>
        <w:br/>
        <w:t xml:space="preserve"> Page d'accueil du manuel électronique</w:t>
        <w:br/>
        <w:t>Dans cet objectif :</w:t>
        <w:br/>
        <w:t xml:space="preserve">La Division de statistique des Nations Unies (DSNU) a travaillé en consultation avec l'agence(s) dépositaire(s) de chaque indicateur pour préparer ces chapitres. Pour </w:t>
        <w:br/>
        <w:t>les indicateurs qui n’ont pas encore de chapitre ici, sont en cours de préparation et seront téléchargés ici dès qu’ils seront disponibles.</w:t>
        <w:br/>
        <w:t>Si vous avez des questions sur le manuel électronique, n'hésitez pas à contacter M. Yuxi Zhang (yuxi.zhang@un.org) avec copie à M. Ze Yar Min (min@</w:t>
        <w:br/>
        <w:t>.un.org)</w:t>
      </w:r>
    </w:p>
    <w:p>
      <w:pPr>
        <w:pStyle w:val="Heading2"/>
      </w:pPr>
      <w:r>
        <w:t>Page 7</w:t>
      </w:r>
    </w:p>
    <w:p>
      <w:r>
        <w:t>Texte d'en-tête</w:t>
        <w:br/>
        <w:t>Texte de pied de page</w:t>
        <w:br/>
        <w:t>Indicateur 1.1.1</w:t>
        <w:br/>
        <w:t>Page d'accueil du manuel électronique</w:t>
        <w:br/>
        <w:t>Nom de l’indicateur, cible et objectif</w:t>
        <w:br/>
        <w:t>Définition et justification</w:t>
        <w:br/>
        <w:t>Sources de données et méthode de collecte</w:t>
        <w:br/>
        <w:t>Contenu</w:t>
        <w:br/>
        <w:t>Nom de l’indicateur, cible et objectif</w:t>
        <w:br/>
        <w:t>Définition et justification</w:t>
        <w:br/>
        <w:t>Sources de données et méthode de collecte</w:t>
        <w:br/>
        <w:t>Méthode de calcul et autres considérations méthodologiques</w:t>
        <w:br/>
        <w:t>Désagrégation des données</w:t>
        <w:br/>
        <w:t>Références</w:t>
        <w:br/>
        <w:t>Organisation(s) internationale(s) de surveillance mondiale</w:t>
        <w:br/>
        <w:t xml:space="preserve"> Indicateur 1.1.1 : Proportion de la population vivant en dessous du seuil international de pauvreté, par sexe, âge, situation professionnelle et situation géographique </w:t>
        <w:br/>
        <w:t>(urbain/rural)</w:t>
        <w:br/>
        <w:t>Cible 1.1 : D’ici 2030, éradiquer l’extrême pauvreté pour tous, partout dans le monde, actuellement mesurée par le nombre de personnes vivant avec moins de 1,25 dollar par jour.[1]</w:t>
        <w:br/>
        <w:t xml:space="preserve">Mettre fin à la pauvreté sous toutes ses formes partout dans le mondeObjectif 1 : </w:t>
        <w:br/>
        <w:t>[1] Le seuil international de pauvreté a été mis à jour à 1,90 $ par jour en octobre 2015.</w:t>
        <w:br/>
        <w:t>Définition :</w:t>
        <w:br/>
        <w:t xml:space="preserve">L'indicateur est défini comme la proportion de la population vivant dans des ménages situés en dessous du seuil de pauvreté international où le revenu quotidien moyen </w:t>
        <w:br/>
        <w:t xml:space="preserve">la consommation (ou le revenu) par personne est inférieur à 1,9 dollar par jour, mesuré aux prix internationaux de 2011 ajustés en fonction de la parité de pouvoir d'achat (PPA) . </w:t>
        <w:br/>
        <w:t>Concepts :</w:t>
        <w:br/>
        <w:t>Il s'agit d'un seuil utilisé pour mesurer l'extrême pauvreté en fonction des niveaux de consommation ou de revenu. Une personne est considérée comme le seuil de pauvreté international</w:t>
        <w:br/>
        <w:t xml:space="preserve">extrêmement pauvre si son niveau de consommation ou de revenu tombe en dessous du niveau minimum nécessaire pour satisfaire ses besoins fondamentaux. Pour cet indicateur, la ligne </w:t>
        <w:br/>
        <w:t xml:space="preserve">est fixé à 1,90 $ (PPA 2011). Il remplace le seuil de pauvreté de 1,25 dollar par jour mesuré aux prix de 2005 depuis octobre 2015. </w:t>
        <w:br/>
        <w:t xml:space="preserve">Le facteur de conversion de la parité de pouvoir d'achat (PPA) est le nombre d'unités de la monnaie d'un pays nécessaire pour acheter la même quantité de biens. </w:t>
        <w:br/>
        <w:t xml:space="preserve">et des services sur le marché intérieur comme un dollar des États-Unis permettrait d'acheter aux États-Unis. Il est basé sur le Système de Comptabilité Nationale. </w:t>
        <w:br/>
        <w:t xml:space="preserve">notion de consommation individuelle réelle. </w:t>
        <w:br/>
        <w:t>La proportion de la population vivant en dessous du seuil de pauvreté est également connue sous le nom d'indice de pauvreté ou incidence de la pauvreté ou taux de pauvreté.</w:t>
        <w:br/>
        <w:t xml:space="preserve">). </w:t>
        <w:br/>
        <w:t xml:space="preserve">Les ménages en situation de pauvreté sont les ménages dont le revenu disponible ou les dépenses de consommation sont inférieurs au seuil de pauvreté, compte tenu </w:t>
        <w:br/>
        <w:t xml:space="preserve">le nombre de membres du ménage et sa composition (par exemple, nombre d'adultes et d'enfants). </w:t>
        <w:br/>
        <w:t>Justification et interprétation :</w:t>
        <w:br/>
        <w:t xml:space="preserve">Le seuil de pauvreté de 1,90 $ par jour ou seuil critique, en dessous duquel un individu est considéré comme extrêmement pauvre, permet de comparer </w:t>
        <w:br/>
        <w:t xml:space="preserve">et en regroupant les progrès réalisés dans tous les pays en matière de réduction du nombre de personnes vivant dans l'extrême pauvreté et de suivi des tendances à l'échelle mondiale. </w:t>
        <w:br/>
        <w:t xml:space="preserve">niveau. En outre, les mesures de pauvreté basées sur un seuil de pauvreté international tentent de maintenir constante la valeur réelle du seuil de pauvreté dans le temps. </w:t>
        <w:br/>
        <w:t xml:space="preserve">permettant d’évaluer avec précision les progrès accomplis vers la réalisation de l’objectif d’éradication de l’extrême pauvreté et de la faim. </w:t>
        <w:br/>
        <w:t xml:space="preserve">L'indicateur est produit à l'échelle mondiale à partir de données microéconomiques sur les revenus des ménages ou les dépenses de consommation provenant de sources représentatives à l'échelle nationale. </w:t>
        <w:br/>
        <w:t xml:space="preserve">enquêtes auprès des ménages, qui sont communiquées au groupe de recherche sur le développement de la Banque mondiale et/ou à l’OIT (pour les travailleurs pauvres). Uniquement au niveau national </w:t>
        <w:br/>
        <w:t xml:space="preserve">des enquêtes représentatives qui contiennent suffisamment d'informations pour produire un agrégat complet de consommation ou de revenu (y compris la consommation </w:t>
        <w:br/>
        <w:t xml:space="preserve">ou revenus de production propre) et permettent de construire une répartition correctement pondérée de la consommation ou du revenu par habitant. </w:t>
        <w:br/>
        <w:t xml:space="preserve">Des exemples d'enquêtes comprennent les enquêtes sur les revenus et les dépenses des ménages (HIES), les enquêtes sur la mesure du niveau de vie (LSMS) avec </w:t>
        <w:br/>
        <w:t xml:space="preserve">des modules sur l’emploi ou des enquêtes sur la population active (EPA) qui collectent des informations sur le revenu des ménages. De telles enquêtes offrent également l'avantage de permettre </w:t>
        <w:br/>
        <w:t xml:space="preserve">les variables de statut d'emploi et de revenu (ou de dépenses de consommation) doivent être dérivées des mêmes ménages échantillonnés, idéalement pour le même </w:t>
        <w:br/>
        <w:t>longue période d'observation.</w:t>
      </w:r>
    </w:p>
    <w:p>
      <w:pPr>
        <w:pStyle w:val="Heading2"/>
      </w:pPr>
      <w:r>
        <w:t>Page 8</w:t>
      </w:r>
    </w:p>
    <w:p>
      <w:r>
        <w:t>Texte d'en-tête</w:t>
        <w:br/>
        <w:t>Texte de pied de page</w:t>
        <w:br/>
        <w:t>Méthode de calcul et autres considérations méthodologiques</w:t>
        <w:br/>
        <w:t>Désagrégation des données</w:t>
        <w:br/>
        <w:t>Références</w:t>
        <w:br/>
        <w:t>Méthode de calcul :</w:t>
        <w:br/>
        <w:t xml:space="preserve">La formule de calcul de cet indicateur est la suivante : </w:t>
        <w:br/>
        <w:t xml:space="preserve"> </w:t>
        <w:br/>
        <w:t>où représente l'indice d'effectif, est une fonction indicatrice qui prend la valeur 1 si l'expression entre parenthèses est vraie, et 0 P0 I()</w:t>
        <w:br/>
        <w:t xml:space="preserve">sinon. Si la consommation ou le revenu individuel est inférieur au seuil de pauvreté international, alors est égal à 1 et l'individu est compté (y )i (z) I() </w:t>
        <w:br/>
        <w:t xml:space="preserve">aussi pauvre.  est le nombre total de pauvres et est la population totale.Np N  </w:t>
        <w:br/>
        <w:t xml:space="preserve">Le seuil d’extrême pauvreté actuel est fixé à 1,90 dollars par jour en PPA de 2011. Le seuil de pauvreté international maintient le même niveau pour les situations extrêmes. </w:t>
        <w:br/>
        <w:t xml:space="preserve">pauvreté - le seuil de pauvreté typique des pays les plus pauvres du monde - mais le met à jour en utilisant les dernières informations sur le coût de la vie. </w:t>
        <w:br/>
        <w:t xml:space="preserve">Le pourcentage de la population vivant en dessous du seuil de pauvreté international est calculé à partir de données de consommation ou de revenus, recueillies auprès de </w:t>
        <w:br/>
        <w:t xml:space="preserve">enquêtes auprès des ménages représentatives au niveau national. La consommation est préférée au revenu pour mesurer la pauvreté, car le revenu est plus difficile à évaluer. </w:t>
        <w:br/>
        <w:t xml:space="preserve">mesurer avec précision et peut varier dans le temps même si le niveau de vie ne varie pas. Cependant, en pratique, les deux méthodes donnent des résultats similaires. </w:t>
        <w:br/>
        <w:t xml:space="preserve">La consommation, y compris la consommation issue de la propre production (ou les revenus lorsque la consommation n'est pas disponible), est calculée pour l'ensemble du ménage. </w:t>
        <w:br/>
        <w:t xml:space="preserve">puis divisé par le nombre de personnes vivant dans le ménage pour obtenir une mesure par habitant.  Les ménages sont ensuite classés selon soit </w:t>
        <w:br/>
        <w:t xml:space="preserve">consommation (ou revenu) par personne et comparée au seuil de pauvreté pour déterminer le nombre de personnes vivant au-dessus et en dessous du seuil de pauvreté </w:t>
        <w:br/>
        <w:t>ligne.</w:t>
        <w:br/>
        <w:t xml:space="preserve"> Les répartitions des échantillons de personnes pauvres sont pondérées par la taille du ménage et les facteurs d'expansion de l'échantillon afin qu'elles soient représentatives de la population. </w:t>
        <w:br/>
        <w:t xml:space="preserve">population de chaque pays. Cela génère une estimation du nombre de personnes vivant dans des ménages ayant des niveaux de consommation par habitant ou </w:t>
        <w:br/>
        <w:t xml:space="preserve">revenus inférieurs au seuil de pauvreté. Le nombre total de personnes vivant en dessous du seuil de pauvreté est divisé par la population totale pour estimer la proportion de </w:t>
        <w:br/>
        <w:t xml:space="preserve">population extrêmement pauvre. Ce nombre est multiplié par 100 pour obtenir un pourcentage. </w:t>
        <w:br/>
        <w:t>Commentaires et limites :</w:t>
        <w:br/>
        <w:t xml:space="preserve">En effectuant des comparaisons internationales des estimations de la pauvreté, il faut résoudre des problèmes conceptuels et pratiques. Les problèmes potentiels incluent le </w:t>
        <w:br/>
        <w:t>suivant :</w:t>
        <w:br/>
        <w:t xml:space="preserve">Les lignes comparables au niveau international sont utiles pour produire des agrégats mondiaux de pauvreté. Toutefois, une telle ligne universelle n’est généralement pas </w:t>
        <w:br/>
        <w:t xml:space="preserve">adapté à l’analyse de la pauvreté dans un pays. À cette fin, un seuil de pauvreté spécifique au pays doit être construit </w:t>
        <w:br/>
        <w:t>reflète la situation économique et sociale du pays et est ajusté à différents endroits tels que les zones rurales et urbaines.</w:t>
        <w:br/>
        <w:t xml:space="preserve">La fiabilité des estimations de la pauvreté utilisant le seuil de pauvreté international est fortement influencée par les données de PPA sous-jacentes, les données nationales. </w:t>
        <w:br/>
        <w:t xml:space="preserve">indices des prix à la consommation et leurs délais de production. Par conséquent, la comparaison entre les pays peut ne pas être précise en termes de besoins. </w:t>
        <w:br/>
        <w:t>privation.</w:t>
        <w:br/>
        <w:t xml:space="preserve">Les différences dans l’importance relative de la consommation de biens non marchands peuvent affecter les estimations du taux de pauvreté. La valeur marchande locale de </w:t>
        <w:br/>
        <w:t xml:space="preserve">toute consommation en nature (y compris la production propre) doit être incluse dans les dépenses de consommation totales. De même, le bénéfice imputé du </w:t>
        <w:br/>
        <w:t>la production de biens non marchands doit être incluse dans le revenu.</w:t>
        <w:br/>
        <w:t xml:space="preserve">Cet indicateur mesure la pauvreté sur la base du revenu/consommation par habitant des ménages, ignorant les inégalités au sein des ménages dans le </w:t>
        <w:br/>
        <w:t xml:space="preserve">distribution des ressources, et ne prend pas en compte d’autres dimensions de la pauvreté telles que la vulnérabilité, le sentiment des gens à l’égard de la pauvreté. </w:t>
        <w:br/>
        <w:t xml:space="preserve">la privation relative et le manque de voix et de pouvoir des pauvres. </w:t>
        <w:br/>
        <w:t>Indicateurs proxy, alternatifs et supplémentaires : N/A</w:t>
        <w:br/>
        <w:t xml:space="preserve">Les enquêtes privilégiées auprès des ménages devraient contenir des variables permettant d'identifier à la fois le statut de pauvreté des ménages et de fournir des informations sur la situation. </w:t>
        <w:br/>
        <w:t xml:space="preserve">activité économique des membres du ménage, qui w Cela permettrait une ventilation plus poussée de cet indicateur par sexe, âge, situation professionnelle et </w:t>
        <w:br/>
        <w:t xml:space="preserve">situation géographique (urbaine/rurale). </w:t>
        <w:br/>
        <w:t>Ventilation par emploi</w:t>
        <w:br/>
        <w:t xml:space="preserve">Les travailleurs pauvres sont des personnes employées vivant dans des ménages classés comme pauvres, c'est-à-dire qui ont un revenu (ou une consommation) par habitant. </w:t>
        <w:br/>
        <w:t xml:space="preserve">niveaux inférieurs au seuil de pauvreté utilisé pour la mesure. </w:t>
        <w:br/>
        <w:t xml:space="preserve">La proportion de travailleurs pauvres est calculée en divisant le nombre de personnes occupées vivant dans des ménages inférieurs au seuil de pauvreté international. </w:t>
        <w:br/>
        <w:t xml:space="preserve">ligne (ventilée par sexe, âge et situation géographique) par le nombre total de personnes occupées (ventilée par sexe, âge et situation géographique) </w:t>
        <w:br/>
        <w:t>situation géographique).</w:t>
      </w:r>
    </w:p>
    <w:p>
      <w:pPr>
        <w:pStyle w:val="Heading2"/>
      </w:pPr>
      <w:r>
        <w:t>Page 9</w:t>
      </w:r>
    </w:p>
    <w:p>
      <w:r>
        <w:t>Texte d'en-tête</w:t>
        <w:br/>
        <w:t>Texte de pied de page</w:t>
        <w:br/>
        <w:t>Organisation(s) internationale(s) de surveillance mondiale</w:t>
        <w:br/>
        <w:t>URL officielle des métadonnées ODD</w:t>
        <w:br/>
        <w:t>Banque mondiale - https://unstats.un.org/sdgs/metadata/files/Metadata-01-01-01a.pdf</w:t>
        <w:br/>
        <w:t xml:space="preserve">OIT - https://unstats.un.org/sdgs/metadata/files/Metadata-01-01-01b.pdf </w:t>
        <w:br/>
        <w:t>Méthodologie reconnue au niveau international et URL des lignes directrices</w:t>
        <w:br/>
        <w:t>Banque mondiale.  Washington, DC. Site Internet Outil d'analyse de la pauvreté en ligne Povcalnet. http://iresearch.worldbank.org/PovcalNet/povOnDemand.</w:t>
        <w:br/>
        <w:t xml:space="preserve">  aspx</w:t>
        <w:br/>
        <w:t xml:space="preserve">Banque mondiale (2015). Washington Une approche mesurée pour mettre fin à la pauvreté et stimuler une prospérité partagée : concepts, données et objectifs jumeaux. </w:t>
        <w:br/>
        <w:t>DC.  https://openknowledge.worldbank.org/bitstream/handle/10986/20384/9781464803611.pdf</w:t>
        <w:br/>
        <w:t>Autres références :</w:t>
        <w:br/>
        <w:t xml:space="preserve">http://documents.worldbank.org/curated/en/2015/10/25114899/global-count-extremepoor-2012-data-issues-methodology-initial-results </w:t>
        <w:br/>
        <w:t xml:space="preserve">Organisation internationale du Travail (2013). Indicateurs du travail décent : lignes directrices à l'intention des producteurs et des utilisateurs du cadre statistique et juridique </w:t>
        <w:br/>
        <w:t>Disponible à partir de : Indicateurs. http://www.ilo.org/wcmsp5/groups/public/—dgreports/—stat/documents/publication/wcms_223121.pdf</w:t>
        <w:br/>
        <w:t>Organisation internationale du travail. . Site Internet Indicateurs clés du marché du travail (KILM), 9e édition www.ilo.org/ilostat/kilm</w:t>
        <w:br/>
        <w:t>Exemples de pays</w:t>
        <w:br/>
        <w:t>N/D</w:t>
        <w:br/>
        <w:t>Ce document a été préparé sur la base des contributions de la Banque mondiale.</w:t>
        <w:br/>
        <w:t>Pour obtenir des informations sur les points focaux pour cet indicateur, veuillez visiter https://unstats.un.org/sdgs/dataContacts/</w:t>
      </w:r>
    </w:p>
    <w:p>
      <w:pPr>
        <w:pStyle w:val="Heading2"/>
      </w:pPr>
      <w:r>
        <w:t>Page 10</w:t>
      </w:r>
    </w:p>
    <w:p>
      <w:r>
        <w:t>Texte d'en-tête</w:t>
        <w:br/>
        <w:t>Texte de pied de page</w:t>
        <w:br/>
        <w:t>Indicateur 1.3.1</w:t>
        <w:br/>
        <w:t>Page d'accueil du manuel électronique</w:t>
        <w:br/>
        <w:t>Nom de l’indicateur, cible et objectif</w:t>
        <w:br/>
        <w:t>Définition et justification</w:t>
        <w:br/>
        <w:t>Sources de données et méthode de collecte</w:t>
        <w:br/>
        <w:t>Contenu</w:t>
        <w:br/>
        <w:t>Nom de l’indicateur, cible et objectif</w:t>
        <w:br/>
        <w:t>Définition et justification</w:t>
        <w:br/>
        <w:t>Sources de données et méthode de collecte</w:t>
        <w:br/>
        <w:t>Méthode de calcul et autres considérations méthodologiques</w:t>
        <w:br/>
        <w:t>Désagrégation des données</w:t>
        <w:br/>
        <w:t>Références</w:t>
        <w:br/>
        <w:t>Organisation(s) internationale(s) de surveillance mondiale</w:t>
        <w:br/>
        <w:t xml:space="preserve"> Indicateur 1.3.1 : Proportion de la population couverte par des socles/systèmes de protection sociale, par sexe, en distinguant les enfants, les chômeurs et les personnes âgées. </w:t>
        <w:br/>
        <w:t>les personnes handicapées, les femmes enceintes, les nouveau-nés, les victimes d'accidents du travail et les pauvres et les personnes vulnérables</w:t>
        <w:br/>
        <w:t xml:space="preserve">Cible 1.3 : Mettre en œuvre des systèmes et des mesures de protection sociale adaptés au niveau national pour tous, y compris des socles de protection sociale, et d’ici 2030 atteindre des niveaux substantiels de protection sociale. </w:t>
        <w:br/>
        <w:t>couverture des pauvres et des personnes vulnérables</w:t>
        <w:br/>
        <w:t>Objectif 1 : Mettre fin à la pauvreté sous toutes ses formes, partout dans le monde</w:t>
        <w:br/>
        <w:t>Définition :</w:t>
        <w:br/>
        <w:t xml:space="preserve">L'indicateur mesure la proportion de personnes effectivement couvertes par un système de protection sociale. Il comprend les principaux composants de </w:t>
        <w:br/>
        <w:t xml:space="preserve">protection sociale : allocations familiales et de maternité, soutien aux personnes sans emploi, allocations aux personnes handicapées, victimes d'accidents du travail et </w:t>
        <w:br/>
        <w:t xml:space="preserve">personnes âgées. </w:t>
        <w:br/>
        <w:t>Concepts :</w:t>
        <w:br/>
        <w:t xml:space="preserve">Les systèmes de protection sociale comprennent des régimes contributifs et non contributifs pour les enfants, les femmes enceintes et les femmes avec des nouveau-nés, </w:t>
        <w:br/>
        <w:t>chômeurs, personnes âgées, victimes d'accidents du travail et personnes handicapées.</w:t>
        <w:br/>
        <w:t xml:space="preserve">La couverture effective comprend à la fois le nombre de personnes qui cotisent activement à un régime d'assurance sociale ou qui perçoivent des prestations. </w:t>
        <w:br/>
        <w:t xml:space="preserve">(contributif ou non). </w:t>
        <w:br/>
        <w:t>Justification et interprétation :</w:t>
        <w:br/>
        <w:t xml:space="preserve">La protection sociale, ou sécurité sociale, est définie comme l'ensemble des politiques et programmes conçus pour réduire et prévenir la pauvreté et la vulnérabilité. </w:t>
        <w:br/>
        <w:t xml:space="preserve">tout au long du cycle de vie. La protection sociale comprend les allocations familiales et familiales, la protection de la maternité, l'aide au chômage et les accidents du travail. </w:t>
        <w:br/>
        <w:t xml:space="preserve">prestations sociales, indemnités de maladie, pensions d'invalidité et de vieillesse. Les systèmes de protection sociale abordent tous ces domaines politiques par une combinaison de contributions </w:t>
        <w:br/>
        <w:t xml:space="preserve">(assurance sociale) et des prestations non contributives financées par l'impôt, y compris l'assistance sociale. </w:t>
        <w:br/>
        <w:t xml:space="preserve">Les systèmes de protection sociale aident les individus et les familles, en particulier les pauvres et les vulnérables, à faire face aux crises et aux chocs, à trouver un emploi, à améliorer leur situation. </w:t>
        <w:br/>
        <w:t xml:space="preserve">productivité, investir dans la santé et l’éducation de leurs enfants et protéger la population vieillissante. Les systèmes de protection sociale comprennent des cotisations </w:t>
        <w:br/>
        <w:t xml:space="preserve">et les régimes non contributifs pour les enfants, les femmes enceintes avec un nouveau-né, les personnes en âge de travailler, les personnes âgées, les victimes d'accidents du travail et </w:t>
        <w:br/>
        <w:t xml:space="preserve">personnes handicapées. </w:t>
        <w:br/>
        <w:t xml:space="preserve">L’accès à au moins un niveau de protection sociale de base tout au long du cycle de vie est un droit humain. Les socles de protection sociale définis au niveau national sont </w:t>
        <w:br/>
        <w:t xml:space="preserve">créé pour garantir à tous des conditions de vie décentes. La proportion de la population couverte par des socles ou des systèmes de protection sociale </w:t>
        <w:br/>
        <w:t xml:space="preserve">donne une indication de la mesure dans laquelle un pays a fourni cette protection sociale et, par conséquent, du degré de sécurité de vie de la population. </w:t>
        <w:br/>
        <w:t>conditions.</w:t>
        <w:br/>
        <w:t xml:space="preserve">La principale source de données pour le calcul de cet indicateur provient des ensembles de données administratives gérés par les ministères nationaux du Travail, </w:t>
        <w:br/>
        <w:t xml:space="preserve">développement social, protection sociale, finances, institutions de sécurité sociale et autres. Les institutions peuvent demander conseil à l'enquête de la sécurité sociale. </w:t>
        <w:br/>
        <w:t>manuel en ligne, qui présente les définitions et les concepts qui doivent être utilisés pour surveiller chaque composante de l'indicateur. Supplémentaire [1]</w:t>
        <w:br/>
        <w:t>des informations et des pratiques nationales peuvent être obtenues dans le Rapport mondial sur la protection sociale 2017/2019[2]</w:t>
        <w:br/>
        <w:t>[1] Les questions sur l'enquête sur la sécurité sociale, les définitions et les concepts peuvent être adressées à : socprodata@ilo.org</w:t>
        <w:br/>
        <w:t>[2] http://www.ilo.org/global/research/global-reports/world-social-security-report/2017-19/lang--en/index.htm</w:t>
      </w:r>
    </w:p>
    <w:p>
      <w:pPr>
        <w:pStyle w:val="Heading2"/>
      </w:pPr>
      <w:r>
        <w:t>Page 11</w:t>
      </w:r>
    </w:p>
    <w:p>
      <w:r>
        <w:t>Texte d'en-tête</w:t>
        <w:br/>
        <w:t>Texte de pied de page</w:t>
        <w:br/>
        <w:t>Méthode de calcul et autres considérations méthodologiques</w:t>
        <w:br/>
        <w:t>Désagrégation des données</w:t>
        <w:br/>
        <w:t>Références</w:t>
        <w:br/>
        <w:t>Méthode de calcul :</w:t>
        <w:br/>
        <w:t xml:space="preserve">La proportion de la population couverte par les systèmes de protection sociale est calculée séparément pour chaque groupe afin de distinguer la couverture effective pour </w:t>
        <w:br/>
        <w:t xml:space="preserve">les enfants, les chômeurs, les personnes âgées et les personnes handicapées, les femmes avec des nouveau-nés, les travailleurs protégés en cas d'accident du travail, et </w:t>
        <w:br/>
        <w:t xml:space="preserve">les pauvres et les vulnérables. Pour chaque sous-groupe, la couverture est exprimée en proportion de la population de référence respective. Voir les données </w:t>
        <w:br/>
        <w:t xml:space="preserve"> Désagrégation pour plus d’informations.</w:t>
        <w:br/>
        <w:t>La proportion de la population couverte par les systèmes de protection sociale (par sous-groupe) est calculée à l'aide de la formule suivante :</w:t>
        <w:br/>
        <w:t xml:space="preserve">    </w:t>
        <w:br/>
        <w:t xml:space="preserve">Par exemple, proportion de personnes âgées percevant une pension : rapport entre les personnes ayant dépassé l'âge légal de la retraite et percevant une pension de vieillesse, </w:t>
        <w:br/>
        <w:t xml:space="preserve">le nombre de personnes ayant dépassé l'âge légal de la retraite. </w:t>
        <w:br/>
        <w:t>L'indicateur agrégé est calculé comme le rapport entre la somme des personnes protégées par des régimes contributifs, des bénéficiaires de régimes contributifs et non-contributifs.</w:t>
        <w:br/>
        <w:t xml:space="preserve">prestations contributives à la population totale. </w:t>
        <w:br/>
        <w:t xml:space="preserve">Commentaires et limites : </w:t>
        <w:br/>
        <w:t xml:space="preserve">La plupart des données de la base de données mondiale sur la protection sociale de l'OIT sont compilées au moyen de l'Enquête sur la sécurité sociale de l'OIT (SSI), un questionnaire sur </w:t>
        <w:br/>
        <w:t xml:space="preserve">dossiers administratifs régulièrement soumis aux gouvernements, complétés par les données internationales existantes. L'édition 2016 du SSI est une mise à jour </w:t>
        <w:br/>
        <w:t>du questionnaire précédent, adapté pour mieux refléter les ODD nouvellement adoptés. Les questionnaires et le manuel SSI sont disponibles en ligne.[1]</w:t>
        <w:br/>
        <w:t xml:space="preserve">La base de données mondiale sur la protection sociale de l'OIT complète les données reçues du SSI, dans la mesure du possible de manière cohérente, avec un certain nombre de </w:t>
        <w:br/>
        <w:t xml:space="preserve">d’autres sources de données internationales et régionales, notamment celles de l’Association internationale de la sécurité sociale (AISS) et d’autres sources de données internationales. </w:t>
        <w:br/>
        <w:t xml:space="preserve">organisations. La base de données mondiale de l'OIT sur la protection sociale s'appuie également sur des rapports officiels nationaux et d'autres sources, qui sont généralement en grande partie </w:t>
        <w:br/>
        <w:t xml:space="preserve">sur la base de données administratives ; et sur des données d'enquête provenant de diverses sources, notamment des enquêtes nationales sur les revenus et les dépenses des ménages, les enquêtes sur le travail </w:t>
        <w:br/>
        <w:t xml:space="preserve">les enquêtes de force et les enquêtes démographiques et de santé, dans la mesure où celles-ci incluent des variables sur la protection sociale. Quand la protection sociale </w:t>
        <w:br/>
        <w:t xml:space="preserve">les statistiques de couverture sont dérivées de dossiers administratifs, et notamment lorsqu'elles sont dérivées de divers registres distincts rassemblés, </w:t>
        <w:br/>
        <w:t xml:space="preserve">il convient de veiller à éviter la double comptabilisation des personnes bénéficiant de plusieurs prestations de protection sociale ou couvertes par plusieurs prestations sociales. </w:t>
        <w:br/>
        <w:t xml:space="preserve">régime de protection. Afin d'éviter une double comptabilisation lors de l'identification des bénéficiaires à travers les données des dossiers administratifs, il est important de </w:t>
        <w:br/>
        <w:t xml:space="preserve">distinguer les bénéficiaires des prestations de base et complémentaires dans chaque régime. </w:t>
        <w:br/>
        <w:t xml:space="preserve">Les pays sont généralement en mesure de fournir un ensemble complet d'informations sur les personnes protégées et les bénéficiaires effectifs, à peu de frais supplémentaires, car </w:t>
        <w:br/>
        <w:t xml:space="preserve">les informations sont collectées par les institutions nationales pour le fonctionnement régulier du système/programme. Des difficultés peuvent survenir en raison de </w:t>
        <w:br/>
        <w:t xml:space="preserve">fragmentation des sources, et lors de la capture d'informations sur des programmes plus petits ou moins visibles, en particulier ceux qui ne sont pas ancrés dans la législation. </w:t>
        <w:br/>
        <w:t xml:space="preserve">La couverture des dossiers administratifs n’est pas toujours totalement exhaustive, dans la mesure où elle peut exclure certaines zones géographiques ou certaines parties du territoire. </w:t>
        <w:br/>
        <w:t xml:space="preserve">la population ou les activités économiques. </w:t>
        <w:br/>
        <w:t xml:space="preserve">Pour les statistiques de couverture de protection sociale issues des enquêtes auprès des ménages, deux questions importantes doivent être notées (1) la périodicité : dans un grand nombre de </w:t>
        <w:br/>
        <w:t xml:space="preserve">Dans certains pays, les enquêtes auprès des ménages ne sont pas menées régulièrement, ce qui les rend moins suffisantes à des fins de suivi ; et (2) la mesure </w:t>
        <w:br/>
        <w:t xml:space="preserve">La manière dont les informations sur les transferts et programmes spécifiques sont saisies dans les enquêtes peut varier considérablement d’un pays à l’autre. Souvent, les enquêtes auprès des ménages ne </w:t>
        <w:br/>
        <w:t xml:space="preserve">saisir l’ensemble des programmes de protection sociale du pays, mais uniquement les plus grands programmes nationaux. De nombreuses enquêtes auprès des ménages ont limité </w:t>
        <w:br/>
        <w:t xml:space="preserve">informations sur les pros sociaux programmes de protection. Certaines enquêtes collectent uniquement des informations sur la participation, sans inclure les montants des transferts ; et </w:t>
        <w:br/>
        <w:t xml:space="preserve">d’autres incluent des informations sur les programmes mélangées à des transferts privés, ce qui rend difficile l’isolement des programmes individuels de protection sociale. La fiabilité de </w:t>
        <w:br/>
        <w:t xml:space="preserve">les informations dépendent également grandement de l’exactitude des répondants. </w:t>
        <w:br/>
        <w:t xml:space="preserve">De plus, si l'échantillon n'a pas été conçu pour tenir compte de la couverture de protection sociale (notamment en ce qui concerne le nombre de personnes </w:t>
        <w:br/>
        <w:t xml:space="preserve">bénéficiaires), l’enquête peut ne pas produire de statistiques fiables à cet égard. Il n'y a aucune garantie que la taille de l'échantillon sera suffisamment grande pour </w:t>
        <w:br/>
        <w:t xml:space="preserve">permettre une ventilation détaillée des bénéficiaires des prestations de sécurité sociale. </w:t>
        <w:br/>
        <w:t>Indicateurs proxy, alternatifs et supplémentaires : N/A</w:t>
        <w:br/>
        <w:t>[1] Voir .http://www.social-protection.org/gimi/gess/ShowTheme.action?id=10</w:t>
        <w:br/>
        <w:t xml:space="preserve">Cet indicateur doit être ventilé par sexe, âge (enfants/adultes), chômeurs, personnes âgées, personnes handicapées, femmes handicapées. </w:t>
        <w:br/>
        <w:t>les nouveau-nés, les victimes d'accidents du travail, les pauvres et les personnes vulnérables</w:t>
      </w:r>
    </w:p>
    <w:p>
      <w:pPr>
        <w:pStyle w:val="Heading2"/>
      </w:pPr>
      <w:r>
        <w:t>Page 12</w:t>
      </w:r>
    </w:p>
    <w:p>
      <w:r>
        <w:t>Texte d'en-tête</w:t>
        <w:br/>
        <w:t>Texte de pied de page</w:t>
        <w:br/>
        <w:t>Organisation(s) internationale(s) de surveillance mondiale</w:t>
        <w:br/>
        <w:t>URL officielle des métadonnées ODD</w:t>
        <w:br/>
        <w:t>OIT : https://unstats.un.org/sdgs/metadata/files/Metadata-01-03-01a.pdf</w:t>
        <w:br/>
        <w:t>Méthodologie reconnue au niveau international et URL des lignes directrices</w:t>
        <w:br/>
        <w:t>Organisation internationale du Travail : www.ilo.org/ilostat</w:t>
        <w:br/>
        <w:t>http://www.social-protection.org/gimi/gess/ShowTheme.action?id=10</w:t>
        <w:br/>
        <w:t>http://www.social-protection.org/gimi/gess/ShowWiki.action?id=594</w:t>
        <w:br/>
        <w:t>http://www.ilo.org/global/research/global-reports/world-social-security-report/2017-19/lang–en/index.htm</w:t>
        <w:br/>
        <w:t>La Banque mondiale ASPIRE : . : L'Atlas de la protection sociale – Indicateurs de résilience et d'équité. Disponible sur http://datatopics.worldbank.org</w:t>
        <w:br/>
        <w:t xml:space="preserve">/aspirer/ </w:t>
        <w:br/>
        <w:t>Autres références</w:t>
        <w:br/>
        <w:t>Organisation internationale du Travail (2016). Manuel d'enquête sur la sécurité sociale. http://www.social-protection.org/gimi/gess/RessourcePDF.action?</w:t>
        <w:br/>
        <w:t>ressource.ressourceId=53711</w:t>
        <w:br/>
        <w:t>Organisation internationale du Travail (2012). (n202). Recommandation sur les socles de protection sociale. http://www.ilo.org/dyn/normlex/en/f?</w:t>
        <w:br/>
        <w:t>p=NORMLEXPUB:12100:0::NO::P12100_INSTRUMENT_ID,P12100_LANG_CODE:3065524</w:t>
        <w:br/>
        <w:t>Organisation internationale du Travail (2017/2019). Rapport mondial sur la protection sociale. http://www.ilo.org/global/research/global-reports/world-social-</w:t>
        <w:br/>
        <w:t xml:space="preserve">  rapport-de-sécurité/2017-19/lang--en/index.htm</w:t>
        <w:br/>
        <w:t>Exemples de pays</w:t>
        <w:br/>
        <w:t>N/D</w:t>
        <w:br/>
        <w:t>Ce document a été préparé sur la base des contributions de l'Organisation internationale du travail (OIT).</w:t>
        <w:br/>
        <w:t>Pour obtenir des informations sur les points focaux pour cet indicateur, veuillez visiter https://unstats.un.org/sdgs/dataContacts/</w:t>
      </w:r>
    </w:p>
    <w:p>
      <w:pPr>
        <w:pStyle w:val="Heading2"/>
      </w:pPr>
      <w:r>
        <w:t>Page 13</w:t>
      </w:r>
    </w:p>
    <w:p>
      <w:r>
        <w:t>Texte d'en-tête</w:t>
        <w:br/>
        <w:t>Texte de pied de page</w:t>
        <w:br/>
        <w:t>Indicateur 1.5.1</w:t>
        <w:br/>
        <w:t>Page d'accueil du manuel électronique</w:t>
        <w:br/>
        <w:t>Nom de l’indicateur, cible et objectif</w:t>
        <w:br/>
        <w:t>Définition et justification</w:t>
        <w:br/>
        <w:t>Sources de données et méthode de collecte</w:t>
        <w:br/>
        <w:t>Méthode de calcul et autres considérations méthodologiques</w:t>
        <w:br/>
        <w:t>Contenu</w:t>
        <w:br/>
        <w:t>Nom de l’indicateur, cible et objectif</w:t>
        <w:br/>
        <w:t>Définition et justification</w:t>
        <w:br/>
        <w:t>Sources de données et méthode de collecte</w:t>
        <w:br/>
        <w:t>Méthode de calcul et autres considérations méthodologiques</w:t>
        <w:br/>
        <w:t>Désagrégation des données</w:t>
        <w:br/>
        <w:t>Références</w:t>
        <w:br/>
        <w:t>Organisation(s) internationale(s) de surveillance mondiale</w:t>
        <w:br/>
        <w:t>Indicateur 1.5.1 : Nombre de décès, de personnes disparues et de personnes directement touchées attribués aux catastrophes pour 100 000 habitants</w:t>
        <w:br/>
        <w:t>Cible 1.5 : D’ici 2030, renforcer la résilience des pauvres et des personnes en situation de vulnérabilité et réduire leur exposition et leur vulnérabilité aux changements climatiques.</w:t>
        <w:br/>
        <w:t>événements extrêmes associés et autres chocs et catastrophes économiques, sociaux et environnementaux</w:t>
        <w:br/>
        <w:t>Objectif 1 : Mettre fin à la pauvreté sous toutes ses formes, partout dans le monde</w:t>
        <w:br/>
        <w:t>Définition :</w:t>
        <w:br/>
        <w:t xml:space="preserve">Cet indicateur mesure le nombre de personnes décédées, portées disparues ou directement touchées par des catastrophes pour 100 000 habitants. </w:t>
        <w:br/>
        <w:t>Concepts :</w:t>
        <w:br/>
        <w:t>Décès : nombre de personnes décédées pendant la catastrophe, ou immédiatement après, en conséquence directe de l'événement dangereux.</w:t>
        <w:br/>
        <w:t xml:space="preserve">Manquant : Le nombre de personnes dont on ne sait pas où elles se trouvent depuis l'événement dangereux. Cela inclut les personnes présumées mortes, pour lesquelles  </w:t>
        <w:br/>
        <w:t>il n'existe aucune preuve physique telle qu'un corps, et pour laquelle un rapport officiel/légal a été déposé auprès des autorités compétentes.</w:t>
        <w:br/>
        <w:t xml:space="preserve">Directement touché : le nombre de personnes qui ont subi une blessure, une maladie ou d'autres effets sur la santé ; qui ont été évacués, déplacés, relocalisés ou </w:t>
        <w:br/>
        <w:t xml:space="preserve">ont subi des dommages directs à leurs moyens de subsistance et à leurs biens économiques, physiques, sociaux, culturels et environnementaux. Les personnes indirectement touchées sont celles qui </w:t>
        <w:br/>
        <w:t xml:space="preserve">ont subi des conséquences, autres ou en plus des effets directs, au fil du temps, en raison de perturbations ou de changements dans l'économie, les infrastructures critiques, </w:t>
        <w:br/>
        <w:t xml:space="preserve">services de base, commerce ou travail, ou conséquences sociales, sanitaires et psychologiques. </w:t>
        <w:br/>
        <w:t>Justification et interprétation :</w:t>
        <w:br/>
        <w:t xml:space="preserve">Le Cadre de Sendai pour la réduction des risques de catastrophe 2015-2030 a été adopté par les États membres de l'ONU en mars 2015 en tant que politique mondiale de lutte contre les catastrophes. </w:t>
        <w:br/>
        <w:t xml:space="preserve">réduction des risques. Parmi les objectifs mondiaux, « Cible A : Réduire considérablement la mortalité mondiale due aux catastrophes d’ici 2030, en visant une moyenne inférieure pour 100 000 habitants ». </w:t>
        <w:br/>
        <w:t xml:space="preserve">mortalité mondiale entre 2020-2030 par rapport à 2005-2015 » et « Objectif B : Réduire considérablement le nombre de personnes touchées dans le monde en </w:t>
        <w:br/>
        <w:t xml:space="preserve">2030, visant à réduire le chiffre moyen mondial pour 100 000 entre 2020-2030 par rapport à 2005-2015 » contribuera à un développement durable. </w:t>
        <w:br/>
        <w:t xml:space="preserve">développement et renforcer la résilience économique, sociale, sanitaire et environnementale. Les perspectives économiques, environnementales et sociales seraient </w:t>
        <w:br/>
        <w:t xml:space="preserve">comprennent l’éradication de la pauvreté, la résilience urbaine et l’adaptation au changement climatique. </w:t>
        <w:br/>
        <w:t xml:space="preserve">Le groupe de travail intergouvernemental d'experts à composition non limitée sur les indicateurs et la terminologie relatifs à la réduction des risques de catastrophe (OIEWG) a été créé </w:t>
        <w:br/>
        <w:t xml:space="preserve">par l'Assemblée générale (résolution 69/284) a élaboré un ensemble d'indicateurs pour mesurer les progrès mondiaux dans la mise en œuvre de l'Accord de Sendai. </w:t>
        <w:br/>
        <w:t>Cadre qui a été approuvé par l'AGNU (OIEWG). Les indicateurs mondiaux pertinents pour le Cadre de Sendai seront utilisés dans le rapport A/71/644.</w:t>
        <w:br/>
        <w:t xml:space="preserve">rapporter pour cet indicateur. </w:t>
        <w:br/>
        <w:t xml:space="preserve">Les données sur les pertes liées aux catastrophes sont fortement influencées par les événements catastrophiques à grande échelle, qui représentent d’importantes valeurs aberrantes. L'UNISDR recommande aux pays </w:t>
        <w:br/>
        <w:t xml:space="preserve">rapporter les données par événement, afin qu'une analyse complémentaire puisse être entreprise pour obtenir des tendances et des schémas dans lesquels de tels événements catastrophiques (qui </w:t>
        <w:br/>
        <w:t>peuvent représenter des valeurs aberrantes) peuvent être inclus ou exclus.</w:t>
        <w:br/>
        <w:t xml:space="preserve">Le fournisseur de données au niveau national est nommé point focal du cadre de Sendai. Dans la plupart des pays, les données sur les catastrophes sont collectées par les ministères compétents et </w:t>
        <w:br/>
        <w:t xml:space="preserve">les bases de données nationales sur les pertes liées aux catastrophes sont établies et gérées par des agences spécialisées, notamment des agences nationales de gestion des catastrophes, </w:t>
        <w:br/>
        <w:t xml:space="preserve">les agences de protection civile et les agences météorologiques. Les points focaux du cadre de Sendai dans chaque pays sont responsables de la communication des données. </w:t>
        <w:br/>
        <w:t>via le Sendai Framework Mo Système de surveillance.</w:t>
      </w:r>
    </w:p>
    <w:p>
      <w:pPr>
        <w:pStyle w:val="Heading2"/>
      </w:pPr>
      <w:r>
        <w:t>Page 14</w:t>
      </w:r>
    </w:p>
    <w:p>
      <w:r>
        <w:t>Texte d'en-tête</w:t>
        <w:br/>
        <w:t>Texte de pied de page</w:t>
        <w:br/>
        <w:t>Désagrégation des données</w:t>
        <w:br/>
        <w:t>Références</w:t>
        <w:br/>
        <w:t>Organisation(s) internationale(s) de surveillance mondiale</w:t>
        <w:br/>
        <w:t>Méthode de calcul :</w:t>
        <w:br/>
        <w:t>Cet indicateur, , est calculé comme une simple somme des indicateurs associés (décès, personnes disparues et personnes touchées) de la catastrophe nationale X.</w:t>
        <w:br/>
        <w:t xml:space="preserve">bases de données sur les pertes divisées par les données démographiques nationales (issues des recensements nationaux, des informations de la Banque mondiale ou de la Commission statistique des Nations Unies). </w:t>
        <w:br/>
        <w:t xml:space="preserve"> </w:t>
        <w:br/>
        <w:t xml:space="preserve"> Où :</w:t>
        <w:br/>
        <w:t xml:space="preserve">A Nombre de décès attribués aux catastrophes ;2 </w:t>
        <w:br/>
        <w:t>Un nombre de personnes disparues attribuées à des catastrophes ; et3</w:t>
        <w:br/>
        <w:t>B Nombre de personnes directement touchées par les catastrophes.1</w:t>
        <w:br/>
        <w:t xml:space="preserve">* Des méthodologies détaillées peuvent être trouvées dans le guide technique (voir ci-dessous la section Référence) </w:t>
        <w:br/>
        <w:t>Commentaires et limites :</w:t>
        <w:br/>
        <w:t xml:space="preserve">Le système de suivi du cadre de Sendai a été développé pour mesurer les progrès dans la mise en œuvre du cadre de Sendai en </w:t>
        <w:br/>
        <w:t xml:space="preserve">Indicateurs approuvés par l’AGNU. Les États membres pourront faire rapport via le système à partir de mars 2018. Les données pour les indicateurs des ODD seront </w:t>
        <w:br/>
        <w:t xml:space="preserve">compilé et rapporté par l’UNISDR. </w:t>
        <w:br/>
        <w:t>Indicateurs proxy, alternatifs et complémentaires :</w:t>
        <w:br/>
        <w:t xml:space="preserve">Dans la plupart des cas, les sources de données internationales enregistrent uniquement les événements qui dépassent un certain seuil d'impact et utilisent des sources de données secondaires qui </w:t>
        <w:br/>
        <w:t>ont généralement des méthodologies non uniformes, voire incohérentes, produisant des ensembles de données hétérogènes.</w:t>
        <w:br/>
        <w:t xml:space="preserve">Cet indicateur peut être ventilé selon le nombre de décès attribués aux catastrophes ; nombre de personnes disparues attribuées à des catastrophes ; et numéro </w:t>
        <w:br/>
        <w:t xml:space="preserve">des personnes directement touchées par les catastrophes. Les dimensions de désagrégation souhaitables possibles comprennent : le risque, la géographie (unité administrative), </w:t>
        <w:br/>
        <w:t>sexe, âge (3 catégories), handicap et revenu.</w:t>
        <w:br/>
        <w:t>URL officielle des métadonnées ODD</w:t>
        <w:br/>
        <w:t xml:space="preserve">https://unstats.un.org/sdgs/metadata/files/Metadata-01-05-01.pdf  </w:t>
        <w:br/>
        <w:t>Méthodologie reconnue au niveau international et URL des lignes directrices</w:t>
        <w:br/>
        <w:t xml:space="preserve">Conseils techniques pour le suivi et l'établissement de rapports sur les progrès accomplis dans la réalisation des objectifs mondiaux du Cadre de Sendai pour la réduction des risques de catastrophe </w:t>
        <w:br/>
        <w:t xml:space="preserve">(UNISDR 2017) </w:t>
        <w:br/>
        <w:t xml:space="preserve"> https://www.preventionweb.net/files/54970_collectionoftechnicalguidancenoteso.pdf</w:t>
        <w:br/>
        <w:t>Autres références</w:t>
        <w:br/>
        <w:t xml:space="preserve">Rapport du groupe de travail intergouvernemental d'experts à composition non limitée sur les indicateurs et la terminologie relatifs à la réduction des risques de catastrophe (OEIWG). </w:t>
        <w:br/>
        <w:t>Disponible sur : Approuvé par l'AGNU le 2 février 2017. nd https://www.preventionweb.net/publications/view/51748</w:t>
        <w:br/>
        <w:t>Exemples de pays</w:t>
        <w:br/>
        <w:t>N/D</w:t>
        <w:br/>
        <w:t xml:space="preserve">Ce document a été préparé sur la base des contributions du Bureau des Nations Unies pour la réduction des risques de catastrophe (UNISDR). </w:t>
        <w:br/>
        <w:t>Pour obtenir des informations sur les points focaux pour cet indicateur, veuillez visiter https://unstats.un.org/sdgs/dataContacts/</w:t>
      </w:r>
    </w:p>
    <w:p>
      <w:pPr>
        <w:pStyle w:val="Heading2"/>
      </w:pPr>
      <w:r>
        <w:t>Page 15</w:t>
      </w:r>
    </w:p>
    <w:p>
      <w:r>
        <w:t>Texte d'en-tête</w:t>
        <w:br/>
        <w:t>Texte de pied de page</w:t>
        <w:br/>
        <w:t>Indicateur 1.5.2</w:t>
        <w:br/>
        <w:t>Page d'accueil du manuel électronique</w:t>
        <w:br/>
        <w:t>Nom de l’indicateur, cible et objectif</w:t>
        <w:br/>
        <w:t>Définition et justification</w:t>
        <w:br/>
        <w:t>Sources de données et méthode de collecte</w:t>
        <w:br/>
        <w:t>Méthode de calcul et autres considérations méthodologiques</w:t>
        <w:br/>
        <w:t>Contenu</w:t>
        <w:br/>
        <w:t>Nom de l’indicateur, cible et objectif</w:t>
        <w:br/>
        <w:t>Définition et justification</w:t>
        <w:br/>
        <w:t>Sources de données et méthode de collecte</w:t>
        <w:br/>
        <w:t>Méthode de calcul et autres considérations méthodologiques</w:t>
        <w:br/>
        <w:t>Désagrégation des données</w:t>
        <w:br/>
        <w:t>Références</w:t>
        <w:br/>
        <w:t>Organisation(s) internationale(s) de surveillance mondiale</w:t>
        <w:br/>
        <w:t>Indicateur 1.5.2 : Pertes économiques directes attribuées aux catastrophes par rapport au produit intérieur brut (PIB) mondial</w:t>
        <w:br/>
        <w:t>Cible 1.5 : D’ici 2030, renforcer la résilience des pauvres et des personnes en situation de vulnérabilité et réduire leur exposition et leur vulnérabilité aux changements climatiques.</w:t>
        <w:br/>
        <w:t>événements extrêmes associés et autres chocs et catastrophes économiques, sociaux et environnementaux</w:t>
        <w:br/>
        <w:t>Objectif 1 : Mettre fin à la pauvreté sous toutes ses formes, partout dans le monde</w:t>
        <w:br/>
        <w:t>Définition :</w:t>
        <w:br/>
        <w:t xml:space="preserve">Cet indicateur mesure le ratio des pertes économiques directes attribuées aux catastrophes par rapport au PIB. </w:t>
        <w:br/>
        <w:t>Concepts :</w:t>
        <w:br/>
        <w:t xml:space="preserve">Perte économique : impact économique total composé d’une perte économique directe et d’une perte économique indirecte. </w:t>
        <w:br/>
        <w:t xml:space="preserve">Perte économique directe : la valeur monétaire de la destruction totale ou partielle des actifs physiques existant dans la zone touchée. La perte économique directe est </w:t>
        <w:br/>
        <w:t xml:space="preserve">presque équivalent à des dommages physiques. </w:t>
        <w:br/>
        <w:t xml:space="preserve">Perte économique indirecte : baisse de la valeur économique ajoutée résultant d’une perte économique directe et/ou d’impacts humains et environnementaux. </w:t>
        <w:br/>
        <w:t xml:space="preserve">Parmi les exemples d’actifs physiques servant de base au calcul des pertes économiques directes figurent les maisons, les écoles, les hôpitaux, les immeubles commerciaux et </w:t>
        <w:br/>
        <w:t xml:space="preserve">bâtiments gouvernementaux, transports, énergie, infrastructures de télécommunications et autres infrastructures ; actifs commerciaux et installations industrielles ; </w:t>
        <w:br/>
        <w:t xml:space="preserve">production, comme les cultures, l’élevage et les infrastructures de production. Ils peuvent également englober les biens environnementaux et le patrimoine culturel.  Direct </w:t>
        <w:br/>
        <w:t xml:space="preserve">les pertes économiques surviennent généralement pendant l'événement ou dans les premières heures qui suivent l'événement et sont souvent évaluées peu de temps après l'événement pour </w:t>
        <w:br/>
        <w:t xml:space="preserve">estimer les frais de recouvrement et les paiements d’assurance. Ceux-ci sont tangibles et relativement faciles à mesurer. </w:t>
        <w:br/>
        <w:t>Justification et interprétation :</w:t>
        <w:br/>
        <w:t xml:space="preserve">Le Cadre de Sendai pour la réduction des risques de catastrophe 2015-2030 a été adopté par les États membres de l'ONU en mars 2015 en tant que politique mondiale de lutte contre les catastrophes. </w:t>
        <w:br/>
        <w:t xml:space="preserve">réduction des risques. Parmi les objectifs mondiaux, « Objectif C : Réduire les pertes économiques directes liées aux catastrophes par rapport au produit intérieur brut (PIB) mondial en </w:t>
        <w:br/>
        <w:t xml:space="preserve">2030 » contribuera au développement durable et renforcera la résilience économique, sociale, sanitaire et environnementale. L'économique, </w:t>
        <w:br/>
        <w:t>les perspectives environnementales et sociales incluraient l’éradication de la pauvreté, la résilience urbaine et l’adaptation au changement climatique.</w:t>
        <w:br/>
        <w:t xml:space="preserve">Le groupe de travail intergouvernemental d'experts à composition non limitée sur les indicateurs et la terminologie relatifs à la réduction des risques de catastrophe (OIEWG) a été créé </w:t>
        <w:br/>
        <w:t xml:space="preserve">par l'Assemblée générale (résolution 69/284) a élaboré un ensemble d'indicateurs pour mesurer les progrès mondiaux dans la mise en œuvre de l'Accord de Sendai. </w:t>
        <w:br/>
        <w:t>Cadre qui a été approuvé par l'AGNU (OIEWG). Les indicateurs mondiaux pertinents pour le Cadre de Sendai seront utilisés dans le rapport A/71/644.</w:t>
        <w:br/>
        <w:t xml:space="preserve">rapporter pour cet indicateur. </w:t>
        <w:br/>
        <w:t xml:space="preserve">Les données sur les pertes liées aux catastrophes sont fortement influencées par les événements catastrophiques à grande échelle, qui représentent d’importantes valeurs aberrantes. L'UNISDR recommande aux pays </w:t>
        <w:br/>
        <w:t xml:space="preserve">rapporter les données par événement, afin qu'une analyse complémentaire puisse être entreprise pour obtenir des tendances et des schémas dans lesquels de tels événements catastrophiques (qui </w:t>
        <w:br/>
        <w:t>peuvent représenter des valeurs aberrantes en termes de dommages) peuvent être inclus ou exclus.</w:t>
        <w:br/>
        <w:t xml:space="preserve">Le fournisseur de données au niveau national est nommé point focal du cadre de Sendai. Dans la plupart des pays, les données sur les catastrophes sont collectées par les ministères compétents et </w:t>
        <w:br/>
        <w:t xml:space="preserve">les bases de données nationales sur les pertes liées aux catastrophes sont établies et gérées par des agences spécialisées, notamment des agences nationales de gestion des catastrophes, </w:t>
        <w:br/>
        <w:t xml:space="preserve">les agences de protection civile et les agences météorologiques. Les points focaux du cadre de Sendai dans chaque pays sont responsables de la communication des données. </w:t>
        <w:br/>
        <w:t>via le système de surveillance du cadre Sendai.</w:t>
      </w:r>
    </w:p>
    <w:p>
      <w:pPr>
        <w:pStyle w:val="Heading2"/>
      </w:pPr>
      <w:r>
        <w:t>Page 16</w:t>
      </w:r>
    </w:p>
    <w:p>
      <w:r>
        <w:t>Texte d'en-tête</w:t>
        <w:br/>
        <w:t>Texte de pied de page</w:t>
        <w:br/>
        <w:t>Désagrégation des données</w:t>
        <w:br/>
        <w:t>Références</w:t>
        <w:br/>
        <w:t>Méthode de calcul :</w:t>
        <w:br/>
        <w:t>Cet indicateur, , est calculé comme une simple somme des indicateurs associés provenant des bases de données nationales sur les pertes dues aux catastrophes, divisée par le PIB national X.</w:t>
        <w:br/>
        <w:t>(à partir des recensements nationaux, des informations de la Banque mondiale ou de la Commission statistique des Nations Unies).</w:t>
        <w:br/>
        <w:t xml:space="preserve">   </w:t>
        <w:br/>
        <w:t>Où :</w:t>
        <w:br/>
        <w:t xml:space="preserve">C  Pertes agricoles directes attribuées aux catastrophes ;2 </w:t>
        <w:br/>
        <w:t xml:space="preserve">C Perte économique directe pour tous les autres actifs productifs endommagés ou détruits attribuée aux catastrophes ;3 </w:t>
        <w:br/>
        <w:t xml:space="preserve">C  Perte économique directe dans le secteur du logement attribuée aux catastrophes ;4 </w:t>
        <w:br/>
        <w:t xml:space="preserve">C Perte économique directe résultant d'infrastructures critiques endommagées ou détruites attribuées à des catastrophes ;5 </w:t>
        <w:br/>
        <w:t xml:space="preserve">C  Perte économique directe du patrimoine culturel endommagé ou détruit attribuée aux catastrophes.6 </w:t>
        <w:br/>
        <w:t xml:space="preserve">* Des méthodologies détaillées peuvent être trouvées dans le guide technique (voir ci-dessous la section Référence) </w:t>
        <w:br/>
        <w:t>Commentaires et limites :</w:t>
        <w:br/>
        <w:t xml:space="preserve">Le système de suivi du cadre de Sendai a été développé pour mesurer les progrès dans la mise en œuvre du cadre de Sendai en </w:t>
        <w:br/>
        <w:t xml:space="preserve">Indicateurs approuvés par l’AGNU. Les États membres pourront faire rapport via le système à partir de mars 2018. Les données pour les indicateurs des ODD seront </w:t>
        <w:br/>
        <w:t xml:space="preserve">compilé et rapporté par l’UNISDR. </w:t>
        <w:br/>
        <w:t>Indicateurs proxy, alternatifs et complémentaires :</w:t>
        <w:br/>
        <w:t xml:space="preserve">Dans la plupart des cas, les sources de données internationales enregistrent uniquement les événements qui dépassent un certain seuil d'impact et utilisent des sources de données secondaires qui </w:t>
        <w:br/>
        <w:t>ont généralement des méthodologies non uniformes, voire incohérentes, produisant des ensembles de données hétérogènes.</w:t>
        <w:br/>
        <w:t>Cet indicateur peut être ventilé selon les dimensions suivantes :</w:t>
        <w:br/>
        <w:t>Pertes agricoles directes attribuées aux catastrophes</w:t>
        <w:br/>
        <w:t>Perte économique directe pour tous les autres actifs productifs endommagés ou détruits attribuée aux catastrophes.</w:t>
        <w:br/>
        <w:t>Perte économique directe dans le secteur du logement attribuée aux catastrophes.</w:t>
        <w:br/>
        <w:t>Perte économique directe résultant d’infrastructures critiques endommagées ou détruites attribuées à des catastrophes.</w:t>
        <w:br/>
        <w:t>Perte économique directe du patrimoine culturel endommagé ou détruit attribuée aux catastrophes</w:t>
        <w:br/>
        <w:t>D’autres dimensions de désagrégation souhaitables comprennent :</w:t>
        <w:br/>
        <w:t>Danger</w:t>
        <w:br/>
        <w:t>Géographie (Unité administrative)</w:t>
        <w:br/>
        <w:t>URL officielle des métadonnées ODD</w:t>
        <w:br/>
        <w:t xml:space="preserve">https://unstats.un.org/sdgs/metadata/files/Metadata-01-05-02.pdf  </w:t>
        <w:br/>
        <w:t xml:space="preserve">Méthodologie reconnue au niveau international et URL des lignes directrices </w:t>
        <w:br/>
        <w:t xml:space="preserve">Conseils techniques pour le suivi et l'établissement de rapports sur les progrès accomplis dans la réalisation des objectifs mondiaux du Cadre de Sendai pour la réduction des risques de catastrophe </w:t>
        <w:br/>
        <w:t>(UNISDR 2017) https://www.preventionweb.net/files/54970_collectionoftechnicalguidancenoteso.pdf</w:t>
        <w:br/>
        <w:t>Autres références</w:t>
        <w:br/>
        <w:t xml:space="preserve">Rapport du groupe de travail intergouvernemental d'experts à composition non limitée sur les indicateurs et la terminologie relatifs à la réduction des risques de catastrophe (OEIWG). </w:t>
        <w:br/>
        <w:t>Disponible sur : Approuvé par l'AGNU le 2 février 2017. nd https://www.preventionweb.net/publications/view/51748</w:t>
        <w:br/>
        <w:t>Exemples de pays</w:t>
        <w:br/>
        <w:t>N/D</w:t>
      </w:r>
    </w:p>
    <w:p>
      <w:pPr>
        <w:pStyle w:val="Heading2"/>
      </w:pPr>
      <w:r>
        <w:t>Page 17</w:t>
      </w:r>
    </w:p>
    <w:p>
      <w:r>
        <w:t>Texte d'en-tête</w:t>
        <w:br/>
        <w:t>Texte de pied de page</w:t>
        <w:br/>
        <w:t>Organisation(s) internationale(s) de surveillance mondiale</w:t>
        <w:br/>
        <w:t xml:space="preserve">Ce document a été préparé sur la base des contributions du Bureau des Nations Unies pour la réduction des risques de catastrophe (UNISDR). </w:t>
        <w:br/>
        <w:t>Pour obtenir des informations sur les points focaux pour cet indicateur, veuillez visiter https://unstats.un.org/sdgs/dataContacts/</w:t>
      </w:r>
    </w:p>
    <w:p>
      <w:pPr>
        <w:pStyle w:val="Heading2"/>
      </w:pPr>
      <w:r>
        <w:t>Page 18</w:t>
      </w:r>
    </w:p>
    <w:p>
      <w:r>
        <w:t>Texte d'en-tête</w:t>
        <w:br/>
        <w:t>Texte de pied de page</w:t>
        <w:br/>
        <w:t>Indicateur 1.5.3</w:t>
        <w:br/>
        <w:t>Page d'accueil du manuel électronique</w:t>
        <w:br/>
        <w:t xml:space="preserve"> </w:t>
        <w:br/>
        <w:t>Nom de l’indicateur, cible et objectif</w:t>
        <w:br/>
        <w:t>Définition et justification</w:t>
        <w:br/>
        <w:t>Sources de données et méthode de collecte</w:t>
        <w:br/>
        <w:t>Méthode de calcul et autres considérations méthodologiques</w:t>
        <w:br/>
        <w:t>Contenu</w:t>
        <w:br/>
        <w:t>Nom de l’indicateur, cible et objectif</w:t>
        <w:br/>
        <w:t>Définition et justification</w:t>
        <w:br/>
        <w:t>Sources de données et méthode de collecte</w:t>
        <w:br/>
        <w:t>Méthode de calcul et autres considérations méthodologiques</w:t>
        <w:br/>
        <w:t>Désagrégation des données</w:t>
        <w:br/>
        <w:t>Références</w:t>
        <w:br/>
        <w:t>Organisation(s) internationale(s) de surveillance mondiale</w:t>
        <w:br/>
        <w:t xml:space="preserve"> Indicateur 1.5.3 : Nombre de pays qui adoptent et mettent en œuvre des stratégies nationales de réduction des risques de catastrophe conformément au Cadre de Sendai pour </w:t>
        <w:br/>
        <w:t>Réduction des risques de catastrophe 2015-2030</w:t>
        <w:br/>
        <w:t>Cible 1.5 : D’ici 2030, renforcer la résilience des pauvres et des personnes en situation de vulnérabilité et réduire leur exposition et leur vulnérabilité aux changements climatiques.</w:t>
        <w:br/>
        <w:t>événements extrêmes associés et autres chocs et catastrophes économiques, sociaux et environnementaux</w:t>
        <w:br/>
        <w:t>Objectif 1 : Mettre fin à la pauvreté sous toutes ses formes, partout dans le monde</w:t>
        <w:br/>
        <w:t>Définition :</w:t>
        <w:br/>
        <w:t xml:space="preserve">Cet indicateur mesure le nombre de pays qui adoptent et mettent en œuvre des stratégies nationales de réduction des risques de catastrophe (RRC) conformément aux </w:t>
        <w:br/>
        <w:t xml:space="preserve">Cadre de Sendai pour la réduction des risques de catastrophe 2015-2030, avec de multiples dimensions du niveau de mise en œuvre. </w:t>
        <w:br/>
        <w:t>Concepts :</w:t>
        <w:br/>
        <w:t xml:space="preserve">Stratégies de réduction des risques de catastrophe : définir des buts et des objectifs sur différentes échelles de temps et avec des cibles, des indicateurs et des délais concrets. </w:t>
        <w:br/>
        <w:t xml:space="preserve">Conformément au Cadre de Sendai pour la réduction des risques de catastrophe 2015-2030, ceux-ci devraient viser à prévenir la création de risques de catastrophe, le </w:t>
        <w:br/>
        <w:t xml:space="preserve">réduction des risques existants et renforcement de la résilience économique, sociale, sanitaire et environnementale. </w:t>
        <w:br/>
        <w:t>Justification et interprétation :</w:t>
        <w:br/>
        <w:t xml:space="preserve">Le Cadre de Sendai pour la réduction des risques de catastrophe 2015-2030 a été adopté par les États membres de l'ONU en mars 2015 en tant que politique mondiale de lutte contre les catastrophes. </w:t>
        <w:br/>
        <w:t xml:space="preserve">réduction des risques. Parmi les objectifs mondiaux, « Objectif E : Augmenter considérablement le nombre de pays dotés de mesures nationales et locales de réduction des risques de catastrophe. </w:t>
        <w:br/>
        <w:t xml:space="preserve">stratégies d’ici 2020 » favoriseront la RRC et, à terme, contribueront au développement durable et renforceront les domaines économique, social, sanitaire et </w:t>
        <w:br/>
        <w:t xml:space="preserve">résilience environnementale. Les perspectives économiques, environnementales et sociales incluraient l'éradication de la pauvreté, la résilience urbaine et le changement climatique. </w:t>
        <w:br/>
        <w:t xml:space="preserve">adaptation au changement. Leurs perspectives économiques, environnementales et sociales incluraient l'éradication de la pauvreté, la résilience urbaine et le changement climatique. </w:t>
        <w:br/>
        <w:t>adaptation au changement.</w:t>
        <w:br/>
        <w:t xml:space="preserve">Conformément au Cadre de Sendai, les stratégies et politiques de RRC devraient intégrer la réduction des risques de catastrophe au sein et à travers tous les pays. </w:t>
        <w:br/>
        <w:t xml:space="preserve">secteurs, sur différentes échelles de temps et avec des objectifs, des indicateurs et des délais. Ces stratégies de RRC devraient viser à prévenir la </w:t>
        <w:br/>
        <w:t xml:space="preserve">la création de risques de catastrophe, la réduction des risques existants, le renforcement de la résilience économique, sociale, sanitaire et environnementale, et d'autres </w:t>
        <w:br/>
        <w:t>éléments stipulés dans le cadre de Sendai.</w:t>
        <w:br/>
        <w:t xml:space="preserve">Le groupe de travail intergouvernemental d'experts à composition non limitée sur les indicateurs et la terminologie relatifs à la réduction des risques de catastrophe (OIEWG) a été créé </w:t>
        <w:br/>
        <w:t xml:space="preserve">par l'Assemblée générale (résolution 69/284) a élaboré un ensemble d'indicateurs pour mesurer les progrès mondiaux dans la mise en œuvre de l'Accord de Sendai. </w:t>
        <w:br/>
        <w:t>Cadre qui a été approuvé par l'AGNU (OIEWG). L'indicateur mondial pertinent pour le Cadre de Sendai, E-1, est utilisé pour le rapport A/71/644.</w:t>
        <w:br/>
        <w:t xml:space="preserve">rapport pour cet indicateur.  </w:t>
        <w:br/>
        <w:t xml:space="preserve">Nommé points focaux du Cadre de Sendai. </w:t>
        <w:br/>
        <w:t xml:space="preserve">Dans la plupart des pays, les bases de données nationales sur les pertes liées aux catastrophes sont établies et gérées par des agences spécialisées, notamment les agences nationales chargées des catastrophes. </w:t>
        <w:br/>
        <w:t xml:space="preserve">les agences de gestion, les agences de protection civile et les agences météorologiques, ainsi que les données sur les catastrophes collectées par les ministères de tutelle.  Le Sendaï </w:t>
        <w:br/>
        <w:t>Les points focaux du cadre dans chaque pays sont responsables de la communication des données via le système de suivi du cadre Sendai en ligne.</w:t>
      </w:r>
    </w:p>
    <w:p>
      <w:pPr>
        <w:pStyle w:val="Heading2"/>
      </w:pPr>
      <w:r>
        <w:t>Page 19</w:t>
      </w:r>
    </w:p>
    <w:p>
      <w:r>
        <w:t>Texte d'en-tête</w:t>
        <w:br/>
        <w:t>Texte de pied de page</w:t>
        <w:br/>
        <w:t>Désagrégation des données</w:t>
        <w:br/>
        <w:t>Références</w:t>
        <w:br/>
        <w:t>Méthode de calcul :</w:t>
        <w:br/>
        <w:t xml:space="preserve">Des méthodologies détaillées peuvent être trouvées dans le guide technique (voir la référence) </w:t>
        <w:br/>
        <w:t xml:space="preserve">Résumé </w:t>
        <w:br/>
        <w:t xml:space="preserve">Il s'agit d'un indicateur quantitatif par mesures progressives de réussite qui quantifierait l'amélioration de la qualité de la RRC nationale. </w:t>
        <w:br/>
        <w:t xml:space="preserve">stratégies au fil du temps, plutôt que des mesures binaires (oui/non), basées sur les délibérations de l'OIEWG ainsi que de l'IAEG-SDG. </w:t>
        <w:br/>
        <w:t xml:space="preserve">Dix éléments clés dérivés du cadre Sendai sont utilisés comme sous-indicateurs (5 niveaux de 0 à 1 : 0, 0,25, 0,50, 0,75, 1,0) pour mesurer </w:t>
        <w:br/>
        <w:t xml:space="preserve">alignement avec le cadre Sendai. Les États membres doivent évaluer le niveau de mise en œuvre de chaque sous-indicateur. </w:t>
        <w:br/>
        <w:t xml:space="preserve">Cet indicateur est calculé à partir de la moyenne arithmétique de ces sous-indicateurs : </w:t>
        <w:br/>
        <w:t xml:space="preserve">Les stratégies nationales de RRC doivent </w:t>
        <w:br/>
        <w:t>je. Avoir des échelles de temps différentes, avec des objectifs, des indicateurs et des délais</w:t>
        <w:br/>
        <w:t>ii. Avoir pour objectif de prévenir la création de risques</w:t>
        <w:br/>
        <w:t>iii. Avoir pour objectif de réduire les risques existants</w:t>
        <w:br/>
        <w:t>iv. Avoir pour objectif de renforcer la résilience économique, sociale, sanitaire et environnementale</w:t>
        <w:br/>
        <w:t xml:space="preserve">v. Répondre aux recommandations de la priorité 1, Comprendre les risques de catastrophe : sur la base de la connaissance et des évaluations des risques pour identifier les risques au niveau </w:t>
        <w:br/>
        <w:t>niveaux local et national de la capacité technique, financière et administrative de gestion des risques de catastrophe</w:t>
        <w:br/>
        <w:t xml:space="preserve">vi. Répondre aux recommandations de la priorité 2, Renforcer la gouvernance des risques de catastrophe pour gérer les risques de catastrophe : intégrer et intégrer la RRC </w:t>
        <w:br/>
        <w:t>au sein et entre tous les secteurs, en définissant les rôles et les responsabilités</w:t>
        <w:br/>
        <w:t xml:space="preserve">vii. Répondre aux recommandations de la priorité 3, Investir dans la réduction des risques de catastrophe pour la résilience : Guide d'allocation des ressources nécessaires </w:t>
        <w:br/>
        <w:t>à tous les niveaux de l’administration pour l’élaboration et la mise en œuvre de stratégies de RRC dans tous les secteurs concernés</w:t>
        <w:br/>
        <w:t xml:space="preserve">viii. Répondre aux recommandations de la priorité 4, Améliorer la préparation aux catastrophes pour une réponse efficace et « Reconstruire en mieux » lors du relèvement, </w:t>
        <w:br/>
        <w:t xml:space="preserve">réhabilitation et reconstruction : renforcer la préparation aux catastrophes pour la réponse et intégrer la préparation et le développement de la réponse en matière de RRC </w:t>
        <w:br/>
        <w:t>des mesures pour rendre les nations et les communautés résilientes aux catastrophes</w:t>
        <w:br/>
        <w:t xml:space="preserve">ix. Promouvoir la cohérence des politiques pertinentes pour la réduction des risques de catastrophe tels que le développement durable, l'éradication de la pauvreté et le changement climatique, </w:t>
        <w:br/>
        <w:t>notamment avec les ODD et l’Accord de Paris</w:t>
        <w:br/>
        <w:t xml:space="preserve">X. Disposer de mécanismes de suivi, d’évaluation périodique et de rapport public sur les progrès. </w:t>
        <w:br/>
        <w:t>Commentaires et limites :</w:t>
        <w:br/>
        <w:t xml:space="preserve">Le système de suivi du cadre de Sendai a été développé pour mesurer les progrès dans la mise en œuvre du cadre de Sendai en </w:t>
        <w:br/>
        <w:t xml:space="preserve">Indicateurs approuvés par l’AGNU. Les États membres doivent rendre compte via le système à partir de mars 2018. Les données pour les indicateurs des ODD sont compilées et </w:t>
        <w:br/>
        <w:t>rapporté par l’UNISDR.</w:t>
        <w:br/>
        <w:t xml:space="preserve">Contrairement à une mesure binaire des « dispositions législatives et/ou réglementaires de la RRC » dans le précédent Hyogo Framework for Action Monitor, le </w:t>
        <w:br/>
        <w:t xml:space="preserve">Sendai Framework Monitor peut mesurer progressivement les progrès en fonction de plusieurs dimensions du niveau de mise en œuvre. </w:t>
        <w:br/>
        <w:t>Indicateurs proxy, alternatifs et supplémentaires : N/A</w:t>
        <w:br/>
        <w:t>Aucun</w:t>
      </w:r>
    </w:p>
    <w:p>
      <w:pPr>
        <w:pStyle w:val="Heading2"/>
      </w:pPr>
      <w:r>
        <w:t>Page 20</w:t>
      </w:r>
    </w:p>
    <w:p>
      <w:r>
        <w:t>Texte d'en-tête</w:t>
        <w:br/>
        <w:t>Texte de pied de page</w:t>
        <w:br/>
        <w:t>Organisation(s) internationale(s) de surveillance mondiale</w:t>
        <w:br/>
        <w:t>URL officielle des métadonnées ODD</w:t>
        <w:br/>
        <w:t xml:space="preserve">https://unstats.un.org/sdgs/metadata/files/Metadata-11-0B-01.pdf </w:t>
        <w:br/>
        <w:t>Méthodologie reconnue au niveau international et URL des lignes directrices</w:t>
        <w:br/>
        <w:t xml:space="preserve">Conseils techniques pour le suivi et l'établissement de rapports sur les progrès accomplis dans la réalisation des objectifs mondiaux du Cadre de Sendai pour la réduction des risques de catastrophe </w:t>
        <w:br/>
        <w:t>(UNISDR 2018)   https://www.preventionweb.net/publications/view/54970</w:t>
        <w:br/>
        <w:t>Autres références</w:t>
        <w:br/>
        <w:t xml:space="preserve">Rapport du groupe de travail intergouvernemental d'experts à composition non limitée sur les indicateurs et la terminologie relatifs à la réduction des risques de catastrophe (OEIWG). </w:t>
        <w:br/>
        <w:t xml:space="preserve">Disponible sur : Approuvé par l'AGNU le 2 février 2017. nd https://www.preventionweb.net/publications/view/51748 </w:t>
        <w:br/>
        <w:t>Exemples de pays</w:t>
        <w:br/>
        <w:t>N/D</w:t>
        <w:br/>
        <w:t>Ce document a été préparé sur la base des contributions du Bureau des Nations Unies pour la réduction des risques de catastrophe (UNISDR).</w:t>
        <w:br/>
        <w:t>Pour obtenir des informations sur les points focaux pour cet indicateur, veuillez visiter https://unstats.un.org/sdgs/dataContacts/</w:t>
      </w:r>
    </w:p>
    <w:p>
      <w:pPr>
        <w:pStyle w:val="Heading2"/>
      </w:pPr>
      <w:r>
        <w:t>Page 21</w:t>
      </w:r>
    </w:p>
    <w:p>
      <w:r>
        <w:t>Texte d'en-tête</w:t>
        <w:br/>
        <w:t>Texte de pied de page</w:t>
        <w:br/>
        <w:t>Objectif 2</w:t>
        <w:br/>
        <w:t xml:space="preserve">Éliminer la faim, parvenir à la sécurité alimentaire et améliorer la nutrition et </w:t>
        <w:br/>
        <w:t>promouvoir une agriculture durable</w:t>
        <w:br/>
        <w:t xml:space="preserve"> </w:t>
        <w:br/>
        <w:t>Page d'accueil du manuel électronique</w:t>
        <w:br/>
        <w:t>Dans cet objectif :</w:t>
        <w:br/>
        <w:t xml:space="preserve">La Division de statistique des Nations Unies (DSNU) a travaillé en consultation avec l'agence(s) dépositaire(s) de chaque indicateur pour préparer ces chapitres. Pour </w:t>
        <w:br/>
        <w:t>les indicateurs qui n’ont pas encore de chapitre ici, sont en cours de préparation et seront téléchargés ici dès qu’ils seront disponibles.</w:t>
        <w:br/>
        <w:t>Si vous avez des questions sur le manuel électronique, n'hésitez pas à contacter M. Yuxi Zhang (yuxi.zhang@un.org) avec copie à M. Ze Yar Min (min@</w:t>
        <w:br/>
        <w:t>.un.org)</w:t>
      </w:r>
    </w:p>
    <w:p>
      <w:pPr>
        <w:pStyle w:val="Heading2"/>
      </w:pPr>
      <w:r>
        <w:t>Page 22</w:t>
      </w:r>
    </w:p>
    <w:p>
      <w:r>
        <w:t>Texte d'en-tête</w:t>
        <w:br/>
        <w:t>Texte de pied de page</w:t>
        <w:br/>
        <w:t>Indicateur 2.1.1</w:t>
        <w:br/>
        <w:t>Page d'accueil du manuel électronique</w:t>
        <w:br/>
        <w:t>Nom de l’indicateur, cible et objectif</w:t>
        <w:br/>
        <w:t>Définition et justification</w:t>
        <w:br/>
        <w:t>Contenu</w:t>
        <w:br/>
        <w:t>Nom de l’indicateur, cible et objectif</w:t>
        <w:br/>
        <w:t>Définition et justification</w:t>
        <w:br/>
        <w:t>Sources de données et méthode de collecte</w:t>
        <w:br/>
        <w:t>Méthode de calcul et autres considérations méthodologiques</w:t>
        <w:br/>
        <w:t>Désagrégation des données</w:t>
        <w:br/>
        <w:t>Références</w:t>
        <w:br/>
        <w:t>Organisation(s) internationale(s) de surveillance mondiale</w:t>
        <w:br/>
        <w:t xml:space="preserve"> Indicateur 2.1.1 : Prévalence de la sous-alimentation</w:t>
        <w:br/>
        <w:t xml:space="preserve">Cible 2.1 : D’ici 2030, éliminer la faim et garantir l’accès de tous, en particulier des pauvres et des personnes en situation vulnérable, y compris les nourrissons, à </w:t>
        <w:br/>
        <w:t>une alimentation sûre, nutritive et suffisante toute l’année</w:t>
        <w:br/>
        <w:t>Objectif 2 : Éliminer la faim, parvenir à la sécurité alimentaire, améliorer la nutrition et promouvoir une agriculture durable</w:t>
      </w:r>
    </w:p>
    <w:p>
      <w:pPr>
        <w:pStyle w:val="Heading2"/>
      </w:pPr>
      <w:r>
        <w:t>Page 23</w:t>
      </w:r>
    </w:p>
    <w:p>
      <w:r>
        <w:t>Texte d'en-tête</w:t>
        <w:br/>
        <w:t>Texte de pied de page</w:t>
        <w:br/>
        <w:t>Sources de données et méthode de collecte</w:t>
        <w:br/>
        <w:t>Définition :</w:t>
        <w:br/>
        <w:t xml:space="preserve">La prévalence de la sous-alimentation (PoU) est la proportion de la population dont la consommation alimentaire habituelle est insuffisante pour assurer les besoins alimentaires. </w:t>
        <w:br/>
        <w:t xml:space="preserve">niveaux d’énergie alimentaire nécessaires au maintien d’une vie normale, active et saine. Il est exprimé en pourcentage. </w:t>
        <w:br/>
        <w:t>Concepts :</w:t>
        <w:br/>
        <w:t xml:space="preserve">La sous-alimentation est définie comme une faim chronique, une condition dans laquelle une personne n'a pas suffisamment accès aux quantités de nourriture nécessaires pour subvenir à ses besoins. </w:t>
        <w:br/>
        <w:t xml:space="preserve">l'énergie nécessaire pour mener une vie normale, saine et active, compte tenu de leurs besoins énergétiques alimentaires individuels sur une période d'au moins un </w:t>
        <w:br/>
        <w:t xml:space="preserve">année. Le concept englobe trois aspects : la disponibilité de la nourriture, l'inégalité d'accès à cette nourriture et les besoins énergétiques alimentaires minimaux. </w:t>
        <w:br/>
        <w:t xml:space="preserve">compatible avec une bonne santé à long terme. </w:t>
        <w:br/>
        <w:t xml:space="preserve">La nourriture disponible pour la consommation humaine est la somme des produits alimentaires produits dans le pays et importés, moins les exportations alimentaires, les aliments retirés. </w:t>
        <w:br/>
        <w:t xml:space="preserve">provenant des stocks à des fins autres que la consommation humaine (aliments pour animaux, semences, utilisation inducatirale) et pertes alimentaires. Celle-ci est ensuite convertie en énergie alimentaire </w:t>
        <w:br/>
        <w:t xml:space="preserve">termes exprimés en kilocalories et divisés par la population totale et le nombre de jours dans l'année pour obtenir la moyenne quotidienne par personne. </w:t>
        <w:br/>
        <w:t xml:space="preserve">énergie alimentaire par habitant disponible pour la consommation humaine. Cette valeur énergétique alimentaire est utilisée comme indicateur de la consommation énergétique alimentaire habituelle. </w:t>
        <w:br/>
        <w:t>par habitant et par jour. Pour lisser les fluctuations annuelles, une moyenne sur trois ans est calculée.</w:t>
        <w:br/>
        <w:t xml:space="preserve">Le niveau d'inégalité dans l'accès à l'alimentation est mesuré par deux coefficients : (1) la variation de la consommation énergétique alimentaire due au revenu </w:t>
        <w:br/>
        <w:t xml:space="preserve">les différences dérivées des données sur la consommation alimentaire et les revenus collectées dans les enquêtes auprès des ménages ; (2) la variation de la consommation énergétique alimentaire due </w:t>
        <w:br/>
        <w:t xml:space="preserve">aux facteurs biologiques déterminant les besoins énergétiques alimentaires des individus (ce coefficient est dérivé des données d’une enquête anthropométrique sur les besoins énergétiques atteints). </w:t>
        <w:br/>
        <w:t xml:space="preserve">(taille par sexe et par âge, normes sur les besoins énergétiques et données sur la structure de la population par sexe et par âge du pays). Inégalité dans l’accès à la nourriture due </w:t>
        <w:br/>
        <w:t xml:space="preserve">Les différences dans les caractéristiques socio-économiques peuvent être causées par des changements dans les facteurs économiques, sociopolitiques et environnementaux tels que </w:t>
        <w:br/>
        <w:t xml:space="preserve">disponibilité physique de la nourriture et prix. L’inégalité dans l’accès à l’alimentation due à des facteurs déterminant les besoins énergétiques alimentaires des individus reflète </w:t>
        <w:br/>
        <w:t xml:space="preserve">différences de sexe, d’âge, d’état physiologique, de poids corporel et de niveau d’activité physique. </w:t>
        <w:br/>
        <w:t xml:space="preserve">Dans une distribution de probabilité de la consommation énergétique alimentaire habituelle, le niveau minimum de besoins énergétiques alimentaires, ou seuil, est : </w:t>
        <w:br/>
        <w:t xml:space="preserve">dérivé en utilisant les normes énergétiques établies par l’Organisation des Nations Unies pour l’alimentation et l’agriculture, l’Organisation mondiale de la santé et </w:t>
        <w:br/>
        <w:t xml:space="preserve">l’Université des Nations Unies (FAO/OMS/UNU) pour différents groupes de sexe et d’âge. Le niveau minimum d'exigences correspond à </w:t>
        <w:br/>
        <w:t xml:space="preserve">activité physique sédentaire et poids corporel minimum acceptable pour les hauteurs atteintes. Puisque les besoins énergétiques des adultes sont presque le double de l’énergie </w:t>
        <w:br/>
        <w:t xml:space="preserve">nécessaire à un enfant de trois ans, l'estimation du besoin énergétique minimum par habitant dans un pays doit tenir compte du sexe et de l'âge. </w:t>
        <w:br/>
        <w:t xml:space="preserve">structure de la population. Par conséquent, les besoins énergétiques quotidiens par habitant utilisés comme seuil pour estimer la sous-alimentation dans une période donnée </w:t>
        <w:br/>
        <w:t xml:space="preserve">année, est calculé au niveau national, sur la base des besoins énergétiques alimentaires des différents groupes d'âge et de sexe, et de la proportion de la population </w:t>
        <w:br/>
        <w:t xml:space="preserve">représentés par chaque groupe sexe-âge. </w:t>
        <w:br/>
        <w:t>Justification et interprétation :</w:t>
        <w:br/>
        <w:t xml:space="preserve">Cet indicateur mesure le niveau d'insuffisance énergétique alimentaire, un aspect important de l'insécurité alimentaire d'une population et la capacité à </w:t>
        <w:br/>
        <w:t xml:space="preserve">soutenir un développement qui exige des efforts pour réduire la pauvreté, notamment trouver des solutions à la faim et à la malnutrition. Réduire la faim est un </w:t>
        <w:br/>
        <w:t xml:space="preserve">condition préalable à une réduction durable de la pauvreté, car la sous-alimentation affecte gravement, entre autres, la productivité du travail, la santé et </w:t>
        <w:br/>
        <w:t xml:space="preserve">capacité d’apprentissage et donc propension à gagner de l’argent.  Au sein d'un pays, cet indicateur permet de suivre dépend de la quantité d'énergie alimentaire </w:t>
        <w:br/>
        <w:t xml:space="preserve">l’insuffisance d’une population, générée par la combinaison de changements dans la disponibilité globale de la nourriture, dans la capacité des ménages à accéder </w:t>
        <w:br/>
        <w:t xml:space="preserve">elle, ainsi que dans la situation socio-économique, géographique et les caractéristiques démographiques de la population. Il permet également d'analyser les différences entre </w:t>
        <w:br/>
        <w:t xml:space="preserve">pays et régions du monde à un moment donné. </w:t>
        <w:br/>
        <w:t xml:space="preserve">L’indicateur va de 0 pour cent (aucune population sous-alimentée) à 100 pour cent (l’ensemble de la population est sous-alimentée). Dans un délai donné </w:t>
        <w:br/>
        <w:t xml:space="preserve">Dans un pays donné, une valeur plus élevée de cet indicateur signifie qu’un plus grand nombre de personnes souffrent de sous-alimentation (privation alimentaire). Parmi les pays, un taux plus élevé </w:t>
        <w:br/>
        <w:t xml:space="preserve">Cette valeur ne signifie pas nécessairement un nombre plus élevé de personnes sous-alimentées, car elle dépend de la taille de la population totale. Ce qui suit </w:t>
        <w:br/>
        <w:t>Les catégories de sous-alimentation sont les plus couramment utilisées :</w:t>
        <w:br/>
        <w:t>&lt;5% Très faible</w:t>
        <w:br/>
        <w:t>5% - &gt;14,9% Modérément faible</w:t>
        <w:br/>
        <w:t>15% - &gt;24,9% Modérément élevé</w:t>
        <w:br/>
        <w:t>25% - &gt;34,9% Élevé</w:t>
        <w:br/>
        <w:t>35 % et plus Très élevé</w:t>
        <w:br/>
        <w:t xml:space="preserve">Les changements apportés à l’indicateur guident les gouvernements et les organisations internationales dans la formulation de politiques et la mise en œuvre d’actions visant à : améliorer </w:t>
        <w:br/>
        <w:t xml:space="preserve">la disponibilité et l'accès à la nourriture par la population, réduisant l'impact négatif de l'augmentation des inégalités de revenus et faisant face aux tendances alimentaires </w:t>
        <w:br/>
        <w:t>besoins.</w:t>
      </w:r>
    </w:p>
    <w:p>
      <w:pPr>
        <w:pStyle w:val="Heading2"/>
      </w:pPr>
      <w:r>
        <w:t>Page 24</w:t>
      </w:r>
    </w:p>
    <w:p>
      <w:r>
        <w:t>Texte d'en-tête</w:t>
        <w:br/>
        <w:t>Texte de pied de page</w:t>
        <w:br/>
        <w:t>Méthode de calcul et autres considérations méthodologiques</w:t>
        <w:br/>
        <w:t>Les trois principales sources de données au niveau national, utilisées pour le suivi de la PoU au niveau national, sont :</w:t>
        <w:br/>
        <w:t>(1)    Rapports officiels sur la production, le commerce et l'utilisation des principales cultures vivrières et de l'élevage ;</w:t>
        <w:br/>
        <w:t>(2)    Données d'enquête auprès des ménages sur la consommation alimentaire ; et</w:t>
        <w:br/>
        <w:t xml:space="preserve">(3)    Caractéristiques démographiques de la population nationale. </w:t>
        <w:br/>
        <w:t xml:space="preserve">Les sources de données sur la production agricole sont généralement des enquêtes nationales menées par le Ministère de l'agriculture/de l'élevage ou par le Ministère de l'agriculture et de l'élevage. </w:t>
        <w:br/>
        <w:t xml:space="preserve">Office statistique. Les enquêtes sont généralement annuelles et, en l'absence de mesures directes, utilisent des informations sur les superficies/le nombre d'animaux et </w:t>
        <w:br/>
        <w:t xml:space="preserve">rendements des cultures/poids des carcasses pour calculer les quantités de produits agricoles ou d'élevage. Les recensements agricoles peuvent compléter ces enquêtes en fournissant </w:t>
        <w:br/>
        <w:t xml:space="preserve">des données plus à jour sur les cultures et l’élevage, et permettent ainsi des projections/révisions plus précises. Pour la production de cultures transformées, les sources </w:t>
        <w:br/>
        <w:t xml:space="preserve">sont des exploitations agricoles et/ou des entreprises alimentaires et agricoles. Pour le commerce, tous les produits végétaux et animaux enregistrés par le bureau des douanes du </w:t>
        <w:br/>
        <w:t xml:space="preserve">pays sont pris en considération. Dans le cas de données commerciales non douanières, l'unité d'observation est l'opérateur commercial. </w:t>
        <w:br/>
        <w:t xml:space="preserve">La source idéale de données pour estimer l’inégalité dans l’accès à la nourriture serait une étude diététique individuelle soigneusement conçue et habilement menée. </w:t>
        <w:br/>
        <w:t xml:space="preserve">enquête sur l'apport alimentaire, dans laquelle la consommation alimentaire quotidienne réelle, ainsi que la taille et le poids de chaque individu interrogé, sont mesurés à plusieurs reprises </w:t>
        <w:br/>
        <w:t xml:space="preserve">sur un échantillon représentatif de la population cible. Cependant, une enquête auprès des ménages bien conçue qui recueille des informations sur la nourriture </w:t>
        <w:br/>
        <w:t xml:space="preserve">la consommation et/ou l’acquisition pourraient suffire à éclairer une estimation fiable de l’inégalité dans l’accès à la nourriture. De telles enquêtes sont généralement </w:t>
        <w:br/>
        <w:t xml:space="preserve">menée par le bureau national de statistique des pays. Quelques exemples sont l'Enquête sur les revenus et les dépenses des ménages (HIES), </w:t>
        <w:br/>
        <w:t xml:space="preserve">Enquêtes budgétaires (HBS) et enquêtes sur la mesure du niveau de vie (LSMS). </w:t>
        <w:br/>
        <w:t xml:space="preserve">Les données sur les caractéristiques démographiques telles que : (1) la taille de la population par sexe et par âge, (2) la taille médiane par sexe et par âge, et (3) la répartition des </w:t>
        <w:br/>
        <w:t xml:space="preserve">niveaux d'activité physique, est dérivé d'enquêtes démographiques et de santé (EDS) et d'enquêtes sur l'emploi du temps représentatives au niveau national. Ils sont également </w:t>
        <w:br/>
        <w:t>menées par les bureaux nationaux de statistique.</w:t>
      </w:r>
    </w:p>
    <w:p>
      <w:pPr>
        <w:pStyle w:val="Heading2"/>
      </w:pPr>
      <w:r>
        <w:t>Page 25</w:t>
      </w:r>
    </w:p>
    <w:p>
      <w:r>
        <w:t>Texte d'en-tête</w:t>
        <w:br/>
        <w:t>Texte de pied de page</w:t>
        <w:br/>
        <w:t>Désagrégation des données</w:t>
        <w:br/>
        <w:t>Méthode de calcul :</w:t>
        <w:br/>
        <w:t xml:space="preserve">Les estimations de la prévalence de la sous-alimentation sont essentiellement une mesure de la privation alimentaire basée sur le calcul de quatre facteurs clés : </w:t>
        <w:br/>
        <w:t xml:space="preserve">paramètres pour chaque pays : la quantité moyenne de consommation alimentaire quotidienne habituelle par habitant (la nourriture disponible pour la consommation humaine est </w:t>
        <w:br/>
        <w:t xml:space="preserve">utilisé comme indicateur), le niveau d'inégalité dans l'accès à l'alimentation, l'asymétrie dans la répartition de la consommation habituelle par habitant et le minimum </w:t>
        <w:br/>
        <w:t xml:space="preserve">besoins énergétiques alimentaires de la population analysée. </w:t>
        <w:br/>
        <w:t>Cet indicateur a été défini dans un cadre de distribution de probabilité comme suit :</w:t>
        <w:br/>
        <w:t xml:space="preserve">    </w:t>
        <w:br/>
        <w:t>où,</w:t>
        <w:br/>
        <w:t>P(U) est la proportion de personnes sous-alimentées dans la population totale ;</w:t>
        <w:br/>
        <w:t>DEC est la moyenne de la répartition de la consommation énergétique alimentaire quotidienne habituelle par habitant dans la population ;</w:t>
        <w:br/>
        <w:t>CV est le coefficient de variation de la répartition de la consommation énergétique alimentaire quotidienne habituelle par habitant dans la population ;</w:t>
        <w:br/>
        <w:t xml:space="preserve">L'asymétrie est l'asymétrie qui caractérise l'asymétrie de la distribution de la consommation énergétique alimentaire quotidienne habituelle par habitant dans le pays. </w:t>
        <w:br/>
        <w:t>population; et</w:t>
        <w:br/>
        <w:t xml:space="preserve">MDER correspond aux besoins énergétiques alimentaires minimum de la population. </w:t>
        <w:br/>
        <w:t>Pour les méthodologies de calcul de DEC, CV, MDER et Skewness utilisant les données d'enquêtes auprès des ménages, voir : et http://www.fao.org/3/a-i4046e.pdf htt</w:t>
        <w:br/>
        <w:t xml:space="preserve"> ps://openknowledge.worldbank.org/handle/10986/18091</w:t>
        <w:br/>
        <w:t xml:space="preserve">Commentaires et limites : </w:t>
        <w:br/>
        <w:t>Évaluer la sous-alimentation en comparant la consommation énergétique alimentaire individuelle (recueillie par le biais d'enquêtes sur l'apport alimentaire individuel) avec la consommation énergétique individuelle</w:t>
        <w:br/>
        <w:t xml:space="preserve">les besoins énergétiques des groupes d’âge ne sont ni rentables ni pratiques ; par conséquent, seuls quelques pays mènent ce type d’enquêtes au niveau national. </w:t>
        <w:br/>
        <w:t xml:space="preserve">L'approche basée sur un modèle développée par la FAO offre la meilleure approche alternative pour fournir une mesure cohérente et fiable de la PoU. </w:t>
        <w:br/>
        <w:t>être utilisé pour le suivi mondial de la faim compte tenu des informations disponibles.</w:t>
        <w:br/>
        <w:t xml:space="preserve">En l’absence d’enquêtes sur l’apport alimentaire individuel représentatives au niveau national, en particulier dans les pays à revenu faible ou intermédiaire, la consommation alimentaire </w:t>
        <w:br/>
        <w:t xml:space="preserve">les données collectées dans les enquêtes sur la consommation et les dépenses des ménages (HCES) représentent une deuxième source de nourriture valable et abordable. Cependant, un </w:t>
        <w:br/>
        <w:t xml:space="preserve">la plupart des enquêtes auprès des individus ou des ménages sont sujettes à des erreurs de mesure : erreurs aléatoires et systématiques. Si ceux-ci ne sont pas pris en compte ultérieurement </w:t>
        <w:br/>
        <w:t xml:space="preserve">peuvent-ils affecter les estimations des paramètres de la population. Par exemple, les estimations de la consommation énergétique alimentaire pourraient être sous-estimées en raison de </w:t>
        <w:br/>
        <w:t xml:space="preserve">sous-déclaration de la consommation par les répondants à l’enquête. Il arrive également que les répondants oublient de prendre en compte les aliments consommés en dehors du ménage. </w:t>
        <w:br/>
        <w:t xml:space="preserve">Dans le contexte du suivi mondial, fournir une estimation pour tous les pays nécessiterait l'accès aux données d'enquêtes nationales sur la consommation alimentaire ou </w:t>
        <w:br/>
        <w:t xml:space="preserve">consommation pour tous les pays. Comme ces informations ne sont pas disponibles, une valeur de substitution pour la consommation énergétique alimentaire habituelle est calculée en utilisant </w:t>
        <w:br/>
        <w:t xml:space="preserve">informations sur les aliments disponibles pour la consommation humaine dans un pays obtenues à partir des bilans alimentaires (FBS). Les FBS sont compilés, par la FAO, chaque </w:t>
        <w:br/>
        <w:t xml:space="preserve">année pour 184 pays. Cependant, ces données ne sont pas non plus exemptes d'erreurs, il existe des points de données estimés ou imputés notamment sur le stock. </w:t>
        <w:br/>
        <w:t xml:space="preserve">Les niveaux et les concepts de la FAO peuvent ne pas correspondre aux concepts nationaux. Pour limiter l'effet de ces erreurs, les estimations de PoU rapportées pour la surveillance mondiale </w:t>
        <w:br/>
        <w:t xml:space="preserve">fait référence à une moyenne sur 3 ans. </w:t>
        <w:br/>
        <w:t xml:space="preserve">Les données d'enquête sont la seule source permettant d'estimer le CV et l'asymétrie et les données doivent être traitées pour réduire le biais à la hausse dans les estimations. </w:t>
        <w:br/>
        <w:t xml:space="preserve">cela est induit par la variabilité parasite due aux erreurs de mesure avant l'estimation du CV et de l'asymétrie. </w:t>
        <w:br/>
        <w:t xml:space="preserve">Si la même méthode de calcul est utilisée partout, la comparabilité dans le temps est relativement élevée. La seule cause potentielle de l’hétérogénéité </w:t>
        <w:br/>
        <w:t xml:space="preserve">est la qualité différente des données de base utilisées pour calculer les quatre paramètres. </w:t>
        <w:br/>
        <w:t>Indicateurs proxy, alternatifs et supplémentaires : N/A</w:t>
        <w:br/>
        <w:t xml:space="preserve">En raison du recours aux données des bilans alimentaires nationaux pour estimer annuellement les niveaux moyens de consommation calorique. pour 184 pays, le monde </w:t>
        <w:br/>
        <w:t xml:space="preserve">le suivi de la cible 1C des OMD et de la cible du SMA était basé sur des estimations de la PoU au niveau national uniquement. Pour la même raison, la FAO </w:t>
        <w:br/>
        <w:t xml:space="preserve">le suivi mondial de l’indicateur ODD 2.1.1 repose également sur les bilans alimentaires. </w:t>
        <w:br/>
        <w:t xml:space="preserve">En principe, l’indicateur ODD 2.1.1 peut être calculé pour n’importe quel groupe de population spécifique, à condition qu’il existe suffisamment d’informations précises pour </w:t>
        <w:br/>
        <w:t xml:space="preserve">caractériser les paramètres du modèle (c’est-à-dire la consommation énergétique alimentaire habituelle moyenne, le niveau d’inégalité d’accès à l’alimentation et la </w:t>
        <w:br/>
        <w:t xml:space="preserve">besoin énergétique alimentaire minimum) pour ce groupe spécifique.  </w:t>
        <w:br/>
        <w:t xml:space="preserve">La portée de la désagrégation dépend donc essentiellement de la disponibilité d'enquêtes conçues pour être représentatives au niveau des niveaux infranationaux. </w:t>
        <w:br/>
        <w:t xml:space="preserve">groupes de population. Étant donné la pratique dominante dans la conception des enquêtes nationales auprès des ménages, des informations suffisamment fiables sont rarement disponibles pour </w:t>
        <w:br/>
        <w:t xml:space="preserve">désagrégation au-delà du niveau de la macro-zone de résidence (urbain-rural) et des principales provinces/divisions d'un pays. Dans la mesure où </w:t>
        <w:br/>
        <w:t xml:space="preserve">la plupart des enquêtes utilisées sont conçues pour capturer avec précision la répartition des revenus, des déductions peuvent être tirées sur la PoU dans différents revenus </w:t>
        <w:br/>
        <w:t xml:space="preserve">classes de la population. La ventilation par sexe est limitée par la possibilité d'identifier et de regrouper les ménages en fonction des informations liées au genre. </w:t>
        <w:br/>
        <w:t>(comme le sexe du chef de ménage ou le ratio hommes/femmes).</w:t>
      </w:r>
    </w:p>
    <w:p>
      <w:pPr>
        <w:pStyle w:val="Heading2"/>
      </w:pPr>
      <w:r>
        <w:t>Page 26</w:t>
      </w:r>
    </w:p>
    <w:p>
      <w:r>
        <w:t>Texte d'en-tête</w:t>
        <w:br/>
        <w:t>Texte de pied de page</w:t>
        <w:br/>
        <w:t>Références</w:t>
        <w:br/>
        <w:t>Organisation(s) internationale(s) de surveillance mondiale</w:t>
        <w:br/>
        <w:t>URL officielle des métadonnées ODD</w:t>
        <w:br/>
        <w:t xml:space="preserve">https://unstats.un.org/sdgs/metadata/files/Metadata-02-01-01.pdf </w:t>
        <w:br/>
        <w:t xml:space="preserve">Méthodologie reconnue au niveau international et URL des lignes directrices </w:t>
        <w:br/>
        <w:t xml:space="preserve">http://www.fao.org/3/a-i4046e.pdf </w:t>
        <w:br/>
        <w:t>Autres références</w:t>
        <w:br/>
        <w:t>:Portail ODD de la FAO et apprentissage en ligne</w:t>
        <w:br/>
        <w:t>FAO. . Disponible sur Indicateurs des objectifs de développement durable http://www.fao.org/sustainable-development-goals/indicators/en/</w:t>
        <w:br/>
        <w:t>FAO. Centre d'apprentissage en ligne. Disponible sur http://www.fao.org/elearning/</w:t>
        <w:br/>
        <w:t>:Références supplémentaires</w:t>
        <w:br/>
        <w:t>Organisation des Nations Unies pour l'alimentation et l'agriculture. Rome. Site Internet.  Statistiques sur la sécurité alimentaire. http://www.fao.org/nomic/ess/ess-fs</w:t>
        <w:br/>
        <w:t>/fr/</w:t>
        <w:br/>
        <w:t xml:space="preserve">Organisation des Nations Unies pour l'alimentation et l'agriculture. La méthodologie du Sixième Monde pour évaluer l'insuffisance alimentaire dans les pays en développement. </w:t>
        <w:br/>
        <w:t>Enquête alimentaire http://www.fao.org/docrep/012/w0931e/w0931e16.pdf</w:t>
        <w:br/>
        <w:t xml:space="preserve">Organisation des Nations Unies pour l'alimentation et l'agriculture. KeynPart II : Méthodes de mesure de la privation alimentaire et de la sous-alimentation. </w:t>
        <w:br/>
        <w:t>ote papier.   http://www.fao.org/docrep/005/Y4249E/y4249e06.htm#bm06</w:t>
        <w:br/>
        <w:t xml:space="preserve">Carlo Cafiero, 2014. Avancées dans la mesure de la faim : méthodes traditionnelles de la FAO et innovations récentes. Document de travail du SSE. ESS/14-04. </w:t>
        <w:br/>
        <w:t>URL : http://www.fao.org/3/a-i4060e.pdf</w:t>
        <w:br/>
        <w:t xml:space="preserve">Loganaden Naiken. 2014. Problèmes méthodologiques liés à l'estimation de la prévalence de la sous-alimentation basée sur l'énergie alimentaire </w:t>
        <w:br/>
        <w:t>Données de consommation : un examen et une clarification.</w:t>
        <w:br/>
        <w:t>Document de travail du SSE. ESS/14-03.URL : http://www.fao.org/3/a-i4062e.pdf</w:t>
        <w:br/>
        <w:t xml:space="preserve">Moltedo, A., Troubat, N., Lokshin, M. &amp; Sajaia, Z. 2014. Analyse de la sécurité alimentaire à l'aide des données d'enquêtes auprès des ménages : analyse rationalisée avec </w:t>
        <w:br/>
        <w:t>Logiciel ADePT. Washington (DC) : Banque mondiale. URL : https://openknowledge.worldbank.org/handle/10986/18091</w:t>
        <w:br/>
        <w:t>Exemples de pays :</w:t>
        <w:br/>
        <w:t xml:space="preserve">Certains pays ont publié des estimations de la prévalence de la sous-alimentation aux niveaux national et infranational en matière d'insécurité alimentaire.  </w:t>
        <w:br/>
        <w:t>rapports d'évaluation.</w:t>
        <w:br/>
        <w:t>URL : http://www.fao.org/nomic/ess/ess-fs/fscapdev/essfscd/en/</w:t>
        <w:br/>
        <w:t>Ce document a été préparé sur la base des contributions de l'Organisation pour l'alimentation et l'agriculture (FAO).</w:t>
        <w:br/>
        <w:t>Pour obtenir des informations sur les points focaux pour cet indicateur, veuillez visiter https://unstats.un.org/sdgs/dataContacts/</w:t>
      </w:r>
    </w:p>
    <w:p>
      <w:pPr>
        <w:pStyle w:val="Heading2"/>
      </w:pPr>
      <w:r>
        <w:t>Page 27</w:t>
      </w:r>
    </w:p>
    <w:p>
      <w:r>
        <w:t>Texte d'en-tête</w:t>
        <w:br/>
        <w:t>Texte de pied de page</w:t>
        <w:br/>
        <w:t>Indicateur 2.1.2</w:t>
        <w:br/>
        <w:t>Page d'accueil du manuel électronique</w:t>
        <w:br/>
        <w:t>Nom de l’indicateur, cible et objectif</w:t>
        <w:br/>
        <w:t>Définition et justification</w:t>
        <w:br/>
        <w:t>Sources de données et méthode de collecte</w:t>
        <w:br/>
        <w:t>Contenu</w:t>
        <w:br/>
        <w:t>Nom de l’indicateur, cible et objectif</w:t>
        <w:br/>
        <w:t>Définition et justification</w:t>
        <w:br/>
        <w:t>Sources de données et méthode de collecte</w:t>
        <w:br/>
        <w:t>Méthode de calcul et autres considérations méthodologiques</w:t>
        <w:br/>
        <w:t>Désagrégation des données</w:t>
        <w:br/>
        <w:t>Références</w:t>
        <w:br/>
        <w:t>Organisation(s) internationale(s) de surveillance mondiale</w:t>
        <w:br/>
        <w:t xml:space="preserve"> Indicateur 2.1.2 : Prévalence de l'insécurité alimentaire modérée ou grave au sein de la population, sur la base de l'échelle d'expérience en matière d'insécurité alimentaire (FIES)</w:t>
        <w:br/>
        <w:t xml:space="preserve">Cible 2.1 : D’ici 2030, éliminer la faim et garantir l’accès de tous, en particulier des pauvres et des personnes en situation vulnérable, y compris les nourrissons, à </w:t>
        <w:br/>
        <w:t>une alimentation sûre, nutritive et suffisante toute l’année</w:t>
        <w:br/>
        <w:t>Objectif 2 : Éliminer la faim, parvenir à la sécurité alimentaire, améliorer la nutrition et promouvoir une agriculture durable</w:t>
        <w:br/>
        <w:t>Définition :</w:t>
        <w:br/>
        <w:t xml:space="preserve">L'indicateur est défini comme la part de la population nationale qui a connu l'insécurité alimentaire, sur la base de l'expérience en matière d'insécurité alimentaire. </w:t>
        <w:br/>
        <w:t>(FIES), à des niveaux modérés ou sévères pendant la période de référence.  est une métrique de mesure évaluée par les pairs et développée par la FAO, la FIES</w:t>
        <w:br/>
        <w:t xml:space="preserve">dans le cadre du projet Voices of the Hungry (VOH), pour comparer les niveaux d’insécurité alimentaire entre les pays. </w:t>
        <w:br/>
        <w:t>Concepts :</w:t>
        <w:br/>
        <w:t xml:space="preserve">L'insécurité alimentaire est une situation qui existe lorsque les personnes n'ont pas un accès sûr à des quantités suffisantes d'aliments sûrs et nutritifs répondant à leurs besoins alimentaires. </w:t>
        <w:br/>
        <w:t xml:space="preserve">besoins et préférences alimentaires pour une vie active et saine. L'insécurité alimentaire peut être chronique, saisonnière ou transitoire. </w:t>
        <w:br/>
        <w:t>Les personnes confrontées à des niveaux d’insécurité alimentaire auront généralement un régime alimentaire de moindre qualité et peuvent, à certains moments au cours de l’année, être contraintes à des régimes alimentaires modérés.</w:t>
        <w:br/>
        <w:t>réduire également la quantité de nourriture qu’ils consommeraient normalement ; ceux qui présentaient des niveaux seraient restés des jours entiers sans manger en raison de graves</w:t>
        <w:br/>
        <w:t xml:space="preserve">au manque d'argent ou d'autres ressources. </w:t>
        <w:br/>
        <w:t>Justification et interprétation :</w:t>
        <w:br/>
        <w:t xml:space="preserve">L’insécurité alimentaire est associée à l’incapacité d’accéder régulièrement à une nourriture sûre, nutritive et suffisante. </w:t>
        <w:br/>
        <w:t xml:space="preserve">Une prévalence élevée d’insécurité alimentaire à des niveaux modérés peut être considérée comme un indicateur de diverses formes de problèmes de santé liés à l’alimentation dans le monde. </w:t>
        <w:br/>
        <w:t xml:space="preserve">population, associée à une carence en micronutriments et à une alimentation déséquilibrée. En revanche, des niveaux graves d’insécurité alimentaire impliquent un </w:t>
        <w:br/>
        <w:t>la probabilité d’une réduction de l’apport alimentaire et peut donc conduire à des formes plus graves de dénutrition, y compris la faim.</w:t>
      </w:r>
    </w:p>
    <w:p>
      <w:pPr>
        <w:pStyle w:val="Heading2"/>
      </w:pPr>
      <w:r>
        <w:t>Page 28</w:t>
      </w:r>
    </w:p>
    <w:p>
      <w:r>
        <w:t>Texte d'en-tête</w:t>
        <w:br/>
        <w:t>Texte de pied de page</w:t>
        <w:br/>
        <w:t>Méthode de calcul et autres considérations méthodologiques</w:t>
        <w:br/>
        <w:t xml:space="preserve">Certains pays dans le monde utilisent déjà des échelles d’insécurité alimentaire fondées sur l’expérience, validées au niveau national et appliquées dans de nombreux pays. </w:t>
        <w:br/>
        <w:t xml:space="preserve">enquêtes nationales et/ou sont intégrées dans les systèmes de surveillance nationaux. La plupart de ces échelles reposent sur le même cadre théorique </w:t>
        <w:br/>
        <w:t>et la construction de l'insécurité alimentaire comme le FIES.</w:t>
        <w:br/>
        <w:t xml:space="preserve">Les données au niveau individuel ou familial peuvent être collectées à l’aide de l’un des nombreux questionnaires d’échelle de sécurité alimentaire basés sur l’expérience.  N'importe lequel de </w:t>
        <w:br/>
        <w:t xml:space="preserve">ces modules d'enquête recueillent des réponses à des questions demandant de rendre compte de l'apparition d'un certain nombre d'expériences et de conditions typiques </w:t>
        <w:br/>
        <w:t>associés à l’insécurité alimentaire :</w:t>
        <w:br/>
        <w:t xml:space="preserve">(1)    le module d'enquête sur la sécurité alimentaire des ménages (HFSSM) développé par le service de recherche économique du ministère américain de l'Agriculture, </w:t>
        <w:br/>
        <w:t>et utilisé aux États-Unis et au Canada, https://www.ers.usda.gov/webdocs/DataFiles/50764/qn2016.pdf?v=42984</w:t>
        <w:br/>
        <w:t xml:space="preserve">(2)    l'échelle de sécurité alimentaire pour l'Amérique latine et les Caraïbes (ou Escala Latinoamericana y Caribeña de Seguridad Alimentaria – ELCSA), utilisée </w:t>
        <w:br/>
        <w:t>au Guatemala et testé dans plusieurs autres pays hispanophones d'Amérique latine, http://www.fao.org/3/a-i3065s.pdf https://coin.fao.org/coin-</w:t>
        <w:br/>
        <w:t>static/cms/media/9/13155829028740/validacion_elcsa_guatemala.pdf</w:t>
        <w:br/>
        <w:t>(3)    l'échelle mexicaine de sécurité alimentaire (ou Escala Mexicana de Seguridad Alimentaria, - EMSA), une adaptation de l'ELCSA utilisée au Mexique, http :</w:t>
        <w:br/>
        <w:t>//www.medigraphic.com/pdfs/veracruzana/muv-2014/muv142c.pdf</w:t>
        <w:br/>
        <w:t>(4)    l'échelle brésilienne d'insécurité alimentaire (Escala Brasileira de medida de la Insegurança Alimentar – EBIA) utilisée au Brésil, http://www.bvsde.paho.</w:t>
        <w:br/>
        <w:t>, ororg/texcom/nutricion/memredsan_3.pdf https://biblioteca.ibge.gov.br/visualizacao/livros/liv91984.pdf</w:t>
        <w:br/>
        <w:t>(5)    l'échelle d'accès à l'insécurité alimentaire des ménages (HFIAS),   http://www.fao.org/fileadmin/user_upload/eufao-fsi4dm/doc-training/hfias.pdf</w:t>
        <w:br/>
        <w:t>Les modules ci-dessus peuvent également être adaptés aux besoins locaux, à condition que les résultats puissent être calibrés pour être utilisés avec le FIES.</w:t>
      </w:r>
    </w:p>
    <w:p>
      <w:pPr>
        <w:pStyle w:val="Heading2"/>
      </w:pPr>
      <w:r>
        <w:t>Page 29</w:t>
      </w:r>
    </w:p>
    <w:p>
      <w:r>
        <w:t>Texte d'en-tête</w:t>
        <w:br/>
        <w:t>Texte de pied de page</w:t>
        <w:br/>
        <w:t>Désagrégation des données</w:t>
        <w:br/>
        <w:t>Méthode de calcul :</w:t>
        <w:br/>
        <w:t xml:space="preserve">L'indicateur peut être calculé en analysant les données d'enquête à l'aide du modèle Rasch (également connu sous le nom de modèle logistique à un paramètre, 1-PL), qui </w:t>
        <w:br/>
        <w:t xml:space="preserve">postule que la probabilité d'observer une réponse affirmative du répondant i à la question j, est une fonction logistique de la distance, sur un </w:t>
        <w:br/>
        <w:t>échelle de gravité sous-jacente, entre la position du répondant, ? , et celui de l'article, ? . Paramètres ?  et ?  peut être estimé en utilisant ? ? ? ?</w:t>
        <w:br/>
        <w:t>procédures du maximum de vraisemblance. Paramètres ? , en particulier, sont interprétés comme une mesure de la gravité de la situation de sécurité alimentaire pour chaque ?</w:t>
        <w:br/>
        <w:t>répondants et sont utilisés pour les classer en classes d’insécurité alimentaire.</w:t>
        <w:br/>
        <w:t xml:space="preserve"> </w:t>
        <w:br/>
        <w:t xml:space="preserve"> </w:t>
        <w:br/>
        <w:t xml:space="preserve"> </w:t>
        <w:br/>
        <w:t xml:space="preserve"> </w:t>
        <w:br/>
        <w:t xml:space="preserve">Grâce à l'estimation du modèle Rasch utilisant la méthode du maximum de vraisemblance conditionnelle et à l'hypothèse que les individus ayant le même </w:t>
        <w:br/>
        <w:t xml:space="preserve">Le score brut (somme des réponses affirmatives aux questions FIES) appartient à la même répartition de l'insécurité alimentaire, il est possible d'estimer le </w:t>
        <w:br/>
        <w:t>probabilité d'être en insécurité alimentaire modérée ou grave (? ) et probabilité d'être en insécurité alimentaire sévère (? ) pour chaque mod+sev sev</w:t>
        <w:br/>
        <w:t xml:space="preserve">répondant, avec 0 &lt;?  &lt;? &lt; 1.sev mod+sev </w:t>
        <w:br/>
        <w:t>Compte tenu d'un échantillon représentatif, la prévalence de l'insécurité alimentaire à des niveaux modérés ou sévères (FI ) et à des niveaux sévères (FI ) dans le niveau mod+sev</w:t>
        <w:br/>
        <w:t xml:space="preserve">population sont calculées comme la somme pondérée de la probabilité d’appartenir à la classe d’insécurité alimentaire modérée ou grave et à la classe d’insécurité alimentaire sévère. </w:t>
        <w:br/>
        <w:t>classe d’insécurité alimentaire, respectivement, de tous les individus ou ménages interrogés dans un échantillon :</w:t>
        <w:br/>
        <w:t>et</w:t>
        <w:br/>
        <w:t>où ?  Les poids de post-stratification indiquant la proportion d'individus ou de ménages dans la population nationale sont-ils représentés par chacun ?</w:t>
        <w:br/>
        <w:t>élément dans l’échantillon.</w:t>
        <w:br/>
        <w:t>Commentaires et limites :</w:t>
        <w:br/>
        <w:t xml:space="preserve">Par rapport à d'autres indicateurs non officiels proposés de l'insécurité alimentaire des ménages, tels que ceux basés sur le score de consommation alimentaire ou sur le </w:t>
        <w:br/>
        <w:t xml:space="preserve">Coping Strategy Index, ou sur l’« Approche globale des indicateurs de rapport » (CARI) récemment publiée, l’« Expérience en matière d’insécurité alimentaire » </w:t>
        <w:br/>
        <w:t xml:space="preserve">L’approche basée sur l’échelle FIES présente l’avantage que les taux de prévalence de l’insécurité alimentaire sont directement comparables entre les groupes de population et </w:t>
        <w:br/>
        <w:t xml:space="preserve">pays. Même si elles utilisent des étiquettes similaires (telles que insécurité alimentaire « modérée » et « sévère »), d'autres approches n'ont pas encore démontré le caractère formel de l'insécurité alimentaire. </w:t>
        <w:br/>
        <w:t xml:space="preserve">comparabilité des seuils utilisés pour la classification, en raison de l'absence de définition d'un modèle statistique approprié reliant les valeurs de la </w:t>
        <w:br/>
        <w:t xml:space="preserve">« indices » ou « scores » utilisés pour la classification, selon la gravité de l’insécurité alimentaire.  C'est pourquoi il convient d'être prudent lors de la comparaison des résultats. </w:t>
        <w:br/>
        <w:t>obtenus avec le FIES avec ceux obtenus avec ces autres indicateurs, même si malheureusement des étiquettes similaires sont utilisées pour les décrire.</w:t>
        <w:br/>
        <w:t xml:space="preserve">Par rapport aux autres indicateurs utilisés pour évaluer l’état de la sécurité alimentaire au niveau national, les échelles d’insécurité alimentaire fondées sur l’expérience comme la FIES </w:t>
        <w:br/>
        <w:t>se démarquer pour les raisons suivantes :</w:t>
        <w:br/>
        <w:t>a) Interrogez directement les gens sur les comportements et les expériences alimentaires associés à l'insécurité alimentaire.</w:t>
        <w:br/>
        <w:t>b) Facilité d'administration et rapidité des rapports.</w:t>
        <w:br/>
        <w:t>c) Solidité de la base statistique utilisée pour permettre des comparaisons entre pays basées sur les informations collectées sur les individus ou les ménages.</w:t>
        <w:br/>
        <w:t>d) Capacité à refléter la profondeur de l'insécurité alimentaire en distinguant différents niveaux de gravité.</w:t>
        <w:br/>
        <w:t xml:space="preserve">e) Possibilité de ventiler les résultats par sexe lorsqu'ils sont appliqués au niveau individuel et par groupes sous-nationaux lorsqu'ils sont appliqués dans des enquêtes avec échantillons </w:t>
        <w:br/>
        <w:t>qui sont représentatifs au niveau sous-national.</w:t>
        <w:br/>
        <w:t>f) Fournit des informations exploitables que les décideurs politiques peuvent utiliser pour identifier les groupes de population vulnérables et orienter les interventions politiques.</w:t>
        <w:br/>
        <w:t xml:space="preserve">La FIES n’a pas pour but de quantifier la consommation alimentaire et ne fournit pas non plus une évaluation quantitative de la qualité alimentaire. Ce n'est pas une mesure de </w:t>
        <w:br/>
        <w:t>malnutrition et ne peut pas être utilisé pour détecter les carences nutritionnelles ou l’obésité.</w:t>
        <w:br/>
        <w:t>Indicateurs proxy, alternatifs et supplémentaires : N/A</w:t>
        <w:br/>
        <w:t xml:space="preserve">Tout le potentiel du La FIES pour générer des statistiques pouvant éclairer les politiques est réalisée lorsque l'outil est appliqué dans des enquêtes démographiques nationales plus vastes. </w:t>
        <w:br/>
        <w:t xml:space="preserve">qui permettent des analyses plus détaillées de la situation d'insécurité alimentaire en fonction du revenu, du sexe, de l'âge, de la race, de l'origine ethnique, du statut migratoire, du handicap, </w:t>
        <w:br/>
        <w:t>la situation géographique ou d’autres caractéristiques pertinentes pour la politique, comme c’est déjà le cas pour un certain nombre de pays.</w:t>
        <w:br/>
        <w:t>De cette manière, il est possible d’obtenir la prévalence de l’insécurité alimentaire de groupes de population spécifiques.</w:t>
      </w:r>
    </w:p>
    <w:p>
      <w:pPr>
        <w:pStyle w:val="Heading2"/>
      </w:pPr>
      <w:r>
        <w:t>Page 30</w:t>
      </w:r>
    </w:p>
    <w:p>
      <w:r>
        <w:t>Texte d'en-tête</w:t>
        <w:br/>
        <w:t>Texte de pied de page</w:t>
        <w:br/>
        <w:t>Références</w:t>
        <w:br/>
        <w:t>Organisation(s) internationale(s) de surveillance mondiale</w:t>
        <w:br/>
        <w:t>URL officielle des métadonnées ODD</w:t>
        <w:br/>
        <w:t>https://unstats.un.org/sdgs/metadata/files/Metadata-02-01-02.pdf</w:t>
        <w:br/>
        <w:t>Méthodologie reconnue au niveau international et URL des lignes directrices</w:t>
        <w:br/>
        <w:t>http://www.fao.org/3/a-i4830e.pdf</w:t>
        <w:br/>
        <w:t>Autres références</w:t>
        <w:br/>
        <w:t>Portail ODD de la FAO et apprentissage en ligne :</w:t>
        <w:br/>
        <w:t>FAO. Indicateurs des objectifs de développement durable. Disponible sur http://www.fao.org/sustainable-development-goals/indicators/en/</w:t>
        <w:br/>
        <w:t>FAO. Centre d'apprentissage en ligne. Disponible sur http://www.fao.org/elearning/</w:t>
        <w:br/>
        <w:t>Références supplémentaires :</w:t>
        <w:br/>
        <w:t>Organisation pour l'alimentation et l'agriculture (FAO). Site Internet. Voix des affamés. http://www.fao.org/in-action/Voices-of-the-Hungry/</w:t>
        <w:br/>
        <w:t>Organisation pour l'alimentation et l'agriculture (2016). L’échelle d’expérience en matière d’insécurité alimentaire : mesurer l’insécurité alimentaire à travers les expériences des gens. http</w:t>
        <w:br/>
        <w:t>https://www.fao.org/3/a-i7835e.pdf</w:t>
        <w:br/>
        <w:t>Module d'enquête FIES, http://www.fao.org/3/a-bl404e.pdf</w:t>
        <w:br/>
        <w:t>Cours d'apprentissage en ligne FIES http://www.fao.org/elearning/#/elc/en/course/SDG212</w:t>
        <w:br/>
        <w:t>Exemples de pays</w:t>
        <w:br/>
        <w:t>N/D</w:t>
        <w:br/>
        <w:t>Ce document a été préparé sur la base des contributions de l'Organisation pour l'alimentation et l'agriculture (FAO).</w:t>
        <w:br/>
        <w:t>Pour obtenir des informations sur les points focaux pour cet indicateur, veuillez visiter https://unstats.un.org/sdgs/dataContacts/</w:t>
      </w:r>
    </w:p>
    <w:p>
      <w:pPr>
        <w:pStyle w:val="Heading2"/>
      </w:pPr>
      <w:r>
        <w:t>Page 31</w:t>
      </w:r>
    </w:p>
    <w:p>
      <w:r>
        <w:t>Texte d'en-tête</w:t>
        <w:br/>
        <w:t>Texte de pied de page</w:t>
        <w:br/>
        <w:t>Indicateur 2.2.1</w:t>
        <w:br/>
        <w:t>Page d'accueil du manuel électronique</w:t>
        <w:br/>
        <w:t>Nom de l’indicateur, cible et objectif</w:t>
        <w:br/>
        <w:t>Définition et justification</w:t>
        <w:br/>
        <w:t>Sources de données et méthode de collecte</w:t>
        <w:br/>
        <w:t>Méthode de calcul et autres considérations méthodologiques</w:t>
        <w:br/>
        <w:t>Contenu</w:t>
        <w:br/>
        <w:t>Nom de l’indicateur, cible et objectif</w:t>
        <w:br/>
        <w:t>Définition et justification</w:t>
        <w:br/>
        <w:t>Sources de données et méthode de collecte</w:t>
        <w:br/>
        <w:t>Méthode de calcul et autres considérations méthodologiques</w:t>
        <w:br/>
        <w:t>Désagrégation des données</w:t>
        <w:br/>
        <w:t>Références</w:t>
        <w:br/>
        <w:t>Organisation(s) internationale(s) de surveillance mondiale</w:t>
        <w:br/>
        <w:t xml:space="preserve"> Indicateur 2.2.1 : Prévalence du retard de croissance (taille pour un âge &lt; -2 écart type par rapport à la médiane de l'Organisation mondiale de la santé (OMS) chez les enfants </w:t>
        <w:br/>
        <w:t>normes de croissance) chez les enfants de moins de 5 ans</w:t>
        <w:br/>
        <w:t xml:space="preserve">Cible 2.2 : D’ici 2030, mettre fin à toutes les formes de malnutrition, notamment en atteignant, d’ici 2025, les objectifs convenus au niveau international en matière de retard de croissance et d’émaciation en </w:t>
        <w:br/>
        <w:t>les enfants de moins de 5 ans et répondre aux besoins nutritionnels des adolescentes, des femmes enceintes et allaitantes et des personnes âgées</w:t>
        <w:br/>
        <w:t>Objectif 2 : Éliminer la faim, parvenir à la sécurité alimentaire, améliorer la nutrition et promouvoir une agriculture durable</w:t>
        <w:br/>
        <w:t>Définition :</w:t>
        <w:br/>
        <w:t xml:space="preserve">Cet indicateur est défini comme le pourcentage d'enfants âgés de 0 à 59 mois dont les valeurs de longueur ou de taille pour l'âge sont inférieures à moins deux normes. </w:t>
        <w:br/>
        <w:t xml:space="preserve">écarts par rapport à la médiane des normes de croissance de l’enfant de l’OMS.  </w:t>
        <w:br/>
        <w:t>Concepts :</w:t>
        <w:br/>
        <w:t xml:space="preserve">Le retard de croissance fait référence à une situation dans laquelle un enfant est trop petit pour son âge en raison d'une malnutrition chronique ou récurrente.  Aussi connu sous le nom </w:t>
        <w:br/>
        <w:t>retard de croissance linéaire, c'est une condition qui survient principalement au cours des 2 premières années de la vie et qui est en grande partie irréversible.</w:t>
        <w:br/>
        <w:t xml:space="preserve">fournir des informations médianes de référence pour cet indicateur ( ).Normes de croissance de l'enfant de l'OMS http://www.who.int/childgrowth/en/  </w:t>
        <w:br/>
        <w:t>Justification et interprétation :</w:t>
        <w:br/>
        <w:t xml:space="preserve">La croissance de l’enfant est un résultat internationalement accepté qui reflète l’état nutritionnel de l’enfant. Compte tenu du lien entre le retard de croissance et la morbidité </w:t>
        <w:br/>
        <w:t xml:space="preserve">et le risque de mortalité, les maladies non transmissibles plus tard dans la vie, ainsi que la capacité d'apprentissage et la productivité, cela peut avoir un impact négatif sur la situation du pays. </w:t>
        <w:br/>
        <w:t xml:space="preserve">développement. Le retard de croissance chez les enfants est l’un des indicateurs cibles mondiaux en matière de nutrition approuvés par l’Assemblée mondiale de la santé.  Les cibles du retard de croissance sont </w:t>
        <w:br/>
        <w:t>réduire le nombre d’enfants souffrant d’un retard de croissance de 40 % (d’ici 2025) et de 50 % (d’ici 2030), par rapport au niveau de référence de 2012.</w:t>
        <w:br/>
        <w:t xml:space="preserve">Pour la plupart des pays, des enquêtes nutritionnelles (ménages) représentatives au niveau national collectent des informations sur la taille (ou la longueur) et les données sur l'âge. Pour un </w:t>
        <w:br/>
        <w:t>un nombre limité de pays disposent de données provenant de systèmes de surveillance/d’alerte précoce qui sont en place pour collecter, analyser et interpréter en permanence les données sanitaires.</w:t>
        <w:br/>
        <w:t xml:space="preserve">les données connexes sont utilisées si une couverture suffisante de la population est documentée (environ 80 %). Pour les deux sources de données, les mesures de la taille de l’enfant doivent </w:t>
        <w:br/>
        <w:t xml:space="preserve">être collectés selon les techniques de mesure standard recommandées (OMS 2008). Pour une évaluation précise de la croissance linéaire de l'enfant, le </w:t>
        <w:br/>
        <w:t xml:space="preserve">la date de naissance doit être disponible. Ces données sont généralement collectées par les ministères de la santé, les offices nationaux de statistiques ou les instituts nationaux. </w:t>
        <w:br/>
        <w:t xml:space="preserve">de l'alimentation. </w:t>
        <w:br/>
        <w:t xml:space="preserve">À l'échelle internationale, il existe également plusieurs autres programmes d'enquête qui fournissent des données anthropométriques, notamment les enquêtes en grappes à indicateurs multiples. </w:t>
        <w:br/>
        <w:t xml:space="preserve">(MICS) soutenu par l'UNICEF, les Enquêtes Démographiques et de Santé (DHS) financées par l'Agence des États-Unis pour le Développement International </w:t>
        <w:br/>
        <w:t xml:space="preserve">(USAID), les enquêtes du Projet panarabe pour le développement de l'enfant (PAPCHILD) financées par la Ligue panarabe et l'UNFPA, le Living Standards </w:t>
        <w:br/>
        <w:t xml:space="preserve">Études de mesure (LSMS), financées par la Banque mondiale, et enquêtes nationales sur la nutrition basées sur le suivi et l'évaluation standardisés des </w:t>
        <w:br/>
        <w:t>Méthodes de secours et de transition (SMART)</w:t>
      </w:r>
    </w:p>
    <w:p>
      <w:pPr>
        <w:pStyle w:val="Heading2"/>
      </w:pPr>
      <w:r>
        <w:t>Page 32</w:t>
      </w:r>
    </w:p>
    <w:p>
      <w:r>
        <w:t>Texte d'en-tête</w:t>
        <w:br/>
        <w:t>Texte de pied de page</w:t>
        <w:br/>
        <w:t>Désagrégation des données</w:t>
        <w:br/>
        <w:t>Références</w:t>
        <w:br/>
        <w:t>Organisation(s) internationale(s) de surveillance mondiale</w:t>
        <w:br/>
        <w:t>Méthode de calcul :</w:t>
        <w:br/>
        <w:t>L’indicateur peut être calculé sous forme d’un simple pourcentage, comme suit :</w:t>
        <w:br/>
        <w:t xml:space="preserve"> </w:t>
        <w:br/>
        <w:t>Où,</w:t>
        <w:br/>
        <w:t>C est le nombre d'enfants de moins de 5 ans qui présentent un retard de croissance (c'est-à-dire que la longueur ou la taille pour l'âge est inférieure de plus de deux écarts-types à la valeur S de l'enfant de l'OMS).</w:t>
        <w:br/>
        <w:t>médiane des normes de croissance); et</w:t>
        <w:br/>
        <w:t>C est le nombre total d'enfants de moins de 5 ans mesurés. T</w:t>
        <w:br/>
        <w:t>Les normes de croissance de l'enfant de l'OMS sont disponibles à l'adresse suivante : http://www.who.int/childgrowth/standards/height_for_age/en/</w:t>
        <w:br/>
        <w:t>Commentaires et limites :</w:t>
        <w:br/>
        <w:t xml:space="preserve">Les estimations d'enquête comportent des niveaux d'incertitude dus à la fois à des erreurs d'échantillonnage et à des erreurs non dues à l'échantillonnage (par exemple, erreur technique de mesure, erreur d'enregistrement). </w:t>
        <w:br/>
        <w:t xml:space="preserve">etc). Bien que des erreurs d'échantillonnage soient disponibles pour un grand nombre d'enquêtes nationales, dans la base de données, aucune des deux sources d'erreurs n'a été identifiée. </w:t>
        <w:br/>
        <w:t xml:space="preserve">pleinement prises en compte pour établir des estimations aux niveaux régional et mondial. </w:t>
        <w:br/>
        <w:t>Indicateurs proxy, alternatifs et supplémentaires : N/A</w:t>
        <w:br/>
        <w:t xml:space="preserve">La prévalence du retard de croissance chez les enfants de moins de 5 ans doit être présentée pour l'échantillon total et ventilée par âge, sexe, type de situation. </w:t>
        <w:br/>
        <w:t>résidence, région, statut socio-économique et éducation des mères.</w:t>
        <w:br/>
        <w:t xml:space="preserve">URL officielle des métadonnées ODD </w:t>
        <w:br/>
        <w:t>https://unstats.un.org/sdgs/metadata/files/Metadata-02-02-01.pdf</w:t>
        <w:br/>
        <w:t>Méthodologie reconnue au niveau international et URL des lignes directrices</w:t>
        <w:br/>
        <w:t>Organisation mondiale de la santé.  Disponible sur : Les normes de croissance de l'enfant de l'OMS. http://www.who.int/childgrowth/en/</w:t>
        <w:br/>
        <w:t>UNICEF : http://data.unicef.org/nutrition/malnutrition.html</w:t>
        <w:br/>
        <w:t>QUI : http://www.who.int/nutgrowthdb/estimates2014/en/</w:t>
        <w:br/>
        <w:t xml:space="preserve">Banque mondiale : http://datatopics.worldbank.org/child-malnutrition </w:t>
        <w:br/>
        <w:t>Autres références</w:t>
        <w:br/>
        <w:t>Notes d'information de l'UNICEF sur les indicateurs des ODD :</w:t>
        <w:br/>
        <w:t>UNICEF. Disponible sur Notes d’information sur les indicateurs mondiaux des ODD liés aux enfants. https://data.unicef.org/resources/sdg-global-indicators-rated-</w:t>
        <w:br/>
        <w:t xml:space="preserve">aux-enfants/ </w:t>
        <w:br/>
        <w:t>Références supplémentaires :</w:t>
        <w:br/>
        <w:t xml:space="preserve">Fonds des Nations Unies pour l’enfance, Organisation mondiale de la santé, Banque mondiale (2012). Programme conjoint UNICEF-OMS-Banque mondiale sur la malnutrition infantile </w:t>
        <w:br/>
        <w:t xml:space="preserve">Estimations. </w:t>
        <w:br/>
        <w:t xml:space="preserve"> ; http://www.who.int/nutgrowthdb/estimates/en/ http://data.unicef.org/resources/joint-child-malnutrition-estimates-2017-edition/</w:t>
        <w:br/>
        <w:t xml:space="preserve">de Onis M, Blössner M, Borghi E et al. (2004). Méthodologie internationale pour estimer les tendances régionales et mondiales de la malnutrition infantile. </w:t>
        <w:br/>
        <w:t>Journal d'épidémiologie. 33(6):1260-70. Disponible sur : http://www.who.int/nutgrowthdb/publications/methodology_estimating_trends/en/</w:t>
        <w:br/>
        <w:t xml:space="preserve">Yang H et de Onis M. Algorithmes pour convertir les estimations de la malnutrition infantile basées sur la référence NCHS en estimations basées sur l'OMS </w:t>
        <w:br/>
        <w:t>. BMC Pédiatrie 2008, 8:19. Disponible sur : Normes de croissance des enfants http://www.biomedcentral.com/1471-2431/8/19</w:t>
        <w:br/>
        <w:t>Organisation mondiale de la santé (2008).  Genève, OMS. Cours de formation sur l'évaluation de la croissance de l'enfant.</w:t>
        <w:br/>
        <w:t xml:space="preserve">De Onis M et Blossner M. IntLa base de données mondiale de l'Organisation mondiale de la santé sur la croissance et la malnutrition des enfants : méthodologie et applications. </w:t>
        <w:br/>
        <w:t>Journal international d'épidémiologie 2003 ; 32 : 518-26. Disponible sur : http://www.who.int/nutgrowthdb/publications/methodology/en/</w:t>
        <w:br/>
        <w:t>Document de travail OMS/UNICEF. L’extension des objectifs 2025 en matière de nutrition de la mère, du nourrisson et du jeune enfant jusqu’en 2030</w:t>
        <w:br/>
        <w:t>http://www.who.int/nutrition/global-target-2025/discussion-paper-extension-targets-2030.pdf</w:t>
        <w:br/>
        <w:t>Exemples de pays</w:t>
        <w:br/>
        <w:t>N/D</w:t>
      </w:r>
    </w:p>
    <w:p>
      <w:pPr>
        <w:pStyle w:val="Heading2"/>
      </w:pPr>
      <w:r>
        <w:t>Page 33</w:t>
      </w:r>
    </w:p>
    <w:p>
      <w:r>
        <w:t>Texte d'en-tête</w:t>
        <w:br/>
        <w:t>Texte de pied de page</w:t>
        <w:br/>
        <w:t xml:space="preserve">Ce document a été préparé sur la base des contributions du Fonds international d’urgence des Nations Unies pour l’enfance (UNICEF) et de World Health. </w:t>
        <w:br/>
        <w:t>Organisation (OMS).</w:t>
        <w:br/>
        <w:t>Pour obtenir des informations sur les points focaux pour cet indicateur, veuillez visiter https://unstats.un.org/sdgs/dataContacts/</w:t>
      </w:r>
    </w:p>
    <w:p>
      <w:pPr>
        <w:pStyle w:val="Heading2"/>
      </w:pPr>
      <w:r>
        <w:t>Page 34</w:t>
      </w:r>
    </w:p>
    <w:p>
      <w:r>
        <w:t>Texte d'en-tête</w:t>
        <w:br/>
        <w:t>Texte de pied de page</w:t>
        <w:br/>
        <w:t>Indicateur 2.2.2</w:t>
        <w:br/>
        <w:t>Page d'accueil du manuel électronique</w:t>
        <w:br/>
        <w:t>Nom de l’indicateur, cible et objectif</w:t>
        <w:br/>
        <w:t>Définition et justification</w:t>
        <w:br/>
        <w:t>Sources de données et méthode de collecte</w:t>
        <w:br/>
        <w:t>Contenu</w:t>
        <w:br/>
        <w:t>Nom de l’indicateur, cible et objectif</w:t>
        <w:br/>
        <w:t>Définition et justification</w:t>
        <w:br/>
        <w:t>Sources de données et méthode de collecte</w:t>
        <w:br/>
        <w:t>Méthode de calcul et autres considérations méthodologiques</w:t>
        <w:br/>
        <w:t>Désagrégation des données</w:t>
        <w:br/>
        <w:t>Références</w:t>
        <w:br/>
        <w:t>Organisation(s) internationale(s) de surveillance mondiale</w:t>
        <w:br/>
        <w:t xml:space="preserve"> Indicateur 2.2.2 : Prévalence de la malnutrition (poids/taille &gt;+2 ou &lt;-2 écart type par rapport à la médiane du taux de croissance de l'enfant de l'OMS </w:t>
        <w:br/>
        <w:t>Standards) chez les enfants de moins de 5 ans, par type (émaciation et surpoids)</w:t>
        <w:br/>
        <w:t xml:space="preserve">Cible 2.2 : D’ici 2030, mettre fin à toutes les formes de malnutrition, notamment en atteignant, d’ici 2025, les objectifs convenus au niveau international en matière de retard de croissance et d’émaciation en </w:t>
        <w:br/>
        <w:t>les enfants de moins de 5 ans et répondre aux besoins nutritionnels des adolescentes, des femmes enceintes et allaitantes et des personnes âgées</w:t>
        <w:br/>
        <w:t>Objectif 2 : Éliminer la faim, parvenir à la sécurité alimentaire, améliorer la nutrition et promouvoir une agriculture durable</w:t>
        <w:br/>
        <w:t xml:space="preserve">1.  </w:t>
        <w:br/>
        <w:t xml:space="preserve">2.  </w:t>
        <w:br/>
        <w:t xml:space="preserve">Définition : </w:t>
        <w:br/>
        <w:t xml:space="preserve">L’indicateur se compose de deux parties, l’émaciation et le surpoids : </w:t>
        <w:br/>
        <w:t xml:space="preserve">L'émaciation est le pourcentage d'enfants âgés de 0 à 59 mois dont les valeurs de poids pour la longueur ou la taille sont inférieures à moins deux normes. </w:t>
        <w:br/>
        <w:t xml:space="preserve">écarts par rapport aux normes médianes de croissance de l'enfant de l'OMS. </w:t>
        <w:br/>
        <w:t xml:space="preserve">Le surpoids est le pourcentage d'enfants âgés de 0 à 59 mois dont les valeurs de poids pour la longueur ou la taille sont supérieures à deux normes. </w:t>
        <w:br/>
        <w:t>écarts par rapport aux normes médianes de croissance de l'enfant de l'OMS.</w:t>
        <w:br/>
        <w:t>Concepts :</w:t>
        <w:br/>
        <w:t>Aux fins de cet indicateur, fait référence à une situation dans laquelle un enfant de moins de 5 ans est trop maigre pour sa taille, en raison d'une émaciation rapide.</w:t>
        <w:br/>
        <w:t xml:space="preserve">perte de poids ou incapacité à prendre du poids. Un enfant émacié court un risque accru de décès, mais un traitement est possible. </w:t>
        <w:br/>
        <w:t>Aux fins de cet indicateur, fait référence à un enfant trop lourd pour sa taille. Cette forme de malnutrition résulte du surpoids</w:t>
        <w:br/>
        <w:t xml:space="preserve">dépenser trop peu de calories pour les aliments consommés et augmente le risque de maladies non transmissibles plus tard dans la vie. </w:t>
        <w:br/>
        <w:t>Justification et interprétation :</w:t>
        <w:br/>
        <w:t xml:space="preserve">L'émaciation est un problème de santé majeur et, en raison des risques de morbidité qui y sont associés, nécessite une attention urgente de la part des décideurs politiques et des responsables des programmes. </w:t>
        <w:br/>
        <w:t xml:space="preserve">les exécutants. Cet indicateur a été lié à la pauvreté, aux faibles niveaux d'éducation et au faible accès aux services de santé. Lutter contre l’émaciation est </w:t>
        <w:br/>
        <w:t xml:space="preserve">revêt une importance cruciale en raison du risque accru de maladie et de décès chez les enfants qui perdent trop de poids. </w:t>
        <w:br/>
        <w:t xml:space="preserve">Les enfants en surpoids et obèses sont susceptibles de rester obèses jusqu'à l'âge adulte et plus susceptibles de développer des maladies non transmissibles comme le diabète et </w:t>
        <w:br/>
        <w:t xml:space="preserve">maladies cardiovasculaires à un plus jeune âge. Le surpoids et l’obésité, ainsi que les maladies qui leur sont associées, sont largement évitables. </w:t>
        <w:br/>
        <w:t xml:space="preserve">L'émaciation des moins de cinq ans est un résultat internationalement reconnu qui reflète la sous-alimentation extrême des enfants et faisait également partie du Millénaire. </w:t>
        <w:br/>
        <w:t>Objectifs de développement (OMD). À l’autre extrémité du spectre, l’obésité chez les enfants est une autre épidémie croissante due à une obésité excessive.</w:t>
        <w:br/>
        <w:t xml:space="preserve">l’alimentation et la consommation d’aliments déséquilibrés et malsains et est également liée à l’inactivité physique. Le surpoids a également un impact </w:t>
        <w:br/>
        <w:t>fonction cognitive et entrave la capacité des individus à mener une vie productive.</w:t>
        <w:br/>
        <w:t xml:space="preserve">L’émaciation et le surpoids chez les enfants font tous deux partie des indicateurs cibles mondiaux en matière de nutrition approuvés par l’Assemblée mondiale de la santé.    Les cibles pour </w:t>
        <w:br/>
        <w:t xml:space="preserve">l’émaciation visent à réduire le pourcentage d’enfants émaciés à &lt;5 % d’ici 2025 et à &lt;3 % (niveau très faible) d’ici 2030 ; les objectifs en matière de surpoids sont de </w:t>
        <w:br/>
        <w:t xml:space="preserve">ne pas augmenter le pourcentage d’enfants en surpoids par rapport à la référence de 2012 en 2025, et réduire le pourcentage d’enfants en surpoids </w:t>
        <w:br/>
        <w:t>à &lt;3% (niveau très faible).</w:t>
      </w:r>
    </w:p>
    <w:p>
      <w:pPr>
        <w:pStyle w:val="Heading2"/>
      </w:pPr>
      <w:r>
        <w:t>Page 35</w:t>
      </w:r>
    </w:p>
    <w:p>
      <w:r>
        <w:t>Texte d'en-tête</w:t>
        <w:br/>
        <w:t>Texte de pied de page</w:t>
        <w:br/>
        <w:t>Méthode de calcul et autres considérations méthodologiques</w:t>
        <w:br/>
        <w:t>Désagrégation des données</w:t>
        <w:br/>
        <w:t>Références</w:t>
        <w:br/>
        <w:t xml:space="preserve">Pour la plupart des pays, des enquêtes nutritionnelles (ménages) représentatives au niveau national collectent des informations sur la taille (ou la longueur) et le poids. Pour un </w:t>
        <w:br/>
        <w:t>nombre limité de pays, les données provenant de systèmes de surveillance/d’alerte précoce qui sont en place pour collecter, analyser et interpréter en permanence les données sanitaires.</w:t>
        <w:br/>
        <w:t xml:space="preserve">les données connexes sont utilisées si une couverture suffisante de la population est documentée (environ 80 %). Pour les deux sources de données, la taille et le poids de l’enfant </w:t>
        <w:br/>
        <w:t xml:space="preserve">les mesures doivent être collectées selon les techniques de mesure standard recommandées (OMS 2008). Ces données sont généralement collectées par le </w:t>
        <w:br/>
        <w:t xml:space="preserve">ministères de la santé, bureaux nationaux de statistiques ou instituts nationaux de nutrition. </w:t>
        <w:br/>
        <w:t xml:space="preserve">À l'échelle internationale, il existe également plusieurs autres programmes d'enquête qui fournissent des données anthropométriques, notamment les enquêtes en grappes à indicateurs multiples. </w:t>
        <w:br/>
        <w:t xml:space="preserve">(MICS) soutenu par l'UNICEF, les Enquêtes Démographiques et de Santé (DHS) financées par l'Agence des États-Unis pour le Développement International </w:t>
        <w:br/>
        <w:t xml:space="preserve">(USAID), les enquêtes du Projet panarabe pour le développement de l'enfant (PAPCHILD) financées par la Ligue panarabe et l'UNFPA, le Living Standards </w:t>
        <w:br/>
        <w:t xml:space="preserve">Études de mesure (LSMS), financées par la Banque mondiale, et enquêtes nationales sur la nutrition basées sur le suivi et l'évaluation standardisés des </w:t>
        <w:br/>
        <w:t xml:space="preserve">Méthodes de secours et de transition (SMART). </w:t>
        <w:br/>
        <w:t>Méthode de calcul :</w:t>
        <w:br/>
        <w:t>L’indicateur peut être calculé sous forme d’un simple pourcentage pour les différents types de malnutrition, comme suit :</w:t>
        <w:br/>
        <w:t xml:space="preserve"> </w:t>
        <w:br/>
        <w:t>où C est le nombre d'enfants de moins de 5 ans qui sont émaciés (c'est-à-dire que le rapport poids/taille est inférieur à moins deux écarts-types de l'émaciation</w:t>
        <w:br/>
        <w:t>médiane des normes de croissance de l’enfant de l’OMS ); C est le nombre d'enfants de moins de 5 ans en surpoids (c'est-à-dire en surpoids par rapport à la longueur).</w:t>
        <w:br/>
        <w:t>/la taille est supérieure à plus deux écarts-types par rapport à la médiane des normes de croissance de l'enfant de l'OMS ); et</w:t>
        <w:br/>
        <w:t>C est le nombre total d'enfants de moins de 5 ans mesurés en termes de poids et de taille. Total</w:t>
        <w:br/>
        <w:t>Les normes de croissance de l'enfant de l'OMS qui fournissent des informations médianes de référence pour cet indicateur peuvent être consultées à l'adresse : http://www.who.int/childgrowth</w:t>
        <w:br/>
        <w:t xml:space="preserve"> /standards/weight_for_age/fr/</w:t>
        <w:br/>
        <w:t>Commentaires et limites :</w:t>
        <w:br/>
        <w:t xml:space="preserve">Les estimations d'enquête comportent des niveaux d'incertitude dus à la fois à des erreurs d'échantillonnage et à des erreurs non dues à l'échantillonnage (par exemple, erreur technique de mesure, erreur d'enregistrement). </w:t>
        <w:br/>
        <w:t xml:space="preserve">erreur, etc.). Bien que des erreurs d'échantillonnage soient disponibles pour un grand nombre d'enquêtes nationales dans la base de données, aucune des deux sources d'erreurs n'a été détectée. </w:t>
        <w:br/>
        <w:t xml:space="preserve">été pleinement prises en compte pour établir des estimations aux niveaux régional et mondial. Les enquêtes sont réalisées à une période spécifique de l'année, généralement sur une période </w:t>
        <w:br/>
        <w:t xml:space="preserve">quelques mois. Cependant, l'indicateur d'émaciation peut être affecté par la saisonnalité, des facteurs liés à la disponibilité alimentaire (par exemple les périodes précédant la récolte), la maladie. </w:t>
        <w:br/>
        <w:t xml:space="preserve">(par exemple, saison des pluies et diarrhée, paludisme, etc.), ainsi que les catastrophes naturelles et les conflits. Par conséquent, les estimations pays-année ne sont pas nécessairement </w:t>
        <w:br/>
        <w:t xml:space="preserve">comparable dans le temps. </w:t>
        <w:br/>
        <w:t>Indicateurs proxy, alternatifs et supplémentaires : N/A</w:t>
        <w:br/>
        <w:t xml:space="preserve">La prévalence de l'émaciation et du surpoids chez les enfants de moins de 5 ans doit être présentée pour l'échantillon total et ventilée par </w:t>
        <w:br/>
        <w:t>âge, sexe, zone de résidence, région, statut socio-économique et éducation des mères.</w:t>
      </w:r>
    </w:p>
    <w:p>
      <w:pPr>
        <w:pStyle w:val="Heading2"/>
      </w:pPr>
      <w:r>
        <w:t>Page 36</w:t>
      </w:r>
    </w:p>
    <w:p>
      <w:r>
        <w:t>Texte d'en-tête</w:t>
        <w:br/>
        <w:t>Texte de pied de page</w:t>
        <w:br/>
        <w:t>Organisation(s) internationale(s) de surveillance mondiale</w:t>
        <w:br/>
        <w:t>URL officielle des métadonnées ODD</w:t>
        <w:br/>
        <w:t>Émaciation : https://unstats.un.org/sdgs/metadata/files/Metadata-02-02-02b.pdf</w:t>
        <w:br/>
        <w:t xml:space="preserve">Surpoids : https://unstats.un.org/sdgs/metadata/files/Metadata-02-02-02a.pdf </w:t>
        <w:br/>
        <w:t>Méthodologie reconnue au niveau international et URL des lignes directrices</w:t>
        <w:br/>
        <w:t>Organisation mondiale de la santé.  Disponible sur : Les normes de croissance de l'enfant de l'OMS. http://www.who.int/childgrowth/en/</w:t>
        <w:br/>
        <w:t>UNICEF : http://data.unicef.org/nutrition/malnutrition.html</w:t>
        <w:br/>
        <w:t>QUI : http://www.who.int/nutgrowthdb/estimates2014/en/</w:t>
        <w:br/>
        <w:t>Banque mondiale : http://datatopics.worldbank.org/child-malnutrition</w:t>
        <w:br/>
        <w:t>Autres références</w:t>
        <w:br/>
        <w:t>:Notes d'information de l'UNICEF sur les indicateurs des ODD</w:t>
        <w:br/>
        <w:t>UNICEF. Disponible sur Notes d’information sur les indicateurs mondiaux des ODD liés aux enfants. https://data.unicef.org/resources/sdg-global-indicators-rated-</w:t>
        <w:br/>
        <w:t>aux-enfants/</w:t>
        <w:br/>
        <w:t>Références supplémentaires :</w:t>
        <w:br/>
        <w:t xml:space="preserve">Fonds des Nations Unies pour l'enfance (UNICEF), Organisation mondiale de la santé (OMS), Banque mondiale (BM). (2012). Programme conjoint UNICEF-OMS-Banque mondiale </w:t>
        <w:br/>
        <w:t xml:space="preserve"> Disponible à : ; Estimations de la malnutrition infantile. http://www.who.int/nutgrowthdb/estimates/en/ http://data.unicef.org/resources/joint-child-malnutrition-</w:t>
        <w:br/>
        <w:t>budget des dépenses-édition-2017/</w:t>
        <w:br/>
        <w:t xml:space="preserve">de Onis M, Blössner M, Borghi E et al. (2004). Méthodologie internationale pour estimer les tendances régionales et mondiales de la malnutrition infantile. </w:t>
        <w:br/>
        <w:t>Journal d'épidémiologie. 33(6):1260-70. http://www.who.int/nutgrowthdb/publications/methodology_estimating_trends/en/</w:t>
        <w:br/>
        <w:t xml:space="preserve">Yang H et de Onis M. Algorithmes pour convertir les estimations de la malnutrition infantile basées sur la référence NCHS en estimations basées sur l'OMS </w:t>
        <w:br/>
        <w:t>. BMC Pédiatrie 2008, 8:19. Normes de croissance de l'enfant http://www.biomedcentral.com/1471-2431/8/19</w:t>
        <w:br/>
        <w:t>Organisation mondiale de la santé (2008).  Genève, OMS. Cours de formation sur l'évaluation de la croissance de l'enfant.</w:t>
        <w:br/>
        <w:t>Document de travail OMS/UNICEF. L’extension des objectifs de nutrition de la mère, du nourrisson et du jeune enfant de 2025 jusqu’en 2030 http://www.who.int/nutrition</w:t>
        <w:br/>
        <w:t xml:space="preserve">/global-target-2025/discussion-paper-extension-targets-2030.pdf </w:t>
        <w:br/>
        <w:t>Exemples de pays</w:t>
        <w:br/>
        <w:t>N/D</w:t>
        <w:br/>
        <w:t xml:space="preserve">Ce document a été préparé sur la base des contributions du Fonds international d’urgence des Nations Unies pour l’enfance (UNICEF) et de World Health. </w:t>
        <w:br/>
        <w:t>Organisation (OMS).</w:t>
        <w:br/>
        <w:t>Pour obtenir des informations sur les points focaux pour cet indicateur, veuillez visiter : https://unstats.un.org/sdgs/dataContacts/</w:t>
      </w:r>
    </w:p>
    <w:p>
      <w:pPr>
        <w:pStyle w:val="Heading2"/>
      </w:pPr>
      <w:r>
        <w:t>Page 37</w:t>
      </w:r>
    </w:p>
    <w:p>
      <w:r>
        <w:t>Texte d'en-tête</w:t>
        <w:br/>
        <w:t>Texte de pied de page</w:t>
        <w:br/>
        <w:t>Indicateur 2.5.1</w:t>
        <w:br/>
        <w:t>Page d'accueil du manuel électronique</w:t>
        <w:br/>
        <w:t>Nom de l’indicateur, cible et objectif</w:t>
        <w:br/>
        <w:t>Définition et justification</w:t>
        <w:br/>
        <w:t>Contenu</w:t>
        <w:br/>
        <w:t>Nom de l’indicateur, cible et objectif</w:t>
        <w:br/>
        <w:t>Définition et justification</w:t>
        <w:br/>
        <w:t>Sources de données et méthode de collecte</w:t>
        <w:br/>
        <w:t>Méthode de calcul et autres considérations méthodologiques</w:t>
        <w:br/>
        <w:t>Désagrégation des données</w:t>
        <w:br/>
        <w:t>Références</w:t>
        <w:br/>
        <w:t>Organisation(s) internationale(s) de surveillance mondiale</w:t>
        <w:br/>
        <w:t xml:space="preserve"> Indicateur 2.5.1 : Nombre de ressources génétiques végétales et animales pour l'alimentation et l'agriculture protégées dans le cadre d'une conservation à moyen ou à long terme </w:t>
        <w:br/>
        <w:t>installations</w:t>
        <w:br/>
        <w:t xml:space="preserve">Cible 2.5 : D’ici 2020, maintenir la diversité génétique des semences, des plantes cultivées et des animaux d’élevage et domestiqués ainsi que leurs espèces sauvages associées. </w:t>
        <w:br/>
        <w:t xml:space="preserve">espèces, notamment grâce à des banques de semences et de plantes bien gérées et diversifiées aux niveaux national, régional et international, et promouvoir </w:t>
        <w:br/>
        <w:t xml:space="preserve">l'accès et le partage juste et équitable des avantages découlant de l'utilisation des ressources génétiques et des connaissances traditionnelles associées, ainsi que </w:t>
        <w:br/>
        <w:t>convenu au niveau international</w:t>
        <w:br/>
        <w:t>Objectif 2 : Éliminer la faim, parvenir à la sécurité alimentaire, améliorer la nutrition et promouvoir une agriculture durable</w:t>
        <w:br/>
        <w:t>Définition :</w:t>
        <w:br/>
        <w:t xml:space="preserve">Cet indicateur est défini comme le nombre de ressources génétiques végétales et animales pour l'alimentation et l'agriculture (GRFA) qui ont été stockées dans des </w:t>
        <w:br/>
        <w:t xml:space="preserve">installations à long terme comme moyen de conservation des ressources génétiques dans le monde entier.  Les ressources génétiques végétales et animales sont comptées séparément. </w:t>
        <w:br/>
        <w:t xml:space="preserve">Concepts : </w:t>
        <w:br/>
        <w:t>&lt;Ressources phytogénétiques&gt;</w:t>
        <w:br/>
        <w:t xml:space="preserve">Le nombre de ressources phytogénétiques fait référence au nombre d'accessions de gènes végétaux qui sont en conservation à moyen ou long terme. </w:t>
        <w:br/>
        <w:t xml:space="preserve">installations de stockage, où l'accession fait référence à un échantillon distinct de semences ou de matériel végétal. Normes des banques de gènes de la FAO pour la génétique végétale </w:t>
        <w:br/>
        <w:t xml:space="preserve">Resources constitue la référence en matière de meilleures pratiques scientifiques et techniques actuelles. </w:t>
        <w:br/>
        <w:t xml:space="preserve">Les installations de conservation à moyen ou long terme désignent les installations de stockage, ou les banques de gènes d'une collection de base ou de base sous forme de graines à froid. </w:t>
        <w:br/>
        <w:t xml:space="preserve">salles, plantes sur le terrain et tissus in vitro et/ou cryoconservés, où une collection de base est définie comme un ensemble d'accessions uniques. Le </w:t>
        <w:br/>
        <w:t xml:space="preserve">la période de conservation est conçue pour être suffisante pour répondre aux objectifs de conservation (et non à l’utilisation commerciale), et elle peut varier en fonction </w:t>
        <w:br/>
        <w:t xml:space="preserve">au type de stockage, aux espèces et au type de matériel stocké. </w:t>
        <w:br/>
        <w:t>&lt;Ressources génétiques animales&gt;</w:t>
        <w:br/>
        <w:t xml:space="preserve">Le nombre de ressources génétiques animales fait référence au nombre de races locales stockées dans des banques de gènes avec les quantités nécessaires à l’élevage d’une race. </w:t>
        <w:br/>
        <w:t xml:space="preserve">reconstitution conformément aux Directives de la FAO sur la cryoconservation des ressources zoogénétiques, où une race est soit un groupe sous-spécifique de </w:t>
        <w:br/>
        <w:t xml:space="preserve">bétail domestique présentant des caractéristiques externes définissables et identifiables qui permettent de le distinguer par évaluation visuelle des autres animaux de même nature </w:t>
        <w:br/>
        <w:t xml:space="preserve">groupes définis au sein de la même espèce, ou un groupe pour lequel la séparation géographique et/ou culturelle des groupes phénotypiquement similaires a conduit </w:t>
        <w:br/>
        <w:t xml:space="preserve">à l'acceptation de son identité distincte. </w:t>
        <w:br/>
        <w:t xml:space="preserve">Les installations de conservation à moyen ou long terme font référence aux installations de stockage ou aux banques de gènes. Ils comprennent à la fois l'entretien d'animaux vivants (in vivo) </w:t>
        <w:br/>
        <w:t xml:space="preserve">et la collecte et la congélation de sperme, d'ovules, d'embryons ou de tissus en vue d'une utilisation future potentielle pour la reproduction ou la régénération d'animaux. Le </w:t>
        <w:br/>
        <w:t xml:space="preserve">la période de conservation est conçue pour être suffisante pour répondre aux objectifs de conservation (et non à l’utilisation commerciale), et elle peut varier en fonction </w:t>
        <w:br/>
        <w:t xml:space="preserve">au type de stockage, aux espèces et au type de matériel stocké. </w:t>
        <w:br/>
        <w:t xml:space="preserve">Justification et interprétation : </w:t>
        <w:br/>
        <w:t xml:space="preserve">Les ressources génétiques pour l’alimentation et l’agriculture constituent les éléments constitutifs de la sécurité alimentaire et, directement ou indirectement, soutiennent les moyens de subsistance de chaque personne. </w:t>
        <w:br/>
        <w:t xml:space="preserve">personne sur terre. La conservation et l'accessibilité à ces ressources étant d'une importance vitale, cet indicateur facilite le suivi de la diversité. </w:t>
        <w:br/>
        <w:t xml:space="preserve">sécurisés et accessibles via des banques de gènes et soutenir le développement et la mise à jour de stratégies pour la conservation et l’utilisation durable des </w:t>
        <w:br/>
        <w:t xml:space="preserve">ressources génétiques. </w:t>
        <w:br/>
        <w:t xml:space="preserve">Cet indicateur fournit une mesure indirecte de la diversité génétique totale garantie pour r utilisation future. </w:t>
        <w:br/>
        <w:t xml:space="preserve">Il faut être prudent dans l'interprétation de l'indicateur. Dans le cas des ressources phytogénétiques, un ajout incontrôlé d'entrées pourrait être </w:t>
        <w:br/>
        <w:t>des doublons d’échantillons déjà conservés et comptabilisés.</w:t>
      </w:r>
    </w:p>
    <w:p>
      <w:pPr>
        <w:pStyle w:val="Heading2"/>
      </w:pPr>
      <w:r>
        <w:t>Page 38</w:t>
      </w:r>
    </w:p>
    <w:p>
      <w:r>
        <w:t>Texte d'en-tête</w:t>
        <w:br/>
        <w:t>Texte de pied de page</w:t>
        <w:br/>
        <w:t>Sources de données et méthode de collecte</w:t>
        <w:br/>
        <w:t>Méthode de calcul et autres considérations méthodologiques</w:t>
        <w:br/>
        <w:t>Désagrégation des données</w:t>
        <w:br/>
        <w:t xml:space="preserve">Les pays peuvent collecter ces informations auprès de la banque de gènes (ou de l'institut détenteur) qu'ils utilisent (nationale ou internationale) pour le stockage de leurs données. </w:t>
        <w:br/>
        <w:t xml:space="preserve">ressources génétiques végétales et animales. </w:t>
        <w:br/>
        <w:t xml:space="preserve">Des points focaux nationaux et des coordinateurs nationaux officiellement nommés, dans le cadre du cadre de suivi approuvé par la Commission de la FAO sur </w:t>
        <w:br/>
        <w:t>Les ressources génétiques pour l’alimentation et l’agriculture sont chargées de communiquer les données nationales à :</w:t>
        <w:br/>
        <w:t>(1)    Le Système mondial d'information et d'alerte précoce (WIEWS) pour les ressources phytogénétiques ; et</w:t>
        <w:br/>
        <w:t xml:space="preserve">(2)    Le Système d'information sur la diversité des animaux domestiques (DAD-IS) pour les ressources zoogénétiques. </w:t>
        <w:br/>
        <w:t>Pour la composante végétale de l'indicateur, les informations sur le niveau d'accession sont rapportées pour a, quatre de ces descripteurs sont un ensemble de treize descripteurs.</w:t>
        <w:br/>
        <w:t xml:space="preserve">obligatoire. Les descripteurs obligatoires sont : (i) le nom ou le code WIEWS de la banque de gènes détenant le matériel, (ii) l'identifiant unique du matériel. </w:t>
        <w:br/>
        <w:t>au sein de la banque de gènes, (iii) sa classification taxonomique (genre, espèce et sous-taxon), et (iv) le type de stockage.</w:t>
        <w:br/>
        <w:t>Méthode de calcul :</w:t>
        <w:br/>
        <w:t xml:space="preserve">Les deux composantes de cet indicateur, à savoir (1) les ressources phytogénétiques et (2) les ressources zoogénétiques, doivent être calculées séparément. Chacun </w:t>
        <w:br/>
        <w:t xml:space="preserve">La composante est calculée en additionnant le nombre de matériel génétique végétal unique ou de races de matériel génétique animal stocké dans </w:t>
        <w:br/>
        <w:t xml:space="preserve">installations de conservation à moyen ou long terme.  </w:t>
        <w:br/>
        <w:t>Commentaires et limites :</w:t>
        <w:br/>
        <w:t>&lt;Ressources phytogénétiques&gt;</w:t>
        <w:br/>
        <w:t xml:space="preserve">Deux facteurs majeurs pourraient conduire à une surestimation de cet indicateur, et des précautions doivent être prises pour minimiser de telles erreurs. D'abord </w:t>
        <w:br/>
        <w:t xml:space="preserve">Le deuxième facteur est le décompte des accessions en double, et le deuxième est le décompte des matériaux dont la perte de viabilité n'a pas été détectée à temps pour </w:t>
        <w:br/>
        <w:t xml:space="preserve">être régénéré.  </w:t>
        <w:br/>
        <w:t xml:space="preserve">L'indicateur serait fortement surestimé si les pays déclaraient les accessions à la fois dans leurs collections de base et actives, car la diversité génétique dans les collections actives </w:t>
        <w:br/>
        <w:t xml:space="preserve">les collections devraient être représentées de manière adéquate dans les collections de base. Par conséquent, les accessions dans les collections de base doivent être principalement </w:t>
        <w:br/>
        <w:t xml:space="preserve">signalé. Les accessions dans des collections actives pourraient être exceptionnellement déclarées, seulement si elles (i) ne sont pas encore, mais sont censées faire partie des collections nationales. </w:t>
        <w:br/>
        <w:t xml:space="preserve">collections de base, (ii) uniques, et (iii) conservées dans des installations de conservation à moyen/long terme. En outre, la documentation appropriée du </w:t>
        <w:br/>
        <w:t xml:space="preserve">les collections grâce à l’utilisation de normes appliquées au niveau international et d’un système de gestion de base de données efficace (par exemple GRIN Global) sont un élément important </w:t>
        <w:br/>
        <w:t xml:space="preserve">condition préalable à une gestion efficace des collections des banques de gènes et à éviter ou détecter les déclarations en double. </w:t>
        <w:br/>
        <w:t xml:space="preserve">De même, les tests de viabilité et le rajeunissement des échantillons de graines stockés font partie des normes et procédures que chaque banque de gènes conserve. </w:t>
        <w:br/>
        <w:t xml:space="preserve">les collectes à moyen ou long terme devraient se dérouler régulièrement. </w:t>
        <w:br/>
        <w:t xml:space="preserve">Une collection de base est définie comme un ensemble d’entrées uniques à conserver pendant une période à moyen ou long terme. Une collection active est définie comme un </w:t>
        <w:br/>
        <w:t xml:space="preserve">ensemble d’accessions distinctes utilisé pour la régénération, la multiplication, la distribution, la caractérisation et l’évaluation. Les collections actives sont </w:t>
        <w:br/>
        <w:t xml:space="preserve">conservés dans un stockage à court et moyen terme et généralement dupliqués dans une collection de base. </w:t>
        <w:br/>
        <w:t xml:space="preserve">Un autre problème potentiel qui doit être surveillé, à la fois lors de la communication et de l'interprétation des résultats, est le regroupement ou la division des accessions. Dans </w:t>
        <w:br/>
        <w:t xml:space="preserve">dans les deux cas, la variation du nombre comptabilisé ne reflète pas une variation de la diversité génétique conservée et sécurisée. C'est donc </w:t>
        <w:br/>
        <w:t xml:space="preserve">Il est crucial que les pays déclarants et les parties prenantes, ainsi que les informations demandées au niveau de l’accession, expliquent également la raison de cette diminution. </w:t>
        <w:br/>
        <w:t xml:space="preserve">ou une augmentation du nombre d'entrées lorsque cela ne reflète pas une perte ou un gain réel dans la diversité génétique conservée et sécurisée. </w:t>
        <w:br/>
        <w:t>&lt;Ressources génétiques animales&gt;</w:t>
        <w:br/>
        <w:t xml:space="preserve">Pour collecter régulièrement des données sur les ressources zoogénétiques, le Service des animaux domestiques Le système d’information sur la diversité (DAD-IS) a été modifié. </w:t>
        <w:br/>
        <w:t xml:space="preserve">La nouvelle version de DAD-IS a été lancée en novembre 2017 et permet désormais de rendre compte chaque année du type et de la quantité de matériel génétique. </w:t>
        <w:br/>
        <w:t xml:space="preserve">stockés (par exemple sperme, embryons, ovocytes, nombre de donneurs…) pour chaque race. </w:t>
        <w:br/>
        <w:t>Indicateurs proxy, alternatifs et supplémentaires : N/A</w:t>
        <w:br/>
        <w:t xml:space="preserve">Le reporting national par pays permet une ventilation à la fois géographique et temporelle des données. </w:t>
        <w:br/>
        <w:t xml:space="preserve">Pour la composante végétale de l’indicateur, les données peuvent être ventilées selon les descripteurs obligatoires décrits ci-dessus. Niveaux supplémentaires de </w:t>
        <w:br/>
        <w:t xml:space="preserve">la ventilation des données peut être assurée par des descripteurs facultatifs au niveau de l'acquisition, y compris la date d'acquisition, le type de matériel conservé, le </w:t>
        <w:br/>
        <w:t xml:space="preserve">latitude et longitude du site de collecte. </w:t>
        <w:br/>
        <w:t>À mesure que les pays rendent compte de leurs programmes nationaux de cryoconservation des ressources zoogénétiques, l’indicateur peut être ventilé par cryoconservation.</w:t>
        <w:br/>
        <w:t xml:space="preserve">programme et année, il peut en outre être distingué entre les espèces de mammifères et d'oiseaux ou par espèce unique. </w:t>
        <w:br/>
        <w:t>Les données pour les niveaux de désagrégation mentionnés ci-dessus peuvent être trouvées respectivement dans WIEWS et DAD-IS pour les plantes et les animaux.</w:t>
      </w:r>
    </w:p>
    <w:p>
      <w:pPr>
        <w:pStyle w:val="Heading2"/>
      </w:pPr>
      <w:r>
        <w:t>Page 39</w:t>
      </w:r>
    </w:p>
    <w:p>
      <w:r>
        <w:t>Texte d'en-tête</w:t>
        <w:br/>
        <w:t>Texte de pied de page</w:t>
        <w:br/>
        <w:t>Références</w:t>
        <w:br/>
        <w:t>Organisation(s) internationale(s) de surveillance mondiale</w:t>
        <w:br/>
        <w:t>URL officielle des métadonnées ODD</w:t>
        <w:br/>
        <w:t>https://unstats.un.org/sdgs/metadata/files/Metadata-02-05-01.pdf</w:t>
        <w:br/>
        <w:t>Méthodologie reconnue au niveau international et URL des lignes directrices</w:t>
        <w:br/>
        <w:t>Ressources phytogénétiques : http://www.fao.org/fileadmin/user_upload/wiews/docs/SDG_251_data_requirement_sheet_table_EN.docx</w:t>
        <w:br/>
        <w:t>Ressources zoogénétiques : http://www.fao.org/docrep/016/i3017e/i3017e00.htm</w:t>
        <w:br/>
        <w:t>Autres références</w:t>
        <w:br/>
        <w:t>:Portail ODD de la FAO et apprentissage en ligne</w:t>
        <w:br/>
        <w:t>FAO. . Disponible sur Indicateurs des objectifs de développement durable http://www.fao.org/sustainable-development-goals/indicators/en/</w:t>
        <w:br/>
        <w:t>FAO. Centre d'apprentissage en ligne. Disponible sur http://www.fao.org/elearning/</w:t>
        <w:br/>
        <w:t>Références supplémentaires :</w:t>
        <w:br/>
        <w:t>Ressources phytogénétiques</w:t>
        <w:br/>
        <w:t xml:space="preserve">FAO. Points focaux nationaux pour le suivi du Deuxième Plan d'action mondial pour les ressources phytogénétiques pour l'alimentation et l'agriculture et le </w:t>
        <w:br/>
        <w:t>Disponible à : préparation des rapports nationaux pour le troisième rapport sur l'état des ressources phytogénétiques pour l'alimentation et l'agriculture dans le monde. htt</w:t>
        <w:br/>
        <w:t>p://www.fao.org/agriculture/crops/thematic-sitemap/theme/seeds-pgr/gpa/national-focal-points/en/</w:t>
        <w:br/>
        <w:t>FAO (2011).  Rome. Disponible sur Deuxième Plan d'action mondial pour les ressources phytogénétiques pour l'alimentation et l'agriculture. : http://www.fao.org/docrep</w:t>
        <w:br/>
        <w:t xml:space="preserve">  /015/i2624e/i2624e00.htm</w:t>
        <w:br/>
        <w:t>FAO (2010). . Disponible sur : Deuxième rapport sur l'état des ressources phytogénétiques pour l'alimentation et l'agriculture dans le monde http://www.fao.org</w:t>
        <w:br/>
        <w:t>/docrep/013/i1500e/i1500e00.htm</w:t>
        <w:br/>
        <w:t>FAO (2013). . Rome. Disponible sur : Normes des banques de gènes pour les ressources phytogénétiques pour l'alimentation et l'agriculture http://www.fao.org/documents/card</w:t>
        <w:br/>
        <w:t>/fr/c/7b79ee93-0f3c-5f58-9adc-5d4ef063f9c7/</w:t>
        <w:br/>
        <w:t xml:space="preserve">FAO (2013). Cibles et indicateurs pour les ressources phytogénétiques pour l'alimentation et l'agriculture, dans : Rapport de la quatorzième session ordinaire de la </w:t>
        <w:br/>
        <w:t>, CGRFA-14/13/Rapport, Annexe C. Rome. Disponible sur :  Commission des ressources génétiques pour l'alimentation et l'agriculture http://www.fao.org/docrep</w:t>
        <w:br/>
        <w:t>/réunion/028/mg538e.pdf</w:t>
        <w:br/>
        <w:t xml:space="preserve">FAO (2015). Format de rapport pour le suivi de la mise en œuvre du deuxième Plan d'action mondial pour les ressources phytogénétiques pour l'alimentation et l'alimentation </w:t>
        <w:br/>
        <w:t>. CGRFA-15/15/Inf.9. Rome. Disponible sur :    Agriculture http://www.fao.org/3/a-mm294e.pdf</w:t>
        <w:br/>
        <w:t>FAO (2012). Rome. Disponible sur : Descripteur de passeport multi-cultures FAO/Bioversity (MCPD) v.2. http://www.bioversityinternational.org/fileadmin</w:t>
        <w:br/>
        <w:t>/user_upload/online_library/publications/pdfs/FAOBioversity_multi_crop_passport_descriptors_V_2_Final_rev_1526.pdf</w:t>
        <w:br/>
        <w:t>GRIN mondial. Disponible sur : https://www.grin-global.org/</w:t>
        <w:br/>
        <w:t xml:space="preserve">Ressources génétiques animales </w:t>
        <w:br/>
        <w:t xml:space="preserve">FAO. Préparation du premier rapport sur l'état des ressources zoogénétiques dans le monde. Lignes directrices pour l'élaboration de rapports nationaux. </w:t>
        <w:br/>
        <w:t>. Site Internet : Annexe 2. Définitions de travail à utiliser dans les rapports sur les pays en développement et fournissant des données à l'appui http://www.fao.org/docrep/004</w:t>
        <w:br/>
        <w:t>/y1100m/y1100m03.htm</w:t>
        <w:br/>
        <w:t>FAO (2012). Rome. Disponible sur : Lignes directrices sur la cryoconservation des ressources zoogénétiques. http://www.fao.org/docrep/016/i3017e/i3017e00.</w:t>
        <w:br/>
        <w:t>htm</w:t>
        <w:br/>
        <w:t>FAO. Site Internet : Coordinateur National de Gestion des Ressources Génétiques Animales. http://dad.fao.org/cgi-bin/EfabisWeb.cgi?sid=-1,contacts</w:t>
        <w:br/>
        <w:t>FAO (2016).  CGRFA/WG-AnGR-9/16/Inf.3. Disponible sur : État des ressources zoogénétiques. http://www.fao.org/3/a-mq950e.pdf</w:t>
        <w:br/>
        <w:t>FAO (2013). . Rome. Disponible sur : Lignes directrices sur la conservation in vivo des ressources zoogénétiques http://www.fao.org/docrep/018/i3327e/i3327e.</w:t>
        <w:br/>
        <w:t>pdf</w:t>
        <w:br/>
        <w:t>FAO (2015). . Rome. Disponible sur : Le deuxième rapport sur l'état des ressources zoogénétiques pour l'alimentation et l'agriculture dans le monde http://www.</w:t>
        <w:br/>
        <w:t>fao.org/3/a-i4787e.pdf</w:t>
        <w:br/>
        <w:t>Exemples de pays</w:t>
        <w:br/>
        <w:t>N/D</w:t>
        <w:br/>
        <w:t>Ce document a été préparé sur la base des contributions de l'Organisation pour l'alimentation et l'agriculture (FAO).</w:t>
        <w:br/>
        <w:t>Pour obtenir des informations sur les points focaux pour cet indicateur, veuillez visiter https://unstats.un.org/sdgs/dataContacts/</w:t>
      </w:r>
    </w:p>
    <w:p>
      <w:pPr>
        <w:pStyle w:val="Heading2"/>
      </w:pPr>
      <w:r>
        <w:t>Page 40</w:t>
      </w:r>
    </w:p>
    <w:p>
      <w:r>
        <w:t>Texte d'en-tête</w:t>
        <w:br/>
        <w:t>Texte de pied de page</w:t>
        <w:br/>
        <w:t>Indicateur 2.5.2</w:t>
        <w:br/>
        <w:t>Page d'accueil du manuel électronique</w:t>
        <w:br/>
        <w:t>Nom de l’indicateur, cible et objectif</w:t>
        <w:br/>
        <w:t>Définition et justification</w:t>
        <w:br/>
        <w:t>Contenu</w:t>
        <w:br/>
        <w:t>Nom de l’indicateur, cible et objectif</w:t>
        <w:br/>
        <w:t>Définition et justification</w:t>
        <w:br/>
        <w:t>Sources de données et méthode de collecte</w:t>
        <w:br/>
        <w:t>Méthode de calcul et autres considérations méthodologiques</w:t>
        <w:br/>
        <w:t>Désagrégation des données</w:t>
        <w:br/>
        <w:t>Références</w:t>
        <w:br/>
        <w:t>Organisation(s) internationale(s) de surveillance mondiale</w:t>
        <w:br/>
        <w:t xml:space="preserve"> Indicateur 2.5.2 : Proportion de races locales classées comme étant en risque d'extinction</w:t>
        <w:br/>
        <w:t xml:space="preserve">Cible 2.5 : D’ici 2020, maintenir la diversité génétique des semences, des plantes cultivées et des animaux d’élevage et domestiqués ainsi que leurs espèces sauvages associées. </w:t>
        <w:br/>
        <w:t xml:space="preserve">espèces, notamment grâce à des banques de semences et de plantes bien gérées et diversifiées aux niveaux national, régional et international, et promouvoir </w:t>
        <w:br/>
        <w:t xml:space="preserve">l'accès et le partage juste et équitable des avantages découlant de l'utilisation des ressources génétiques et des connaissances traditionnelles associées, ainsi que </w:t>
        <w:br/>
        <w:t>convenu au niveau international</w:t>
        <w:br/>
        <w:t>Objectif 2 : Éliminer la faim, parvenir à la sécurité alimentaire, améliorer la nutrition et promouvoir une agriculture durable</w:t>
      </w:r>
    </w:p>
    <w:p>
      <w:pPr>
        <w:pStyle w:val="Heading2"/>
      </w:pPr>
      <w:r>
        <w:t>Page 41</w:t>
      </w:r>
    </w:p>
    <w:p>
      <w:r>
        <w:t>Texte d'en-tête</w:t>
        <w:br/>
        <w:t>Texte de pied de page</w:t>
        <w:br/>
        <w:t>Définition :</w:t>
        <w:br/>
        <w:t xml:space="preserve">L'indicateur présente le pourcentage de races de bétail locales classées comme étant à risque, non menacées ou présentant un niveau de risque d'extinction inconnu à un moment donné. </w:t>
        <w:br/>
        <w:t xml:space="preserve">certain moment dans le temps. </w:t>
        <w:br/>
        <w:t>Concepts :</w:t>
        <w:br/>
        <w:t xml:space="preserve">La race fait référence soit à un groupe sous-spécifique de bétail domestique présentant des caractéristiques externes définissables et identifiables qui lui permettent d'être </w:t>
        <w:br/>
        <w:t xml:space="preserve">séparé par évaluation visuelle d'autres groupes définis de manière similaire au sein de la même espèce, ou d'un groupe pour lequel des caractéristiques géographiques et/ou culturelles </w:t>
        <w:br/>
        <w:t xml:space="preserve">la séparation de groupes phénotypiquement distincts a conduit à l'acceptation de son identité distincte et/ou d'un groupe pour lequel géographique et/ou </w:t>
        <w:br/>
        <w:t xml:space="preserve">la séparation culturelle d'avec des groupes phénotypiquement similaires a conduit à l'acceptation de son identité distincte. Aux fins des lignes directrices, une race est </w:t>
        <w:br/>
        <w:t xml:space="preserve">un groupe sous-spécifique de bétail domestique ayant une histoire commune et dont les membres sont traités de manière commune en ce qui concerne les caractéristiques génétiques </w:t>
        <w:br/>
        <w:t xml:space="preserve">gestion. </w:t>
        <w:br/>
        <w:t xml:space="preserve">La race à risque fait référence aux races dont les caractéristiques démographiques (principalement la taille du recensement de la population) suggèrent qu'elle n'existera pas à l'avenir. </w:t>
        <w:br/>
        <w:t xml:space="preserve">à moins qu'un programme de conservation soit mis en œuvre. Le statut de risque de la race est une question complexe, d'abord parce que de nombreux facteurs entrent en jeu, mais aussi </w:t>
        <w:br/>
        <w:t xml:space="preserve">car toutes les informations nécessaires pour estimer les paramètres nécessaires à la prévision de l’état du risque sont rarement disponibles. </w:t>
        <w:br/>
        <w:t>Les critères suivants déterminent le niveau de risque pour une race locale :</w:t>
        <w:br/>
        <w:t xml:space="preserve">(1)    Éteinte : une race est classée comme éteinte lorsqu'il ne reste plus aucun mâle reproducteur ni femelle reproductrice. Néanmoins, la génétique </w:t>
        <w:br/>
        <w:t>le matériel aurait pu être cryoconservé, ce qui permettrait la recréation de la race.</w:t>
        <w:br/>
        <w:t xml:space="preserve">(2)    Critique : une race est classée comme critique si le nombre total de femelles reproductrices est inférieur ou égal à 100 ou si le nombre total de </w:t>
        <w:br/>
        <w:t xml:space="preserve">le nombre de mâles reproducteurs est inférieur ou égal à cinq ; ou la taille globale de la population est inférieure ou égale à 120 et en diminution et le pourcentage </w:t>
        <w:br/>
        <w:t>Le taux de femelles accouplées avec des mâles de la même race est inférieur à 80 pour cent et n’est pas classé comme éteint.</w:t>
        <w:br/>
        <w:t xml:space="preserve">(3)    Maintenues de manière critique : les populations critiques pour lesquelles des programmes de conservation actifs sont en place ou des populations sont-elles </w:t>
        <w:br/>
        <w:t>maintenus par des sociétés commerciales ou des instituts de recherche.</w:t>
        <w:br/>
        <w:t xml:space="preserve">(4)    En voie de disparition : une race est classée comme en voie de disparition si le nombre total de femelles reproductrices est supérieur à 100 et inférieur ou égal. </w:t>
        <w:br/>
        <w:t xml:space="preserve">à 1 000 ou le nombre total de mâles reproducteurs est inférieur ou égal à 20 et supérieur à cinq ; ou la taille globale de la population est plus grande </w:t>
        <w:br/>
        <w:t xml:space="preserve">supérieur à 80 et inférieur à 100 et en augmentation et le pourcentage de femelles accouplées à des mâles de la même race est supérieur à 80 pour cent ; ou </w:t>
        <w:br/>
        <w:t xml:space="preserve">la taille globale de la population est supérieure à 1 000 et inférieure ou égale à 1 200 et en diminution et le pourcentage de femelles reproductrices </w:t>
        <w:br/>
        <w:t>aux mâles de la même race est inférieur à 80 pour cent et n’est attribué à aucune des catégories ci-dessus.</w:t>
        <w:br/>
        <w:t xml:space="preserve">(5)    En voie de disparition-maintenu : sont les populations en voie de disparition pour lesquelles des programmes de conservation actifs sont en place ou des populations </w:t>
        <w:br/>
        <w:t>sont gérés par des sociétés commerciales ou des instituts de recherche.</w:t>
        <w:br/>
        <w:t>(6)    Vulnérable. Une race est classée comme vulnérable si :</w:t>
        <w:br/>
        <w:t xml:space="preserve">le nombre total de femelles reproductrices est compris entre 1 000 et 2 000 (3 000 et 6 000 pour les espèces à faible capacité de reproduction) ; </w:t>
        <w:br/>
        <w:t>ou</w:t>
        <w:br/>
        <w:t xml:space="preserve">la taille globale de la population est supérieure à 800 (2 400) et inférieure ou égale à 1 600 (4 800) et est en augmentation et la </w:t>
        <w:br/>
        <w:t>le pourcentage de femelles accouplées à des mâles de la même race est supérieur à 80 pour cent ; ou</w:t>
        <w:br/>
        <w:t>la taille globale de la population est supérieure à 1 200 (3 600) et inférieure ou égale à 2 400 (7 200), mais stable ou en diminution ; ou</w:t>
        <w:br/>
        <w:t>le nombre total de mâles reproducteurs se situe entre 20 et 35 (c'est-à-dire que le ?F est compris entre 0,5 et 1 pour cent).</w:t>
        <w:br/>
        <w:t>Les tendances démographiques non déclarées sont supposées stables.</w:t>
        <w:br/>
        <w:t xml:space="preserve">(7)    Pas de risque. Une race est classée comme non en péril si l'état de sa population est connu et si la race ne se situe pas dans la catégorie critique ou </w:t>
        <w:br/>
        <w:t xml:space="preserve">catégories en voie de disparition (y compris les sous-catégories respectives) ou la catégorie vulnérable y. De plus, une race peut être considérée comme non </w:t>
        <w:br/>
        <w:t>risque même si la taille précise de la population n’est pas connue, pour autant que les connaissances existantes soient suffisantes</w:t>
        <w:br/>
        <w:t xml:space="preserve">garantir que la taille de la population dépasse les seuils respectifs pour la catégorie vulnérable. Pour permettre à davantage de races de ce type de </w:t>
        <w:br/>
        <w:t xml:space="preserve">être correctement attribué à la catégorie « non à risque » (c'est-à-dire plutôt que classé comme inconnu), les pays sont encouragés à insérer une estimation </w:t>
        <w:br/>
        <w:t>la taille de la population dans DAD-IS si les données d’un recensement formel ne sont pas disponibles. Néanmoins,</w:t>
        <w:br/>
        <w:t xml:space="preserve">pour ces races, la mise en œuvre d'une enquête pour obtenir une estimation plus précise de la taille de la population est fortement recommandée (FAO, </w:t>
        <w:br/>
        <w:t>2011b).</w:t>
        <w:br/>
        <w:t xml:space="preserve">(8)    Inconnu. Cette catégorie est explicite et appelle à l’action. Une enquête démographique est nécessaire ; la race pourrait être critique, </w:t>
        <w:br/>
        <w:t>en voie de disparition ou vulnérable.</w:t>
        <w:br/>
        <w:t xml:space="preserve">(9)    À risque : toutes les races entrant dans les catégories 2 à 6 </w:t>
        <w:br/>
        <w:t>Une définition détaillée de la classification des risques est fournie dans</w:t>
        <w:br/>
        <w:t>FAO. 2013. Conservation in vivo des ressources génétiques animales.</w:t>
        <w:br/>
        <w:t xml:space="preserve">Directives de la FAO sur la production et la santé animales. N° 14. Rome. Accessible sur  http://www.fao.org/docrep/018/i3327e/i3327e.pdf </w:t>
        <w:br/>
        <w:t>Justification et interprétation :</w:t>
        <w:br/>
        <w:t xml:space="preserve">Les ressources zoogénétiques pour l'alimentation et l'agriculture constituent un élément essentiel de la base biologique de la sécurité alimentaire mondiale et contribuent à la </w:t>
        <w:br/>
        <w:t xml:space="preserve">moyens de subsistance de plus d’un milliard de personnes. Une base de ressources diversifiées est essentielle à la survie et au bien-être de l’humanité et contribue à l’éradication des </w:t>
        <w:br/>
        <w:t xml:space="preserve">la faim et la malnutrition. </w:t>
        <w:br/>
        <w:t xml:space="preserve">De plus, l’indicateur a un lien direct avec la « biodiversité » dans la mesure où les ressources génétiques animales ou animales font partie intégrante de l’agriculture. </w:t>
        <w:br/>
        <w:t>les écosystèmes et la biodiversité en tant que telle.</w:t>
      </w:r>
    </w:p>
    <w:p>
      <w:pPr>
        <w:pStyle w:val="Heading2"/>
      </w:pPr>
      <w:r>
        <w:t>Page 42</w:t>
      </w:r>
    </w:p>
    <w:p>
      <w:r>
        <w:t>Texte d'en-tête</w:t>
        <w:br/>
        <w:t>Texte de pied de page</w:t>
        <w:br/>
        <w:t>Sources de données et méthode de collecte</w:t>
        <w:br/>
        <w:t>Méthode de calcul et autres considérations méthodologiques</w:t>
        <w:br/>
        <w:t>Désagrégation des données</w:t>
        <w:br/>
        <w:t>Références</w:t>
        <w:br/>
        <w:t xml:space="preserve">Les données qui soutiennent les calculs de cet indicateur peuvent être collectées à partir de recensements nationaux du bétail au niveau de la race ou de données dérivées de </w:t>
        <w:br/>
        <w:t>herdbooks nationaux ou enquêtes nationales. La mise à jour des données sur la taille de la population au moins tous les 10 ans est nécessaire pour définir les classes de risque.</w:t>
        <w:br/>
        <w:t>Méthode de calcul :</w:t>
        <w:br/>
        <w:t xml:space="preserve">Les races locales doivent être classées à l'aide des informations disponibles via les systèmes de collecte de données sur l'élevage agricole. Basé sur la taille de la population </w:t>
        <w:br/>
        <w:t xml:space="preserve">et les sex-ratios du bétail pour chaque race, il faut déterminer s'ils sont à risque, non à risque ou à un niveau de risque inconnu en utilisant le </w:t>
        <w:br/>
        <w:t xml:space="preserve">critères mentionnés ci-dessus. </w:t>
        <w:br/>
        <w:t>Une fois toutes les races classées, le ou les indicateurs peuvent être calculés à l'aide des formules suivantes :</w:t>
        <w:br/>
        <w:t>Commentaires et limites :</w:t>
        <w:br/>
        <w:t xml:space="preserve">Les informations relatives à la race restent loin d'être complètes. Pour près de 60 pour cent de toutes les races signalées, le statut de risque n'est pas connu en raison de </w:t>
        <w:br/>
        <w:t>données démographiques ou manque de mises à jour récentes. De manière générale, la collecte de données devrait être possible dans tous les pays.</w:t>
        <w:br/>
        <w:t xml:space="preserve">La principale limitation réside dans la disponibilité d’un recensement du cheptel au niveau des races. Les lignes directrices sur l'enquête et le suivi donnent un aperçu de </w:t>
        <w:br/>
        <w:t>méthodes pour estimer la taille de la population si aucune donnée de recensement n’est disponible.</w:t>
        <w:br/>
        <w:t>Voir  . http://www.fao.org/docrep/014/ba0055e/ba0055e00.htm</w:t>
        <w:br/>
        <w:t>Indicateurs proxy, alternatifs et supplémentaires : N/A</w:t>
        <w:br/>
        <w:t>Les données peuvent être ventilées par géographie, par espèce et entre espèces de mammifères et d'oiseaux.</w:t>
      </w:r>
    </w:p>
    <w:p>
      <w:pPr>
        <w:pStyle w:val="Heading2"/>
      </w:pPr>
      <w:r>
        <w:t>Page 43</w:t>
      </w:r>
    </w:p>
    <w:p>
      <w:r>
        <w:t>Texte d'en-tête</w:t>
        <w:br/>
        <w:t>Texte de pied de page</w:t>
        <w:br/>
        <w:t>Organisation(s) internationale(s) de surveillance mondiale</w:t>
        <w:br/>
        <w:t>URL officielle des métadonnées ODD</w:t>
        <w:br/>
        <w:t xml:space="preserve">https://unstats.un.org/sdgs/metadata/files/Metadata-02-05-02.pdf  </w:t>
        <w:br/>
        <w:t xml:space="preserve">Méthodologie reconnue au niveau international et URL des lignes directrices </w:t>
        <w:br/>
        <w:t xml:space="preserve">http://www.fao.org/docrep/014/ba0055e/ba0055e00.htm  </w:t>
        <w:br/>
        <w:t>FAO. 2013. Conservation in vivo des ressources génétiques animales. Directives de la FAO sur la production et la santé animales. N° 14. Rome. Accessible sur http://w</w:t>
        <w:br/>
        <w:t>www.fao.org/docrep/018/i3327e/i3327e.pdf</w:t>
        <w:br/>
        <w:t>Autres références</w:t>
        <w:br/>
        <w:t>Portail ODD de la FAO et apprentissage en ligne :</w:t>
        <w:br/>
        <w:t>FAO. . Disponible sur Indicateurs des objectifs de développement durable http://www.fao.org/sustainable-development-goals/indicators/en/</w:t>
        <w:br/>
        <w:t>FAO. Centre d'apprentissage en ligne. Disponible sur http://www.fao.org/elearning/</w:t>
        <w:br/>
        <w:t>Références supplémentaires :</w:t>
        <w:br/>
        <w:t xml:space="preserve">Système d'information sur la diversité des animaux domestiques (DAD-IS) ( )http://www.fao.org/dad-is/en/  </w:t>
        <w:br/>
        <w:t>Exemples de pays</w:t>
        <w:br/>
        <w:t>N/D</w:t>
        <w:br/>
        <w:t>Ce document a été préparé sur la base des contributions de l'Organisation pour l'alimentation et l'agriculture (FAO).</w:t>
        <w:br/>
        <w:t>Pour obtenir des informations sur les points focaux pour cet indicateur, veuillez visiter https://unstats.un.org/sdgs/dataContacts/</w:t>
      </w:r>
    </w:p>
    <w:p>
      <w:pPr>
        <w:pStyle w:val="Heading2"/>
      </w:pPr>
      <w:r>
        <w:t>Page 44</w:t>
      </w:r>
    </w:p>
    <w:p>
      <w:r>
        <w:t>Texte d'en-tête</w:t>
        <w:br/>
        <w:t>Texte de pied de page</w:t>
        <w:br/>
        <w:t>Indicateur 2.a.1</w:t>
        <w:br/>
        <w:t>Page d'accueil du manuel électronique</w:t>
        <w:br/>
        <w:t>Nom de l’indicateur, cible et objectif</w:t>
        <w:br/>
        <w:t>Définition et justification</w:t>
        <w:br/>
        <w:t>Sources de données et méthode de collecte</w:t>
        <w:br/>
        <w:t>Contenu</w:t>
        <w:br/>
        <w:t>Nom de l’indicateur, cible et objectif</w:t>
        <w:br/>
        <w:t>Définition et justification</w:t>
        <w:br/>
        <w:t>Sources de données et méthode de collecte</w:t>
        <w:br/>
        <w:t>Méthode de calcul et autres considérations méthodologiques</w:t>
        <w:br/>
        <w:t>Désagrégation des données</w:t>
        <w:br/>
        <w:t>Références</w:t>
        <w:br/>
        <w:t>Organisation(s) internationale(s) de surveillance mondiale</w:t>
        <w:br/>
        <w:t xml:space="preserve"> Indicateur 2.a.1 : L’indice d’orientation agricole des dépenses publiques</w:t>
        <w:br/>
        <w:t xml:space="preserve">Cible 2.a : Augmenter les investissements, notamment grâce à une coopération internationale renforcée, dans les infrastructures rurales, la recherche agricole et la vulgarisation </w:t>
        <w:br/>
        <w:t xml:space="preserve">services, développement technologique et banques de gènes de plantes et d'animaux d'élevage afin d'améliorer la capacité de production agricole dans les pays en développement. </w:t>
        <w:br/>
        <w:t>pays, en particulier les pays les moins avancés</w:t>
        <w:br/>
        <w:t>Objectif 2 : Éliminer la faim, parvenir à la sécurité alimentaire, améliorer la nutrition et promouvoir une agriculture durable</w:t>
        <w:br/>
        <w:t>Définition :</w:t>
        <w:br/>
        <w:t xml:space="preserve">L'indice d'orientation agricole (AOI) pour les dépenses publiques est défini comme la part agricole des dépenses du gouvernement central, </w:t>
        <w:br/>
        <w:t xml:space="preserve">divisé par la part de l'agriculture dans le PIB, où l'agriculture fait référence au secteur de l'agriculture, de la foresterie, de la pêche et de la chasse. Gouvernement </w:t>
        <w:br/>
        <w:t xml:space="preserve">Les dépenses sont compilées selon la Classification internationale des fonctions de l'État (COFOG) et la part de l'agriculture dans le PIB. </w:t>
        <w:br/>
        <w:t>selon le Système de Comptabilité Nationale (SCN).</w:t>
        <w:br/>
        <w:t xml:space="preserve"> Concepts :</w:t>
        <w:br/>
        <w:t xml:space="preserve">Les dépenses publiques sont basées sur la méthodologie des statistiques de finances publiques (GFS) du FMI et sont définies comme les dépenses plus le montant net. </w:t>
        <w:br/>
        <w:t xml:space="preserve">investissement dans des actifs non financiers. Ils comprennent la rémunération des salariés, les subventions et subventions versées sous forme de transferts à des particuliers ou à des particuliers. </w:t>
        <w:br/>
        <w:t>sociétés, acquisitions d'actifs non financiers, etc. Comprend en particulier toutes les dépenses qui relèvent des dépenses publiques en matière d'agriculture</w:t>
        <w:br/>
        <w:t>relevant du groupe COFOG 04.2 (Agriculture, Forêt, Pêche) de la Classification des Fonctions de l'Etat (COFOG).</w:t>
        <w:br/>
        <w:t xml:space="preserve">  fait référence à la part de la contribution du secteur agricole au PIB, tandis que l'agriculture fait référence à l'agriculture, à la part de l'agriculture dans le PIB. </w:t>
        <w:br/>
        <w:t xml:space="preserve">secteur de la foresterie, de la pêche et de la chasse, ou Division A de la Classification internationale type des industries (CITI) Rév. 4 (égale à la Division A+B de la CITI) </w:t>
        <w:br/>
        <w:t>Rév 3.2).</w:t>
        <w:br/>
        <w:t>Justification et interprétation :</w:t>
        <w:br/>
        <w:t xml:space="preserve">Les dépenses publiques dans le secteur agricole comprennent les dépenses consacrées aux politiques et programmes sectoriels ; amélioration des sols et contrôle de la dégradation des sols; irrigation </w:t>
        <w:br/>
        <w:t xml:space="preserve">et réservoirs à usage agricole ; gestion de la santé animale, recherche sur l'élevage et formation en élevage ; biologique marin/d'eau douce </w:t>
        <w:br/>
        <w:t>recherche; le boisement et autres projets forestiers; etc</w:t>
        <w:br/>
        <w:t xml:space="preserve">Les dépenses consacrées à ces activités agricoles contribuent à accroître l’efficacité, la productivité et la croissance des revenus du secteur en augmentant les ressources physiques ou humaines. </w:t>
        <w:br/>
        <w:t xml:space="preserve">capital et/ou réduire les contraintes budgétaires intertemporelles. Cependant, le secteur privé sous-investit généralement dans ces activités en raison de la </w:t>
        <w:br/>
        <w:t xml:space="preserve">présence d'une défaillance du marché (par exemple, le caractère de bien public de la recherche et du développement ; les externalités positives de l'amélioration des sols et de l'eau) </w:t>
        <w:br/>
        <w:t xml:space="preserve">conditions; manque d'accès à un crédit compétitif en raison d'une information asymétrique entre producteurs et institutions financières, etc.). De même, le </w:t>
        <w:br/>
        <w:t xml:space="preserve">Les risques élevés auxquels sont confrontés les producteurs agricoles, en particulier les petits exploitants incapables de se prémunir contre les risques, nécessitent souvent une intervention gouvernementale en termes de </w:t>
        <w:br/>
        <w:t xml:space="preserve">redistribution des revenus pour soutenir les petits exploitants en détresse suite aux mauvaises récoltes et aux pertes de bétail dues aux ravageurs, aux sécheresses, aux inondations et aux infrastructures </w:t>
        <w:br/>
        <w:t>une défaillance ou des changements de prix importants.</w:t>
        <w:br/>
        <w:t>Les dépenses publiques dans l'agriculture sont essentielles pour remédier à ces défaillances du marché et au besoin de redistribution des revenus.</w:t>
        <w:br/>
        <w:t xml:space="preserve">Un indice d'orientation agricole (IAO) supérieur à 1 reflète une part plus élevée des dépenses publiques dans le secteur agricole, par rapport au secteur agricole. </w:t>
        <w:br/>
        <w:t xml:space="preserve">part du secteur dans le PIB global. Un AOI inférieur à 1 reflète une part plus faible des dépenses publiques dans le secteur agricole, par rapport à la part du secteur. </w:t>
        <w:br/>
        <w:t xml:space="preserve">part dans le PIB global. Un AOI de 1 réflexion c’est la neutralité de l’orientation d’un gouvernement à l’égard du secteur agricole. L’AOI est une mesure sans monnaie </w:t>
        <w:br/>
        <w:t xml:space="preserve">et permet une comparaison entre des pays ayant une taille de secteur agricole différente en examinant les dépenses publiques consacrées à l'agriculture. </w:t>
        <w:br/>
        <w:t>par rapport à la taille du secteur agricole du pays.</w:t>
      </w:r>
    </w:p>
    <w:p>
      <w:pPr>
        <w:pStyle w:val="Heading2"/>
      </w:pPr>
      <w:r>
        <w:t>Page 45</w:t>
      </w:r>
    </w:p>
    <w:p>
      <w:r>
        <w:t>Texte d'en-tête</w:t>
        <w:br/>
        <w:t>Texte de pied de page</w:t>
        <w:br/>
        <w:t>Méthode de calcul et autres considérations méthodologiques</w:t>
        <w:br/>
        <w:t>Désagrégation des données</w:t>
        <w:br/>
        <w:t>Références</w:t>
        <w:br/>
        <w:t xml:space="preserve">Les données sur les dépenses publiques sont collectées auprès des pays (ministère des Finances ou autre agence centrale de planification, statistiques nationales). </w:t>
        <w:br/>
        <w:t xml:space="preserve">Bureau et/ou Ministère de l'Agriculture), à l'aide d'un questionnaire annuel administré par la FAO. Pour certains pays qui ne communiquent pas ces données à </w:t>
        <w:br/>
        <w:t xml:space="preserve">FAO, les données peuvent être obtenues à partir de la base de données des statistiques de finances publiques (GFS) du FMI (le FMI collecte également des données sur les dépenses publiques). </w:t>
        <w:br/>
        <w:t xml:space="preserve">par COFOG, mais avec moins de désagrégation du secteur agricole) ou à partir des sites Web officiels des gouvernements nationaux. </w:t>
        <w:br/>
        <w:t xml:space="preserve">Les données sur la valeur ajoutée agricole et le PIB sont basées sur le Système de comptabilité nationale (SCN), qui est un cadre analytique qui compile </w:t>
        <w:br/>
        <w:t xml:space="preserve">données nationales provenant d’un mélange de sources d’enquêtes, de recensements et administratives (par exemple fiscales). Ces données sont obtenues auprès de la Division de statistique des Nations Unies, qui </w:t>
        <w:br/>
        <w:t>fournit des estimations des comptes nationaux pour 220 pays et territoires.</w:t>
        <w:br/>
        <w:t>Méthode de calcul :</w:t>
        <w:br/>
        <w:t>L’Indice d’Orientation Agricole peut être calculé à l’aide de la formule suivante :</w:t>
        <w:br/>
        <w:t>où,</w:t>
        <w:br/>
        <w:t xml:space="preserve">La part agricole des dépenses publiques est la proportion des dépenses totales du gouvernement central consacrée au secteur agricole, sur la base de </w:t>
        <w:br/>
        <w:t>le classement COFOG ; et</w:t>
        <w:br/>
        <w:t xml:space="preserve">La part de l'agriculture dans le PIB est la valeur ajoutée totale dans le secteur agricole en proportion de la valeur ajoutée totale dans l'économie (PIB). C'est </w:t>
        <w:br/>
        <w:t xml:space="preserve">basé sur la division A de la Classification internationale des industries (CITI) Rév. 4. </w:t>
        <w:br/>
        <w:t>Commentaires et limites :</w:t>
        <w:br/>
        <w:t xml:space="preserve">Étant donné que le numérateur de ces données est basé sur des sources administratives, il n'y a aucun intervalle de confiance ni erreur standard associé au gouvernement. </w:t>
        <w:br/>
        <w:t>données sur les dépenses. Pour le dénominateur, les données des comptes nationaux ne fournissent généralement aucune information sur l’erreur type ou l’intervalle de confiance.</w:t>
        <w:br/>
        <w:t xml:space="preserve">La principale limite de cet indicateur est qu’il ne prend en compte que les dépenses du gouvernement central. Dans la mesure où certains pays peuvent avoir </w:t>
        <w:br/>
        <w:t>une intervention plus lourde dans l'agriculture par les gouvernements infranationaux, cela ne sera pas pris en compte.</w:t>
        <w:br/>
        <w:t xml:space="preserve">En outre, un AOI égal à 1 peut ne pas être la bonne cible pour un pays, en raison des différences dans les degrés de décentralisation et dans les degrés d’ouverture du marché. </w:t>
        <w:br/>
        <w:t xml:space="preserve">échec et politiques de redistribution des revenus. De plus, la comparaison d’un AOI dans un pays au fil du temps doit être effectuée avec ses deux </w:t>
        <w:br/>
        <w:t xml:space="preserve">composantes (la part agricole des dépenses publiques et la part de la valeur ajoutée agricole dans le PIB), et dans le contexte du </w:t>
        <w:br/>
        <w:t>la gravité des défaillances du marché et les inégalités de revenus dans le secteur agricole.</w:t>
        <w:br/>
        <w:t>Indicateurs proxy, alternatifs et supplémentaires : N/A</w:t>
        <w:br/>
        <w:t xml:space="preserve">Étant donné que cet indicateur est basé sur les dépenses du gouvernement central, qui ne prend pas en compte la démographie des bénéficiaires, il ne prend pas en compte </w:t>
        <w:br/>
        <w:t>permettre la désagrégation des données.</w:t>
      </w:r>
    </w:p>
    <w:p>
      <w:pPr>
        <w:pStyle w:val="Heading2"/>
      </w:pPr>
      <w:r>
        <w:t>Page 46</w:t>
      </w:r>
    </w:p>
    <w:p>
      <w:r>
        <w:t>Texte d'en-tête</w:t>
        <w:br/>
        <w:t>Texte de pied de page</w:t>
        <w:br/>
        <w:t>Organisation(s) internationale(s) de surveillance mondiale</w:t>
        <w:br/>
        <w:t>URL officielle des métadonnées ODD</w:t>
        <w:br/>
        <w:t xml:space="preserve">https://unstats.un.org/sdgs/metadata/files/Metadata-02-0A-01.pdf  </w:t>
        <w:br/>
        <w:t>Méthodologie reconnue au niveau international et URL des lignes directrices</w:t>
        <w:br/>
        <w:t>Division de statistique des Nations Unies. New York. Disponible sur : Classification des fonctions du gouvernement (COFOG).  https://unstats.un.org/unsd/cr</w:t>
        <w:br/>
        <w:t xml:space="preserve"> /registry/regcst.asp?Cl=4&amp;Top=1&amp;Lg=1</w:t>
        <w:br/>
        <w:t>Division de statistique des Nations Unies (2008). New York. Disponible sur : Système de comptabilité nationale. https://unstats.un.org/unsd/nationalaccount/sna.</w:t>
        <w:br/>
        <w:t xml:space="preserve"> aspic</w:t>
        <w:br/>
        <w:t>Fonds monétaire international (2014). Washington, D.C. Disponible sur : Government Finance Statistics Manual 2014. https://www.imf.org/external</w:t>
        <w:br/>
        <w:t xml:space="preserve"> /Pubs/FT/GFS/Manual/2014/gfsfinal.pdf</w:t>
        <w:br/>
        <w:t>Division de statistique des Nations Unies. New York. Disponible sur : Classification internationale type par industrie Rév. 4. https://unstats.un.org/unsd/cr</w:t>
        <w:br/>
        <w:t xml:space="preserve"> /registre/isic-4.asp  </w:t>
        <w:br/>
        <w:t>Autres références</w:t>
        <w:br/>
        <w:t>Portail ODD de la FAO et apprentissage en ligne :</w:t>
        <w:br/>
        <w:t>FAO. . Disponible sur Indicateurs des objectifs de développement durable http://www.fao.org/sustainable-development-goals/indicators/en/</w:t>
        <w:br/>
        <w:t>FAO. Centre d'apprentissage en ligne. Disponible sur http://www.fao.org/elearning/</w:t>
        <w:br/>
        <w:t>Références supplémentaires :</w:t>
        <w:br/>
        <w:t>FAOSTAT - Dépenses publiques consacrées à l'agriculture.  http://www.fao.org/faostat/en/#data/IG</w:t>
        <w:br/>
        <w:t>Indicateurs macroéconomiques FAOSTAT.  http://www.fao.org/faostat/en/#data/MK</w:t>
        <w:br/>
        <w:t>FAO ESS - Dépenses publiques consacrées à l'agriculture.  http://www.fao.org/nomic/ess/investment/expenditure/en/</w:t>
        <w:br/>
        <w:t>Indicateur ODD 2.a.1 de la FAO – Indice d'orientation agricole pour les dépenses publiques http://www.fao.org/sustainable-development-goals</w:t>
        <w:br/>
        <w:t>/indicateurs/2.a.1/fr/</w:t>
        <w:br/>
        <w:t>Ce document a été préparé sur la base des contributions de l'Organisation pour l'alimentation et l'agriculture (FAO).</w:t>
        <w:br/>
        <w:t>Pour obtenir des informations sur les points focaux pour cet indicateur, veuillez visiter https://unstats.un.org/sdgs/dataContacts/</w:t>
      </w:r>
    </w:p>
    <w:p>
      <w:pPr>
        <w:pStyle w:val="Heading2"/>
      </w:pPr>
      <w:r>
        <w:t>Page 47</w:t>
      </w:r>
    </w:p>
    <w:p>
      <w:r>
        <w:t>Texte d'en-tête</w:t>
        <w:br/>
        <w:t>Texte de pied de page</w:t>
        <w:br/>
        <w:t>Indicateur 2.a.2</w:t>
        <w:br/>
        <w:t>Page d'accueil du manuel électronique</w:t>
        <w:br/>
        <w:t>Nom de l’indicateur, cible et objectif</w:t>
        <w:br/>
        <w:t>Définition et justification</w:t>
        <w:br/>
        <w:t>Sources de données et méthode de collecte</w:t>
        <w:br/>
        <w:t>Méthode de calcul et autres considérations méthodologiques</w:t>
        <w:br/>
        <w:t>Contenu</w:t>
        <w:br/>
        <w:t>Nom de l’indicateur, cible et objectif</w:t>
        <w:br/>
        <w:t>Définition et justification</w:t>
        <w:br/>
        <w:t>Sources de données et méthode de collecte</w:t>
        <w:br/>
        <w:t>Méthode de calcul et autres considérations méthodologiques</w:t>
        <w:br/>
        <w:t>Désagrégation des données</w:t>
        <w:br/>
        <w:t>Références</w:t>
        <w:br/>
        <w:t>Organisation(s) internationale(s) de surveillance mondiale</w:t>
        <w:br/>
        <w:t xml:space="preserve"> Indicateur 2.a.2 : Total des flux officiels (aide publique au développement plus autres flux officiels) vers le secteur agricole</w:t>
        <w:br/>
        <w:t xml:space="preserve">Cible 2.a : Augmenter les investissements, notamment grâce à une coopération internationale renforcée, dans les infrastructures rurales, la recherche agricole et la vulgarisation </w:t>
        <w:br/>
        <w:t xml:space="preserve">services, développement technologique et banques de gènes de plantes et d'animaux d'élevage afin d'améliorer la capacité de production agricole dans les pays en développement. </w:t>
        <w:br/>
        <w:t>pays, en particulier les pays les moins avancés</w:t>
        <w:br/>
        <w:t>Objectif 2 : Éliminer la faim, parvenir à la sécurité alimentaire, améliorer la nutrition et promouvoir une agriculture durable</w:t>
        <w:br/>
        <w:t>Définition :</w:t>
        <w:br/>
        <w:t xml:space="preserve">Le total des flux officiels correspond aux décaissements bruts de l'aide publique au développement (APD) totale et des autres flux officiels de tous les donateurs vers le pays. </w:t>
        <w:br/>
        <w:t xml:space="preserve">secteur agricole. </w:t>
        <w:br/>
        <w:t>Concepts :</w:t>
        <w:br/>
        <w:t xml:space="preserve">L’aide publique au développement (APD) est définie par le Comité d’aide au développement (CAD) de l’OCDE comme les flux vers les pays et </w:t>
        <w:br/>
        <w:t>territoires figurant sur la liste du CAD des bénéficiaires de l’APD et aux institutions multilatérales qui sont :</w:t>
        <w:br/>
        <w:t>(1)    Fournis par des agences officielles, y compris les gouvernements des États et locaux, ou par leurs agences exécutives ; et</w:t>
        <w:br/>
        <w:t>(2)    Chaque transaction si :</w:t>
        <w:br/>
        <w:t>(a) est administré avec pour objectif principal la promotion du développement économique et du bien-être des pays en développement ; et</w:t>
        <w:br/>
        <w:t xml:space="preserve">(b) est de caractère concessionnel et comporte un élément de don d'au moins 25 pour cent (calculé avec un taux d'actualisation de 10 pour cent). </w:t>
        <w:br/>
        <w:t xml:space="preserve">Les autres flux officiels (OOF) sont définis comme des transactions du secteur officiel qui ne remplissent pas les conditions d'éligibilité à l'APD, que ce soit </w:t>
        <w:br/>
        <w:t xml:space="preserve">parce qu’ils ne visent pas principalement le développement, ou parce qu’ils ne sont pas suffisamment concessionnels. Ils excluent également les programmes officiellement pris en charge. </w:t>
        <w:br/>
        <w:t xml:space="preserve">crédits à l'exportation. </w:t>
        <w:br/>
        <w:t xml:space="preserve">Le est tel que défini par le CAD et comprend tous les codes du système de déclaration des créanciers (CRS) du secteur agricole des séries 311, 312 et 313. </w:t>
        <w:br/>
        <w:t xml:space="preserve">(agriculture, foresterie et pêche). </w:t>
        <w:br/>
        <w:t>Justification et interprétation :</w:t>
        <w:br/>
        <w:t xml:space="preserve">L’APD totale et l’OOF en faveur des pays en développement quantifient l’effort public (à l’exclusion des crédits à l’exportation) que les donateurs fournissent aux pays en développement pour </w:t>
        <w:br/>
        <w:t>agricole.</w:t>
        <w:br/>
        <w:t xml:space="preserve">Les donateurs communiquent des données au SNPC de l’OCDE depuis 1973 avec des informations sur le type de financement, le type d’aide, le type de flux, etc. </w:t>
        <w:br/>
        <w:t xml:space="preserve">les données sur l’APD peuvent également être obtenues auprès des administrations nationales, des agences nationales d’aide, du ministère des Affaires étrangères ou du ministère des Finances, auprès de leur </w:t>
        <w:br/>
        <w:t>rapports statistiques annuels.</w:t>
      </w:r>
    </w:p>
    <w:p>
      <w:pPr>
        <w:pStyle w:val="Heading2"/>
      </w:pPr>
      <w:r>
        <w:t>Page 48</w:t>
      </w:r>
    </w:p>
    <w:p>
      <w:r>
        <w:t>Texte d'en-tête</w:t>
        <w:br/>
        <w:t>Texte de pied de page</w:t>
        <w:br/>
        <w:t>Désagrégation des données</w:t>
        <w:br/>
        <w:t>Références</w:t>
        <w:br/>
        <w:t>Organisation(s) internationale(s) de surveillance mondiale</w:t>
        <w:br/>
        <w:t>Méthode de calcul :</w:t>
        <w:br/>
        <w:t xml:space="preserve">Cet indicateur est calculé, à partir des données déclarées au Système de notification des créanciers (CRS) de l’OCDE, comme la somme de l’ensemble de l’APD et de l’OOF de tous les pays. </w:t>
        <w:br/>
        <w:t xml:space="preserve">donateurs aux pays en développement dans le secteur agricole. </w:t>
        <w:br/>
        <w:t>Commentaires et limites :</w:t>
        <w:br/>
        <w:t xml:space="preserve">Les données du Système de notification des créanciers sont disponibles depuis 1973. Toutefois, la couverture des données est considérée comme complète depuis 1995 pour les engagements. </w:t>
        <w:br/>
        <w:t xml:space="preserve">au niveau des activités et 2002 pour les décaissements. </w:t>
        <w:br/>
        <w:t>Indicateurs proxy, alternatifs et supplémentaires : N/A</w:t>
        <w:br/>
        <w:t xml:space="preserve">Les données sont disponibles au niveau des activités et peuvent donc être ventilées par donateur, bénéficiaire, type de flux, type d'aide, secteur, etc. Le secteur </w:t>
        <w:br/>
        <w:t>les données de niveau peuvent également être décomposées en niveaux plus granulaires (voir http://www.oecd.org/dac/stats/documentupload</w:t>
        <w:br/>
        <w:t>)/CRS_BI_VOLUNTARY_Purpose_codes2016flows_en_July17.pdf</w:t>
        <w:br/>
        <w:t xml:space="preserve">URL officielle des métadonnées ODD </w:t>
        <w:br/>
        <w:t xml:space="preserve">https://unstats.un.org/sdgs/metadata/files/Metadata-02-0A-02.pdf  </w:t>
        <w:br/>
        <w:t>Méthodologie reconnue au niveau international et URL des lignes directrices</w:t>
        <w:br/>
        <w:t xml:space="preserve">http://www.oecd.org/dac/stats/methodology.htm  </w:t>
        <w:br/>
        <w:t>Autres références</w:t>
        <w:br/>
        <w:t>OCDE. Paris. Disponible sur : Aide publique au développement – ​​Définition et couverture. http://www.oecd.org/dac/stats</w:t>
        <w:br/>
        <w:t>/officialdevelopmentassistancedefinitionandcoverage.htm</w:t>
        <w:br/>
        <w:t xml:space="preserve">OCDE (2016). Paris. Directives convergentes en matière de déclaration statistique pour le système de déclaration des créanciers (CRS) et le questionnaire annuel du CAD. </w:t>
        <w:br/>
        <w:t>Disponible sur : http://www.oecd.org/dac/stats/documentupload/DCDDAC(2016)3FINAL.pdf</w:t>
        <w:br/>
        <w:t xml:space="preserve">OCDE.  Site Internet : Base de données du système de déclaration des créanciers (CRS). https://stats.oecd.org/Index.aspx?DataSetCode=CRS1 </w:t>
        <w:br/>
        <w:t>Exemples de pays</w:t>
        <w:br/>
        <w:t>N/D</w:t>
        <w:br/>
        <w:t>Ce document a été préparé sur la base des contributions de l'Organisation de coopération et de développement économiques (OCDE).</w:t>
        <w:br/>
        <w:t>Pour obtenir des informations sur les points focaux pour cet indicateur, veuillez visiter https://unstats.un.org/sdgs/dataContacts/</w:t>
      </w:r>
    </w:p>
    <w:p>
      <w:pPr>
        <w:pStyle w:val="Heading2"/>
      </w:pPr>
      <w:r>
        <w:t>Page 49</w:t>
      </w:r>
    </w:p>
    <w:p>
      <w:r>
        <w:t>Texte d'en-tête</w:t>
        <w:br/>
        <w:t>Texte de pied de page</w:t>
        <w:br/>
        <w:t>Indicateur 2.b.1</w:t>
        <w:br/>
        <w:t>Page d'accueil du manuel électronique</w:t>
        <w:br/>
        <w:t>Nom de l’indicateur, cible et objectif</w:t>
        <w:br/>
        <w:t>Définition et justification</w:t>
        <w:br/>
        <w:t>Sources de données et méthode de collecte</w:t>
        <w:br/>
        <w:t>Méthode de calcul et autres considérations méthodologiques</w:t>
        <w:br/>
        <w:t>Contenu</w:t>
        <w:br/>
        <w:t>Nom de l’indicateur, cible et objectif</w:t>
        <w:br/>
        <w:t>Définition et justification</w:t>
        <w:br/>
        <w:t>Sources de données et méthode de collecte</w:t>
        <w:br/>
        <w:t>Méthode de calcul et autres considérations méthodologiques</w:t>
        <w:br/>
        <w:t>Désagrégation des données</w:t>
        <w:br/>
        <w:t>Références</w:t>
        <w:br/>
        <w:t>Organisation(s) internationale(s) de surveillance mondiale</w:t>
        <w:br/>
        <w:t xml:space="preserve"> Indicateur 2.b.1 : Subventions à l'exportation de produits agricoles</w:t>
        <w:br/>
        <w:t xml:space="preserve">Cible 2.b : Corriger et prévenir les restrictions et les distorsions commerciales sur les marchés agricoles mondiaux, notamment par l'élimination parallèle de tous les </w:t>
        <w:br/>
        <w:t xml:space="preserve">formes de subventions à l'exportation de produits agricoles et toutes mesures à l'exportation d'effet équivalent, conformément au mandat du Conseil de développement de Doha. </w:t>
        <w:br/>
        <w:t>Rond</w:t>
        <w:br/>
        <w:t>Objectif 2 : Éliminer la faim, parvenir à la sécurité alimentaire, améliorer la nutrition et promouvoir une agriculture durable</w:t>
        <w:br/>
        <w:t>Définition :</w:t>
        <w:br/>
        <w:t xml:space="preserve">Les subventions à l'exportation de produits agricoles sont définies à l'article 1, paragraphe (e) de l'Accord sur l'agriculture de l'Organisation mondiale du commerce (OMC). Membres </w:t>
        <w:br/>
        <w:t xml:space="preserve">notifier à l'OMC les dépenses budgétaires en matière de subventions à l'exportation et les quantités d'exportations subventionnées dans les tableaux ES:1 et les tableaux explicatifs ES:2. </w:t>
        <w:br/>
        <w:t xml:space="preserve">Les dépenses budgétaires et les quantités sont exprimées dans une monnaie (nationale ou autre) et en unités de quantité conformément aux pratiques de notification des Membres. Le </w:t>
        <w:br/>
        <w:t xml:space="preserve">L'indicateur reflète les dépenses budgétaires notifiées par les Membres de l'OMC, exprimées dans la même monnaie (le dollar des États-Unis). </w:t>
        <w:br/>
        <w:t>Concepts :</w:t>
        <w:br/>
        <w:t xml:space="preserve">Les dépenses budgétaires liées aux subventions à l'exportation sont des politiques/dépenses gouvernementales visant à encourager l'exportation de biens plutôt que la consommation intérieure. </w:t>
        <w:br/>
        <w:t xml:space="preserve">par diverses formes d’incitations économiques. </w:t>
        <w:br/>
        <w:t xml:space="preserve">Le tableau ES:1 et le tableau explicatif ES:2 constituent les formats de notification que les Membres de l'OMC doivent utiliser chaque année pour rendre compte de leur utilisation des exportations. </w:t>
        <w:br/>
        <w:t xml:space="preserve">subventions telles que définies dans le document G/AG/2 du 30 juin 1995. </w:t>
        <w:br/>
        <w:t xml:space="preserve">Le tableau ES:1 doit être utilisé par les Membres de l'OMC dont les niveaux d'engagements de réduction des subventions à l'exportation sont indiqués dans leur Liste d'engagements. Ceci </w:t>
        <w:br/>
        <w:t xml:space="preserve">Le tableau comprend le niveau des dépenses budgétaires liées aux subventions à l'exportation et les quantités d'exportations subventionnées au cours de l'année de notification pour les différents </w:t>
        <w:br/>
        <w:t xml:space="preserve">produits ou groupes de produits énumérés dans la Liste d'engagements du Membre. </w:t>
        <w:br/>
        <w:t xml:space="preserve">Le tableau explicatif ES:2 doit être utilisé par les pays en développement Membres qui ont recours à des subventions à l'exportation conformément au paragraphe 4 de l'article 9 de la Convention. </w:t>
        <w:br/>
        <w:t xml:space="preserve">Accord sur l'agriculture. Ce tableau comprend le niveau des dépenses budgétaires liées aux subventions à l'exportation et les quantités d'exportations subventionnées au cours de la période </w:t>
        <w:br/>
        <w:t xml:space="preserve">année de notification pour les produits correspondants. </w:t>
        <w:br/>
        <w:t>Ces deux tableaux couvrent toutes les subventions à l'exportation de produits agricoles utilisées par les membres de l'OMC et notifiées à l'OMC.</w:t>
        <w:br/>
        <w:t>Justification et interprétation :</w:t>
        <w:br/>
        <w:t xml:space="preserve">L'objectif de cet indicateur est de fournir des informations détaillées sur le niveau des subventions à l'exportation utilisées annuellement par produit ou groupe de produits, selon </w:t>
        <w:br/>
        <w:t xml:space="preserve">notifiés par les Membres de l'OMC. Cet indicateur fournit la somme de toutes les dépenses budgétaires en matière de subventions à l'exportation utilisées et notifiées chaque année par le Membre. </w:t>
        <w:br/>
        <w:t xml:space="preserve">Membre, par grandes catégories de membres et au niveau mondial.  </w:t>
        <w:br/>
        <w:t xml:space="preserve">Les subventions aux exportations agricoles ont pour effet de faire baisser les prix des produits agricoles exportés. Le montant des dépenses budgétaires liées aux subventions à l’exportation </w:t>
        <w:br/>
        <w:t xml:space="preserve">constitue donc un indicateur du degré de distorsions générées par de telles mesures. La réduction et la suppression de ces subventions réduisent </w:t>
        <w:br/>
        <w:t xml:space="preserve">les restrictions commerciales et les distorsions sur les marchés agricoles mondiaux. </w:t>
        <w:br/>
        <w:t xml:space="preserve">Les sources de données sont les notifications des Membres de l'OMC dans leurs notifications du tableau ES:1 et du tableau explicatif ES:2, conformément à la notification </w:t>
        <w:br/>
        <w:t xml:space="preserve">exigences et formats adoptés par le Comité de l'agriculture de l'OMC et contenus dans le document G/AG/2. Les autorités nationales qui compilent </w:t>
        <w:br/>
        <w:t>les statistiques sur les subventions peuvent fournir des données à ce sujet.</w:t>
      </w:r>
    </w:p>
    <w:p>
      <w:pPr>
        <w:pStyle w:val="Heading2"/>
      </w:pPr>
      <w:r>
        <w:t>Page 50</w:t>
      </w:r>
    </w:p>
    <w:p>
      <w:r>
        <w:t>Texte d'en-tête</w:t>
        <w:br/>
        <w:t>Texte de pied de page</w:t>
        <w:br/>
        <w:t>Désagrégation des données</w:t>
        <w:br/>
        <w:t>Références</w:t>
        <w:br/>
        <w:t>Organisation(s) internationale(s) de surveillance mondiale</w:t>
        <w:br/>
        <w:t xml:space="preserve">Méthode de calcul : </w:t>
        <w:br/>
        <w:t xml:space="preserve">L'indicateur est calculé pour tous les Membres ayant des engagements de réduction des subventions à l'exportation indiqués dans leur Liste d'engagements ou </w:t>
        <w:br/>
        <w:t xml:space="preserve">avoir eu recours à des subventions à l'exportation conformément au paragraphe 4 de l'article 9 de l'Accord sur l'agriculture. </w:t>
        <w:br/>
        <w:t xml:space="preserve">L'indicateur est calculé pour chaque Membre en additionnant les dépenses budgétaires en matière de subventions à l'exportation pour les différents produits ou groupes de produits. </w:t>
        <w:br/>
        <w:t xml:space="preserve">contenues dans leurs notifications respectives selon le tableau ES:1 et dans les notifications correspondantes selon le tableau ES:2. Le taux de conversion utilisé pour exprimer ces montants en US </w:t>
        <w:br/>
        <w:t xml:space="preserve">Le dollar est le taux de change annuel moyen du FMI. </w:t>
        <w:br/>
        <w:t xml:space="preserve">Les chiffres calculés pour chaque Membre sont ensuite additionnés pour calculer l'indicateur par grandes catégories de Membres et au niveau mondial. </w:t>
        <w:br/>
        <w:t>Commentaires et limites :</w:t>
        <w:br/>
        <w:t xml:space="preserve">La qualité de l'indicateur dépend de la ponctualité et de l'exactitude des notifications des Membres de l'OMC. </w:t>
        <w:br/>
        <w:t>Indicateurs proxy, alternatifs et supplémentaires : N/A</w:t>
        <w:br/>
        <w:t xml:space="preserve">Les données pourraient être ventilées par catégories de produits ou groupes de produits notifiés par les membres de l'OMC. </w:t>
        <w:br/>
        <w:t>URL officielle des métadonnées ODD</w:t>
        <w:br/>
        <w:t xml:space="preserve">https://unstats.un.org/sdgs/metadata/files/Metadata-02-0B-01.pdf  </w:t>
        <w:br/>
        <w:t>Méthodologie reconnue au niveau international et URL des lignes directrices</w:t>
        <w:br/>
        <w:t xml:space="preserve">https://www.wto.org/english/tratop_e/agric_e/transparency_toolkit_e.htm  </w:t>
        <w:br/>
        <w:t>Autres références</w:t>
        <w:br/>
        <w:t xml:space="preserve">Organisation mondiale du commerce (OMC). Genève. Système de gestion de l'information agricole. http://agims.wto.org/pages/Default.aspx </w:t>
        <w:br/>
        <w:t>Exemples de pays</w:t>
        <w:br/>
        <w:t>N/D</w:t>
        <w:br/>
        <w:t>Ce document a été préparé sur la base des contributions de l'Organisation mondiale du commerce (OMC).</w:t>
        <w:br/>
        <w:t>Pour obtenir des informations sur les points focaux pour cet indicateur, veuillez visiter https://unstats.un.org/sdgs/dataContacts/</w:t>
      </w:r>
    </w:p>
    <w:p>
      <w:pPr>
        <w:pStyle w:val="Heading2"/>
      </w:pPr>
      <w:r>
        <w:t>Page 51</w:t>
      </w:r>
    </w:p>
    <w:p>
      <w:r>
        <w:t>Texte d'en-tête</w:t>
        <w:br/>
        <w:t>Texte de pied de page</w:t>
        <w:br/>
        <w:t>Indicateur 2.c.1</w:t>
        <w:br/>
        <w:t>Page d'accueil du manuel électronique</w:t>
        <w:br/>
        <w:t>Nom de l’indicateur, cible et objectif</w:t>
        <w:br/>
        <w:t>Définition et justification</w:t>
        <w:br/>
        <w:t>Sources de données et méthode de collecte</w:t>
        <w:br/>
        <w:t>Méthode de calcul et autres considérations méthodologiques</w:t>
        <w:br/>
        <w:t>Contenu</w:t>
        <w:br/>
        <w:t>Nom de l’indicateur, cible et objectif</w:t>
        <w:br/>
        <w:t>Définition et justification</w:t>
        <w:br/>
        <w:t>Sources de données et méthode de collecte</w:t>
        <w:br/>
        <w:t>Méthode de calcul et autres considérations méthodologiques</w:t>
        <w:br/>
        <w:t>Désagrégation des données</w:t>
        <w:br/>
        <w:t>Références</w:t>
        <w:br/>
        <w:t>Organisation(s) internationale(s) de surveillance mondiale</w:t>
        <w:br/>
        <w:t xml:space="preserve"> Indicateur 2.c.1 : Indicateur des anomalies des prix alimentaires</w:t>
        <w:br/>
        <w:t xml:space="preserve">Cible 2.c : Adopter des mesures pour garantir le bon fonctionnement des marchés des produits alimentaires et de leurs dérivés et faciliter l'accès en temps opportun aux </w:t>
        <w:br/>
        <w:t>informations sur les marchés, notamment sur les réserves alimentaires, afin de contribuer à limiter la volatilité extrême des prix des produits alimentaires</w:t>
        <w:br/>
        <w:t>Objectif 2 : Éliminer la faim, parvenir à la sécurité alimentaire, améliorer la nutrition et promouvoir une agriculture durable</w:t>
        <w:br/>
        <w:t>Définition :</w:t>
        <w:br/>
        <w:t xml:space="preserve">L'indicateur des anomalies des prix alimentaires (IFPA) identifie les prix anormalement élevés ou bas qui se produisent pour une série de prix de produits alimentaires sur une période de </w:t>
        <w:br/>
        <w:t xml:space="preserve">le temps. L'IFPA s'appuie sur un taux de croissance composé pondéré (CGR) qui prend en compte à la fois la croissance des prix au cours d'une année et sur l'autre. </w:t>
        <w:br/>
        <w:t xml:space="preserve">Concepts : </w:t>
        <w:br/>
        <w:t xml:space="preserve">Le prix d'un produit alimentaire est la valeur marchande d'une unité de mesure donnée (kilogramme, tonne, etc.) d'un produit agricole primaire qui peut être </w:t>
        <w:br/>
        <w:t xml:space="preserve">achetés et vendus, comme les céréales secondaires ou le blé. </w:t>
        <w:br/>
        <w:t>Un taux de croissance composé est une moyenne géométrique qui suppose qu'une variable aléatoire croît à un rythme constant, composé sur une période spécifique (CGR)</w:t>
        <w:br/>
        <w:t xml:space="preserve">du temps. Parce qu’il suppose un taux de croissance constant, le CGR atténue l’effet de la volatilité des mouvements périodiques des prix. </w:t>
        <w:br/>
        <w:t>Justification et interprétation :</w:t>
        <w:br/>
        <w:t xml:space="preserve">Il peut être essentiel d’alerter à l’avance sur les risques de crises alimentaires résultant d’une croissance anormale des prix sur les marchés mondiaux des matières premières pour en atténuer les effets. </w:t>
        <w:br/>
        <w:t xml:space="preserve">impact. La flambée des prix alimentaires sur les marchés mondiaux en 2007-08 et 2011 en est un exemple. Parce que les prix résument les informations détenues par un </w:t>
        <w:br/>
        <w:t xml:space="preserve">grand nombre d’agents économiques, y compris leurs attentes concernant l’évolution probable à court terme de l’offre et de la demande, ils sont idéaux pour </w:t>
        <w:br/>
        <w:t xml:space="preserve">caractérisent le fonctionnement des marchés des produits alimentaires et peuvent contribuer à mettre en place des politiques limitant l’extrême volatilité des prix. </w:t>
        <w:br/>
        <w:t xml:space="preserve">Si l’indicateur est supérieur ou égal à 1, le prix d’une matière première donnée est dit anormalement élevé ; s'il est inférieur à 1 et supérieur à ou </w:t>
        <w:br/>
        <w:t xml:space="preserve">égal à 0,5, les prix sont considérés comme moyennement élevés ; et sinon, dit Normal. Les valeurs proches de 1 et supérieures doivent être étroitement surveillées </w:t>
        <w:br/>
        <w:t xml:space="preserve">car ils peuvent être le résultat d'un choc de marché. Ces chocs peuvent être le résultat d'une baisse des approvisionnements due à des conditions météorologiques défavorables ou même à des chocs politiques, </w:t>
        <w:br/>
        <w:t xml:space="preserve">telles que les interdictions d’importation ou d’exportation. Des chocs du côté de la demande peuvent également en être la cause. Étant donné que l’objectif de l’objectif 2.c est « d’assurer la bonne </w:t>
        <w:br/>
        <w:t xml:space="preserve">fonctionnement des marchés des produits alimentaires et de leurs dérivés et faciliter l’accès en temps opportun aux informations sur les marchés, y compris sur les réserves alimentaires, </w:t>
        <w:br/>
        <w:t xml:space="preserve">afin de contribuer à limiter la volatilité extrême des prix alimentaires », l’indicateur peut agir comme un signal d’alarme potentiel et permettre aux décideurs politiques d’adopter des politiques qui </w:t>
        <w:br/>
        <w:t xml:space="preserve">réduirait l’impact de tout choc sur le marché. </w:t>
        <w:br/>
        <w:t xml:space="preserve">Les sources de données utilisées pour le calcul de l’indicateur sont obtenues à partir de l’outil de suivi et d’analyse des prix alimentaires de la FAO (FPMA-Tool) et </w:t>
        <w:br/>
        <w:t>FAOSTAT. Le FPMA-Tool ( ) compile mensuellement 1 423 séries de prix des matières premières http://www.fao.org/giews/food-prices/tool/public/#/home</w:t>
        <w:br/>
        <w:t xml:space="preserve">dans 90 pays. Les données sur les prix des matières premières sont obtenues directement auprès des systèmes nationaux d'information sur les marchés, des instituts nationaux de statistiques ou des ministères, </w:t>
        <w:br/>
        <w:t>ou les banques centrales. FAOSTAT compile mensuellement des données nationales sur l'indice de l'IPC alimentaire pour 150 pays (http://www.fao.org/faostat/en</w:t>
        <w:br/>
        <w:t>). Les données de FAOSTAT sont obtenues du FMI telles que déclarées par les pays./#data/CP</w:t>
      </w:r>
    </w:p>
    <w:p>
      <w:pPr>
        <w:pStyle w:val="Heading2"/>
      </w:pPr>
      <w:r>
        <w:t>Page 52</w:t>
      </w:r>
    </w:p>
    <w:p>
      <w:r>
        <w:t>Texte d'en-tête</w:t>
        <w:br/>
        <w:t>Texte de pied de page</w:t>
        <w:br/>
        <w:t>Désagrégation des données</w:t>
        <w:br/>
        <w:t>Méthode de calcul :</w:t>
        <w:br/>
        <w:t>Des informations détaillées sur la méthodologie peuvent être trouvées dans le cours d'apprentissage en ligne intitulé : Indicateur ODD 2.c.1 - Anomalies des prix alimentaires (http://www.fao.</w:t>
        <w:br/>
        <w:t>). Pour une compréhension plus approfondie, l'article méthodologique publié par Global Information Early org/elearning/#/elc/en/course/SDG2C1</w:t>
        <w:br/>
        <w:t>Système d'alerte (SMIAR) de la FAO : est également disponible.http://www.fao.org/giews/food- prices/research/detail/en/c/235685/</w:t>
        <w:br/>
        <w:t>Commentaires et limites :</w:t>
        <w:br/>
        <w:t xml:space="preserve">Cet indicateur ne peut pas être utilisé et n’est pas adapté à la prévision d’événements futurs. Il est uniquement capable de caractériser des événements antérieurs. L'indicateur </w:t>
        <w:br/>
        <w:t>ne peut que caractériser la croissance des prix et ne peut pas isoler ex post tout changement de politique susceptible d’affecter les tendances locales des prix.</w:t>
        <w:br/>
        <w:t>Indicateurs proxy, alternatifs et supplémentaires : N/A</w:t>
      </w:r>
    </w:p>
    <w:p>
      <w:pPr>
        <w:pStyle w:val="Heading2"/>
      </w:pPr>
      <w:r>
        <w:t>Page 53</w:t>
      </w:r>
    </w:p>
    <w:p>
      <w:r>
        <w:t>Texte d'en-tête</w:t>
        <w:br/>
        <w:t>Texte de pied de page</w:t>
        <w:br/>
        <w:t>Références</w:t>
        <w:br/>
        <w:t>Organisation(s) internationale(s) de surveillance mondiale</w:t>
        <w:br/>
        <w:t xml:space="preserve">L'IFPA peut être désagrégé pour un ensemble de produits céréaliers (blé, riz, maïs, sorgho/mil) qui sont essentiels à la consommation alimentaire par </w:t>
        <w:br/>
        <w:t xml:space="preserve">pays et marché. L’IFPA est également estimé à l’aide de l’indice IPC alimentaire par pays. Cela permet à la FAO de caractériser également les mouvements de prix d'un </w:t>
        <w:br/>
        <w:t xml:space="preserve">panier alimentaire complet et défini à l’échelle nationale. Compte tenu de la granularité des données, la FAO peut caractériser l'état de volatilité des prix et mesurer </w:t>
        <w:br/>
        <w:t>progrès vers la réduction des chocs extrêmes, aux niveaux national, régional et mondial.</w:t>
        <w:br/>
        <w:t>URL officielle des métadonnées ODD</w:t>
        <w:br/>
        <w:t xml:space="preserve">https://unstats.un.org/sdgs/metadata/files/Metadata-02-0C-01.pdf  </w:t>
        <w:br/>
        <w:t>Méthodologie reconnue au niveau international et URL des lignes directrices</w:t>
        <w:br/>
        <w:t xml:space="preserve">http://www.fao.org/giews/food- prices/research/detail/en/c/235685/  </w:t>
        <w:br/>
        <w:t>Autres références :</w:t>
        <w:br/>
        <w:t>:Portail ODD de la FAO et apprentissage en ligne</w:t>
        <w:br/>
        <w:t>FAO. . Disponible sur Indicateurs des objectifs de développement durable http://www.fao.org/sustainable-development-goals/indicators/en/</w:t>
        <w:br/>
        <w:t>FAO. Centre d'apprentissage en ligne. Disponible sur http://www.fao.org/elearning/</w:t>
        <w:br/>
        <w:t>Références supplémentaires :</w:t>
        <w:br/>
        <w:t xml:space="preserve">Baquedano, Félix G. (2015). FAO. Rome. Développer un indicateur d'anomalies de prix comme outil d'alerte précoce : une approche de croissance composée. </w:t>
        <w:br/>
        <w:t>Disponible sur : http://www.fao.org/fileadmin/user_upload/foodprice/docs/resources/a-i7550e.pdf</w:t>
        <w:br/>
        <w:t>Exemples de pays</w:t>
        <w:br/>
        <w:t>N/D</w:t>
        <w:br/>
        <w:t>Ce document a été préparé sur la base des contributions de l'Organisation pour l'alimentation et l'agriculture (FAO).</w:t>
        <w:br/>
        <w:t>Pour obtenir des informations sur les points focaux pour cet indicateur, veuillez visiter https://unstats.un.org/sdgs/dataContacts/</w:t>
      </w:r>
    </w:p>
    <w:p>
      <w:pPr>
        <w:pStyle w:val="Heading2"/>
      </w:pPr>
      <w:r>
        <w:t>Page 54</w:t>
      </w:r>
    </w:p>
    <w:p>
      <w:r>
        <w:t>Texte d'en-tête</w:t>
        <w:br/>
        <w:t>Texte de pied de page</w:t>
        <w:br/>
        <w:t>Objectif 3</w:t>
        <w:br/>
        <w:t>Garantir une vie saine et promouvoir le bien-être de tous à tout âge</w:t>
        <w:br/>
        <w:t xml:space="preserve"> Page d'accueil du manuel électronique</w:t>
        <w:br/>
        <w:t>Dans cet objectif :</w:t>
        <w:br/>
        <w:t xml:space="preserve">La Division de statistique des Nations Unies (DSNU) a travaillé en consultation avec l'agence(s) dépositaire(s) de chaque indicateur pour préparer ces chapitres. Pour </w:t>
        <w:br/>
        <w:t>les indicateurs qui n’ont pas encore de chapitre ici, sont en cours de préparation et seront téléchargés ici dès qu’ils seront disponibles.</w:t>
        <w:br/>
        <w:t>Si vous avez des questions sur le manuel électronique, n'hésitez pas à contacter M. Yuxi Zhang (yuxi.zhang@un.org) avec copie à M. Ze Yar Min (min@</w:t>
        <w:br/>
        <w:t>.un.org)</w:t>
      </w:r>
    </w:p>
    <w:p>
      <w:pPr>
        <w:pStyle w:val="Heading2"/>
      </w:pPr>
      <w:r>
        <w:t>Page 55</w:t>
      </w:r>
    </w:p>
    <w:p>
      <w:r>
        <w:t>Texte d'en-tête</w:t>
        <w:br/>
        <w:t>Texte de pied de page</w:t>
        <w:br/>
        <w:t>Indicateur 3.1.1</w:t>
        <w:br/>
        <w:t>Page d'accueil du manuel électronique</w:t>
        <w:br/>
        <w:t xml:space="preserve"> </w:t>
        <w:br/>
        <w:t>Nom de l’indicateur, cible et objectif</w:t>
        <w:br/>
        <w:t>Définition et justification</w:t>
        <w:br/>
        <w:t>Sources de données et méthode de collecte</w:t>
        <w:br/>
        <w:t>Contenu</w:t>
        <w:br/>
        <w:t>Nom de l’indicateur, cible et objectif</w:t>
        <w:br/>
        <w:t>Définition et justification</w:t>
        <w:br/>
        <w:t>Sources de données et méthode de collecte</w:t>
        <w:br/>
        <w:t>Méthode de calcul et autres considérations méthodologiques</w:t>
        <w:br/>
        <w:t>Désagrégation des données</w:t>
        <w:br/>
        <w:t>Références</w:t>
        <w:br/>
        <w:t>Organisation(s) internationale(s) de surveillance mondiale</w:t>
        <w:br/>
        <w:t xml:space="preserve"> Indicateur 3.1.1 : Taux de mortalité maternelle</w:t>
        <w:br/>
        <w:t>Cible 3.1 : D’ici 2030, réduire le taux mondial de mortalité maternelle à moins de 70 pour 100 000 naissances vivantes</w:t>
        <w:br/>
        <w:t>Objectif 3 : Garantir une vie saine et promouvoir le bien-être de tous à tout âge</w:t>
        <w:br/>
        <w:t>Définition :</w:t>
        <w:br/>
        <w:t xml:space="preserve">Le taux de mortalité maternelle (RMM) est défini comme le nombre annuel de décès maternels, quelle qu'en soit la cause, liés à ou aggravés par la grossesse ou </w:t>
        <w:br/>
        <w:t xml:space="preserve">sa prise en charge (hors causes accidentelles ou fortuites) pendant la grossesse et l'accouchement ou dans les 42 jours suivant l'interruption de grossesse, </w:t>
        <w:br/>
        <w:t xml:space="preserve">quels que soient la durée et le lieu de la grossesse, pour 100 000 naissances vivantes, pour une année déterminée. </w:t>
        <w:br/>
        <w:t>Concepts :</w:t>
        <w:br/>
        <w:t>A fait référence à un décès féminin, quelle qu'en soit la cause, liée ou aggravée par la grossesse ou sa gestion (à l'exclusion des décès accidentels ou maternels).</w:t>
        <w:br/>
        <w:t xml:space="preserve">causes fortuites) pendant la grossesse et l'accouchement ou dans les 42 jours suivant l'interruption de grossesse, quels que soient la durée et le lieu de l'accouchement. </w:t>
        <w:br/>
        <w:t xml:space="preserve">grossesse. Il est important de noter que tous les décès survenant temporairement avant la grossesse ne sont pas considérés comme des « décès maternels ». Les décès maternels sont </w:t>
        <w:br/>
        <w:t xml:space="preserve">un sous-ensemble spécifique de décès survenant pendant la grossesse, l'accouchement et la puerpéralité et peut être divisé en deux groupes, à savoir directs </w:t>
        <w:br/>
        <w:t xml:space="preserve">et les décès obstétricaux indirects. Les décès obstétricaux directs résultent de complications obstétricales de la grossesse (grossesse, travail et </w:t>
        <w:br/>
        <w:t xml:space="preserve">puerpéralité); des interventions, omissions ou traitements directs ; ou d'une chaîne d'événements aboutissant à l'un de ces événements. Les décès indirects résultent de </w:t>
        <w:br/>
        <w:t xml:space="preserve">une maladie préexistante ou une maladie qui s'est développée pendant la grossesse et qui n'est pas directement due à des causes obstétricales mais a été aggravée par la </w:t>
        <w:br/>
        <w:t xml:space="preserve">effets physiologiques de la grossesse. Les décès qui ne répondent pas à ces critères, comme ceux qui surviennent à la suite d'accidents, sont définis par le </w:t>
        <w:br/>
        <w:t xml:space="preserve">terme plus général, « décès survenant pendant la grossesse, l'accouchement ou la puerpéralité » (précédemment appelé « décès liés à la grossesse ») et sont </w:t>
        <w:br/>
        <w:t>exclus de la définition de la santé maternelle.</w:t>
        <w:br/>
        <w:t xml:space="preserve">A est l'expulsion ou l'extraction complète de la mère d'un produit de conception, quelle que soit la durée de la grossesse, qui, par naissance vivante </w:t>
        <w:br/>
        <w:t xml:space="preserve">après une telle séparation, respire ou montre toute autre preuve de vie, telle que des battements de cœur, des pulsations du cordon ombilical ou des signes de vie précis. </w:t>
        <w:br/>
        <w:t xml:space="preserve">mouvement des muscles volontaires, que le cordon ombilical ait été coupé ou non ou que le placenta soit attaché. Chaque produit d'une telle naissance est </w:t>
        <w:br/>
        <w:t>considérée comme une naissance vivante.</w:t>
        <w:br/>
        <w:t>Justification et interprétation :</w:t>
        <w:br/>
        <w:t xml:space="preserve">Cet indicateur suit les décès liés à la grossesse et à l'accouchement. Il reflète la capacité des systèmes de santé à fournir des soins de santé efficaces dans </w:t>
        <w:br/>
        <w:t xml:space="preserve">prévenir et traiter les complications survenant pendant la grossesse et l’accouchement. </w:t>
        <w:br/>
        <w:t xml:space="preserve">Les valeurs des indicateurs varient de moins de 10 dans la plupart des pays développés, avec une moyenne d'environ 169 pour 100 000 naissances vivantes dans les pays en développement. </w:t>
        <w:br/>
        <w:t>régions.</w:t>
      </w:r>
    </w:p>
    <w:p>
      <w:pPr>
        <w:pStyle w:val="Heading2"/>
      </w:pPr>
      <w:r>
        <w:t>Page 56</w:t>
      </w:r>
    </w:p>
    <w:p>
      <w:r>
        <w:t>Header text</w:t>
        <w:br/>
        <w:t>Footer text</w:t>
        <w:br/>
        <w:t>Method of Computation and Other Methodological Considerations</w:t>
        <w:br/>
        <w:t>Data Disaggregation</w:t>
        <w:br/>
        <w:t>References</w:t>
        <w:br/>
        <w:t xml:space="preserve">Primary sources of data include CRSV, population based household surveys, reproductive age mortality studies, disease surveillance or sample </w:t>
        <w:br/>
        <w:t xml:space="preserve">registration systems, special studies on maternal mortality, and national population censuses. Complete CRSV systems with accurate cause of </w:t>
        <w:br/>
        <w:t xml:space="preserve">death estimations are the most reliable data source for calculating maternal mortality and monitoring change over time. However, these are rare </w:t>
        <w:br/>
        <w:t xml:space="preserve">in developing countries. Official data are usually available from health service records, but in some locations few women in rural areas have </w:t>
        <w:br/>
        <w:t xml:space="preserve">access to health services. Therefore, in developing countries, survey data, especially those from the Demographic and Health Surveys (DHS) </w:t>
        <w:br/>
        <w:t xml:space="preserve">and similar household surveys constitute the most common source of data on maternal mortality. </w:t>
        <w:br/>
        <w:t xml:space="preserve">Because maternal mortality is a relatively rare event, large sample sizes are needed when data are derived from household surveys. This is very </w:t>
        <w:br/>
        <w:t xml:space="preserve">costly and may still result in estimates with large confidence intervals. </w:t>
        <w:br/>
        <w:t xml:space="preserve">The sisterhood method, used in DHS surveys and Multiple Indicator Cluster Surveys (MICS), reduces sample size requirements by asking survey </w:t>
        <w:br/>
        <w:t xml:space="preserve">respondents about the survivorship of sisters. Respondents are asked four simple questions about how many of their sisters reached adulthood, </w:t>
        <w:br/>
        <w:t xml:space="preserve">how many have died and whether those who died were pregnant at the time of death.  While this method reduces sample size requirements, it </w:t>
        <w:br/>
        <w:t xml:space="preserve">produces estimates covering some 7-12 years before the survey, which renders data problematic for monitoring progress or observing the impact </w:t>
        <w:br/>
        <w:t xml:space="preserve">of interventions. The direct sisterhood method asks respondents to provide date of death, which permits the calculation of more recent estimates, </w:t>
        <w:br/>
        <w:t>but even then, the reference period tends to refer to 0-6 years before the survey.</w:t>
        <w:br/>
        <w:t>Computation Method:</w:t>
        <w:br/>
        <w:t xml:space="preserve">The maternal mortality ratio is calculated by dividing recorded (or estimated) maternal deaths by total recorded (or estimated) live births in the </w:t>
        <w:br/>
        <w:t xml:space="preserve">same period and multiplying by 100,000. The measurement requires information on pregnancy status, timing of death (during pregnancy, during </w:t>
        <w:br/>
        <w:t xml:space="preserve">childbirth, or within 42 days of termination of pregnancy), and cause of death. The following formula is used for calculating the maternal mortality </w:t>
        <w:br/>
        <w:t>ratio for a given time period:</w:t>
        <w:br/>
        <w:t xml:space="preserve"> </w:t>
        <w:br/>
        <w:t>Comments and limitations:</w:t>
        <w:br/>
        <w:t xml:space="preserve">Maternal mortality is often difficult to measure. Civil Registration Vital Statistics (CRVS) and health information systems in most developing </w:t>
        <w:br/>
        <w:t xml:space="preserve">countries are weak, and thus, cannot provide an accurate assessment of maternal mortality. Even figures derived from complete CRVS systems, </w:t>
        <w:br/>
        <w:t xml:space="preserve">such as those in developed countries, suffer from misclassification and underreporting of maternal deaths. </w:t>
        <w:br/>
        <w:t xml:space="preserve">Due to very large confidence intervals, maternal mortality estimates might not be suitable for assessing trends over time. As a result, it is </w:t>
        <w:br/>
        <w:t xml:space="preserve">recommended that country level process indicators, such as attendance by skilled health personnel at delivery and use of health facilities for </w:t>
        <w:br/>
        <w:t xml:space="preserve">delivery, be used to supplement maternal mortality ratios for assessing progress towards the reduction in maternal mortality at the country level. </w:t>
        <w:br/>
        <w:t xml:space="preserve">The maternal mortality ratio should not be confused with the maternal mortality rate (number of maternal deaths divided by person-years lived by </w:t>
        <w:br/>
        <w:t xml:space="preserve">women of reproductive age), which reflects not only the risk of maternal death per pregnancy or birth but also the level of fertility in the </w:t>
        <w:br/>
        <w:t xml:space="preserve">population. The maternal mortality ratio (whose denominator is the number of live births) indicates the risk of death once a woman becomes </w:t>
        <w:br/>
        <w:t xml:space="preserve">pregnant, and does not take fertility levels into consideration. </w:t>
        <w:br/>
        <w:t>Proxy, alternative and additional indicators:</w:t>
        <w:br/>
        <w:t>In addition to the MMR and MMRate, there exist two additional indicators:</w:t>
        <w:br/>
        <w:t xml:space="preserve">(1) the adult lifetime risk of maternal mortality for women in the population is defined as the probability that a 15-year old woman will die </w:t>
        <w:br/>
        <w:t>eventually from a maternal cause; and</w:t>
        <w:br/>
        <w:t xml:space="preserve">(2) the proportion of deaths among women of reproductive age that are due to maternal causes (PM) is calculated as the number of maternal </w:t>
        <w:br/>
        <w:t xml:space="preserve">deaths divided by the total deaths among women aged 15-49 years. </w:t>
        <w:br/>
        <w:t xml:space="preserve">A list of aspirational inequity measurements are proposed for disaggregation such as income level, residence (urban/rural), educational </w:t>
        <w:br/>
        <w:t>attainment, ethnicity, humanitarian settings, conflict zones and refugees as well as adolescent 15-19 years.</w:t>
      </w:r>
    </w:p>
    <w:p>
      <w:pPr>
        <w:pStyle w:val="Heading2"/>
      </w:pPr>
      <w:r>
        <w:t>Page 57</w:t>
      </w:r>
    </w:p>
    <w:p>
      <w:r>
        <w:t>Texte d'en-tête</w:t>
        <w:br/>
        <w:t>Texte de pied de page</w:t>
        <w:br/>
        <w:t>Organisation(s) internationale(s) de surveillance mondiale</w:t>
        <w:br/>
        <w:t>URL officielle des métadonnées ODD</w:t>
        <w:br/>
        <w:t xml:space="preserve">https://unstats.un.org/sdgs/metadata/files/Metadata-03-01-01.pdf  </w:t>
        <w:br/>
        <w:t xml:space="preserve">Méthodologie reconnue au niveau international et URL des lignes directrices </w:t>
        <w:br/>
        <w:t>http://www.who.int/reproductivehealth/publications/monitoring/maternal-mortality-2015/en/</w:t>
        <w:br/>
        <w:t>Autres références</w:t>
        <w:br/>
        <w:t>OMS-UNICEF-FNUAP-Banque mondiale – Division de la population des Nations Unies (2015).  Genève. Tendances disponibles en matière de mortalité maternelle : 1990 à 2015.</w:t>
        <w:br/>
        <w:t>sur : http://apps.who.int/iris/bitstream/10665/194254/1/9789241565141_eng.pdf?ua=1</w:t>
        <w:br/>
        <w:t xml:space="preserve">Alkema L. et coll. (2016). Niveaux et tendances mondiaux, régionaux et nationaux de la mortalité maternelle entre 1990 et 2015, avec des scénarios basés sur </w:t>
        <w:br/>
        <w:t xml:space="preserve"> La Lancette. doi:10.1016/S0140- 6736(15)projections jusqu'en 2030 : une analyse systématique réalisée par le Groupe interinstitutions sur l'estimation de la mortalité maternelle des Nations Unies.  </w:t>
        <w:br/>
        <w:t>00838-7. Disponible sur : http://www.thelancet.com/pdfs/journals/lancet/PIIS0140-6736(15)00838-7.pdf</w:t>
        <w:br/>
        <w:t>Alkema L. et coll. (2015).  arXiv : 1511.03330. Disponible sur : Une approche bayésienne de l’estimation mondiale de la mortalité maternelle. https://arxiv.org/pdf</w:t>
        <w:br/>
        <w:t>/1511.03330</w:t>
        <w:br/>
        <w:t>Exemples de pays</w:t>
        <w:br/>
        <w:t>N/D</w:t>
        <w:br/>
        <w:t>Ce document a été préparé sur la base des contributions de l'Organisation mondiale de la santé (OMS).</w:t>
        <w:br/>
        <w:t>Pour obtenir des informations sur les points focaux pour cet indicateur, veuillez visiter https://unstats.un.org/sdgs/dataContacts/</w:t>
      </w:r>
    </w:p>
    <w:p>
      <w:pPr>
        <w:pStyle w:val="Heading2"/>
      </w:pPr>
      <w:r>
        <w:t>Page 58</w:t>
      </w:r>
    </w:p>
    <w:p>
      <w:r>
        <w:t>Texte d'en-tête</w:t>
        <w:br/>
        <w:t>Texte de pied de page</w:t>
        <w:br/>
        <w:t>Indicateur 3.2.1</w:t>
        <w:br/>
        <w:t>Page d'accueil du manuel électronique</w:t>
        <w:br/>
        <w:t xml:space="preserve"> </w:t>
        <w:br/>
        <w:t>Nom de l’indicateur, cible et objectif</w:t>
        <w:br/>
        <w:t>Définition et justification</w:t>
        <w:br/>
        <w:t>Sources de données et méthode de collecte</w:t>
        <w:br/>
        <w:t>Méthode de calcul et autres considérations méthodologiques</w:t>
        <w:br/>
        <w:t>Contenu</w:t>
        <w:br/>
        <w:t>Nom de l’indicateur, cible et objectif</w:t>
        <w:br/>
        <w:t>Définition et justification</w:t>
        <w:br/>
        <w:t>Sources de données et méthode de collecte</w:t>
        <w:br/>
        <w:t>Méthode de calcul et autres considérations méthodologiques</w:t>
        <w:br/>
        <w:t>Désagrégation des données</w:t>
        <w:br/>
        <w:t>Références</w:t>
        <w:br/>
        <w:t>Organisation(s) internationale(s) de surveillance mondiale</w:t>
        <w:br/>
        <w:t xml:space="preserve"> Indicateur 3.2.1 : Taux de mortalité des moins de cinq ans</w:t>
        <w:br/>
        <w:t xml:space="preserve">Cible 3.2 : D’ici 2030, mettre fin aux décès évitables de nouveau-nés et d’enfants de moins de 5 ans, tous les pays visant à réduire les décès néonatals </w:t>
        <w:br/>
        <w:t>mortalité à au moins 12 pour 1 000 naissances vivantes et mortalité des moins de 5 ans à au moins 25 pour 1 000 naissances vivantes</w:t>
        <w:br/>
        <w:t>Objectif 3 : Garantir une vie saine et promouvoir le bien-être de tous à tout âge</w:t>
        <w:br/>
        <w:t>Définition :</w:t>
        <w:br/>
        <w:t xml:space="preserve">Le taux de mortalité des moins de cinq ans (TMM5) est la probabilité (exprimée en taux pour 1 000 naissances vivantes) qu'un enfant naisse au cours d'une année ou d'une période spécifiée. </w:t>
        <w:br/>
        <w:t xml:space="preserve">mourir avant l’âge de cinq ans s’ils sont soumis aux taux de mortalité actuels par âge. </w:t>
        <w:br/>
        <w:t>Concepts :</w:t>
        <w:br/>
        <w:t xml:space="preserve">Une naissance vivante est l'expulsion ou l'extraction complète de la mère d'un produit de conception, quelle que soit la durée de la grossesse, qui, </w:t>
        <w:br/>
        <w:t xml:space="preserve">après une telle séparation, respire ou montre toute autre preuve de vie, telle que des battements de cœur, des pulsations du cordon ombilical ou des signes de vie précis. </w:t>
        <w:br/>
        <w:t xml:space="preserve">mouvement des muscles volontaires, que le cordon ombilical ait été coupé ou non ou que le placenta soit attaché. Chaque produit d'une telle naissance est </w:t>
        <w:br/>
        <w:t xml:space="preserve">considérée comme une naissance vivante. </w:t>
        <w:br/>
        <w:t>Justification et interprétation :</w:t>
        <w:br/>
        <w:t xml:space="preserve">Les taux de mortalité chez les jeunes enfants sont un indicateur clé de résultats pour la santé et le bien-être des enfants et, plus largement, pour les conditions sociales et économiques. </w:t>
        <w:br/>
        <w:t xml:space="preserve">développement. Il s’agit d’un indicateur de santé publique très surveillé car il reflète l’accès des enfants et des communautés aux soins de santé de base. </w:t>
        <w:br/>
        <w:t xml:space="preserve">interventions telles que la vaccination, le traitement médical des maladies infectieuses et une nutrition adéquate. </w:t>
        <w:br/>
        <w:t>D’ici 2030, tous les pays devraient réduire la mortalité des moins de 5 ans à au moins 25 pour 1 000 naissances vivantes.</w:t>
        <w:br/>
        <w:t xml:space="preserve">Les systèmes d’enregistrement de l’état civil constituent la source privilégiée de données sur la mortalité des moins de cinq ans, car ils collectent des informations de manière prospective et couvrent </w:t>
        <w:br/>
        <w:t xml:space="preserve">population entière. Cependant, de nombreux pays à revenu faible ou intermédiaire ne disposent pas de systèmes d’enregistrement de l’état civil pleinement opérationnels qui enregistrent avec précision tous les </w:t>
        <w:br/>
        <w:t xml:space="preserve">naissances et décès. Ainsi, les enquêtes auprès des ménages, telles que les enquêtes démographiques et de santé (EDS) et les enquêtes en grappes à indicateurs multiples (MICS), </w:t>
        <w:br/>
        <w:t xml:space="preserve">et les recensements périodiques de la population sont devenus la principale source de données sur la mortalité infantile dans les pays à revenu faible et intermédiaire. </w:t>
        <w:br/>
        <w:t>L'Office national de statistique ou le ministère de la Santé sont principalement impliqués dans la génération de données sur la mortalité des moins de cinq ans au niveau national.</w:t>
      </w:r>
    </w:p>
    <w:p>
      <w:pPr>
        <w:pStyle w:val="Heading2"/>
      </w:pPr>
      <w:r>
        <w:t>Page 59</w:t>
      </w:r>
    </w:p>
    <w:p>
      <w:r>
        <w:t>Texte d'en-tête</w:t>
        <w:br/>
        <w:t>Texte de pied de page</w:t>
        <w:br/>
        <w:t>Désagrégation des données</w:t>
        <w:br/>
        <w:t>Références</w:t>
        <w:br/>
        <w:t xml:space="preserve">Méthode de calcul : </w:t>
        <w:br/>
        <w:t xml:space="preserve">À proprement parler, les U5MR ne sont pas des taux, puisqu’ils ne sont pas calculés en divisant le nombre de décès par la population à risque. Plutôt, le </w:t>
        <w:br/>
        <w:t xml:space="preserve">les mesures représentent la probabilité de mourir avant un certain âge dérivée d’une table de mortalité. </w:t>
        <w:br/>
        <w:t xml:space="preserve">Il existe deux méthodes de calcul du U5MR : la méthode directe et la méthode indirecte. La méthode directe nécessite la date de naissance de chaque enfant, </w:t>
        <w:br/>
        <w:t xml:space="preserve">statut de survie et date ou âge au décès. Ces informations se trouvent généralement dans les systèmes d'enregistrement de l'état civil et dans les enquêtes auprès des ménages qui collectent </w:t>
        <w:br/>
        <w:t xml:space="preserve">histoires de naissance complètes. Un historique complet des naissances enregistre les dates de naissance et, le cas échéant, les dates de décès de tous les enfants nés de chacun </w:t>
        <w:br/>
        <w:t xml:space="preserve">femme interviewée. </w:t>
        <w:br/>
        <w:t xml:space="preserve">Il existe différentes méthodes directes de calcul des taux de mortalité des moins de cinq ans. Pour les données des systèmes d'enregistrement de l'état civil, le calcul du U5MR peut </w:t>
        <w:br/>
        <w:t>être dérivé d'une table de mortalité abrégée sur période standard avec le nombre de décès pour la tranche d'âge &lt;1 an (notée D0) et pour la tranche d'âge 1-4 ans (D1-</w:t>
        <w:br/>
        <w:t xml:space="preserve">4), ainsi que la population en milieu d'année pour les mêmes groupes d'âge (P0 et P1-4) comme entrées. Les programmes d'enquête utilisent une approche de cohorte synthétique, </w:t>
        <w:br/>
        <w:t xml:space="preserve">qui combine les probabilités de mortalité pour de petits segments d'âge sur la base de l'expérience réelle de mortalité des cohortes dans l'âge commun. </w:t>
        <w:br/>
        <w:t xml:space="preserve">La méthode indirecte nécessite relativement peu d’informations disponibles dans les recensements et plusieurs enquêtes. Seules quelques questions courtes et simples sont </w:t>
        <w:br/>
        <w:t xml:space="preserve">nécessaire pour le récupérer. Ces informations comprennent le nombre total d’enfants nés de chaque femme, le nombre de survivants et l’âge de la femme. </w:t>
        <w:br/>
        <w:t xml:space="preserve">(ou le nombre d'années depuis son premier accouchement). La méthode indirecte, souvent appelée « méthode Brass », convertit la proportion de morts déclarées </w:t>
        <w:br/>
        <w:t xml:space="preserve">enfants nés de femmes dans les groupes d'âge 15-19, 20-24,… et 45-49 ans en estimations de la probabilité de mourir avant d'atteindre certains âges. </w:t>
        <w:br/>
        <w:t xml:space="preserve">La méthode suppose que l'âge de la mère peut servir d'indicateur de l'âge de ses enfants et donc de la durée pendant laquelle les enfants sont nés. </w:t>
        <w:br/>
        <w:t>exposé au risque de mourir.</w:t>
        <w:br/>
        <w:t>Pour plus de détails sur la méthodologie, veuillez consulter : http://childmortality.org/files_v21/download/Child%20Mortality%20Estimation%</w:t>
        <w:br/>
        <w:t xml:space="preserve"> 20Notes explicatives%20.pdf</w:t>
        <w:br/>
        <w:t>Commentaires et limites :</w:t>
        <w:br/>
        <w:t xml:space="preserve">De nombreux pays ne disposent pas de données actuelles et fiables sur le TMM5, mais affichent plutôt des taux de mortalité différents provenant de différentes sources. Données provenant de différents </w:t>
        <w:br/>
        <w:t xml:space="preserve">les sources nécessitent des méthodes de calcul différentes et peuvent souffrir de différentes erreurs, par exemple des erreurs aléatoires dans les enquêtes par sondage ou des erreurs systématiques. </w:t>
        <w:br/>
        <w:t xml:space="preserve">erreurs dues à des déclarations erronées. Les erreurs de rappel sont courantes car les données sont collectées rétrospectivement. En conséquence, différentes sources donnent souvent des résultats largement </w:t>
        <w:br/>
        <w:t xml:space="preserve">les différentes estimations de la mortalité pour une période donnée et les données disponibles collectées par les pays sont souvent incohérentes d’une source à l’autre. Par conséquent, </w:t>
        <w:br/>
        <w:t xml:space="preserve">il est important d'analyser, de rapprocher et d'évaluer simultanément toutes les sources de données pour chaque pays. La méthode UN IGME vise à minimiser les </w:t>
        <w:br/>
        <w:t xml:space="preserve">erreurs pour chaque estimation, harmoniser les tendances au fil du temps et produire des estimations à jour et correctement évaluées de la mortalité des moins de cinq ans. </w:t>
        <w:br/>
        <w:t xml:space="preserve">Le Groupe interinstitutions des Nations Unies pour l'estimation de la mortalité infantile (UN IGME) utilise un modèle bayésien B-splines ajusté en fonction du biais pour estimer le U5MR. Le </w:t>
        <w:br/>
        <w:t xml:space="preserve">Le modèle de régression spline est ajusté à toutes les données empiriques U5MR provenant des systèmes d'enregistrement de l'état civil, des recensements de la population, des enquêtes auprès des ménages et des sondages. </w:t>
        <w:br/>
        <w:t xml:space="preserve">systèmes d’enregistrement dans un pays, après évaluation de la qualité des données. Le modèle génère une courbe de tendance lisse dont la moyenne peut s'étendre sur </w:t>
        <w:br/>
        <w:t xml:space="preserve">des estimations disparates provenant de différentes sources de données pour un pays et extrapole les estimations à une année cible. UN IGME génère de tels </w:t>
        <w:br/>
        <w:t xml:space="preserve">estimations avec limites d’incertitude. Les différences entre les estimations de l’UN IGME et les estimations nationales officielles ne sont généralement pas importantes si </w:t>
        <w:br/>
        <w:t xml:space="preserve">les données empiriques sont de bonne qualité. </w:t>
        <w:br/>
        <w:t>Pour plus de détails sur la méthodologie, veuillez consulter :</w:t>
        <w:br/>
        <w:t>https://arxiv.org/pdf/1309.1602.pdf</w:t>
        <w:br/>
        <w:t>http://childmortality.org/files_v21/download/IGME%20r rapport%202017%20enfant%20mortalité%20final.pdf</w:t>
        <w:br/>
        <w:t>http://childmortality.org/files_v21/download/Child%20Mortality%20Estimation%20Explanatory%20Notes.pdf</w:t>
        <w:br/>
        <w:t xml:space="preserve">http://www.childmortality.org/ </w:t>
        <w:br/>
        <w:t>Indicateurs proxy, alternatifs et supplémentaires : N/A</w:t>
        <w:br/>
        <w:t xml:space="preserve">La ventilation courante des indicateurs de mortalité comprend la ventilation par sexe, âge (nouveau-né, nourrisson, enfant), quintile de richesse, résidence et </w:t>
        <w:br/>
        <w:t xml:space="preserve">l’éducation de la mère. Les données ventilées ne sont pas toujours disponibles. La ventilation par zone géographique se fait généralement au niveau régional, ou au </w:t>
        <w:br/>
        <w:t xml:space="preserve">niveau provincial minimum pour les données d’enquête ou de recensement. Les données provenant de systèmes d’enregistrement de l’état civil qui fonctionnent bien peuvent fournir des informations géographiques plus détaillées. </w:t>
        <w:br/>
        <w:t>pannes.</w:t>
      </w:r>
    </w:p>
    <w:p>
      <w:pPr>
        <w:pStyle w:val="Heading2"/>
      </w:pPr>
      <w:r>
        <w:t>Page 60</w:t>
      </w:r>
    </w:p>
    <w:p>
      <w:r>
        <w:t>Texte d'en-tête</w:t>
        <w:br/>
        <w:t>Texte de pied de page</w:t>
        <w:br/>
        <w:t>Organisation(s) internationale(s) de surveillance mondiale</w:t>
        <w:br/>
        <w:t>URL officielle des métadonnées ODD</w:t>
        <w:br/>
        <w:t xml:space="preserve">https://unstats.un.org/sdgs/metadata/files/Metadata-03-02-01.pdf  </w:t>
        <w:br/>
        <w:t>Méthodologie reconnue au niveau international et URL des lignes directrices</w:t>
        <w:br/>
        <w:t>https://arxiv.org/pdf/1309.1602.pdf</w:t>
        <w:br/>
        <w:t>http://childmortality.org/files_v21/download/IGME%20report%202017%20child%20mortality%20final.pdf</w:t>
        <w:br/>
        <w:t>http://childmortality.org/files_v21/download/Child%20Mortality%20Estimation%20Explanatory%20Notes.pdf</w:t>
        <w:br/>
        <w:t xml:space="preserve">http://www.childmortality.org/ </w:t>
        <w:br/>
        <w:t>Autres références</w:t>
        <w:br/>
        <w:t>Notes d'information de l'UNICEF sur les indicateurs des ODD :</w:t>
        <w:br/>
        <w:t>UNICEF. Disponible sur Notes d’information sur les indicateurs mondiaux des ODD liés aux enfants. https://data.unicef.org/resources/sdg-global-indicators-rated-</w:t>
        <w:br/>
        <w:t xml:space="preserve">aux-enfants/ </w:t>
        <w:br/>
        <w:t>:Références supplémentaires</w:t>
        <w:br/>
        <w:t>Alkema L, New JR (2014).  The Annals of Applied Global estimation de la mortalité infantile à l’aide d’une méthode bayésienne de réduction de biais B-spline.</w:t>
        <w:br/>
        <w:t>Statistiques. 2014 ; 8(4) : 2122-2149. Disponible sur : http://arxiv.org/abs/1309.1602</w:t>
        <w:br/>
        <w:t xml:space="preserve">Alkema L, Chao F, You D, Pedersen J, Sawyer CC. (2014). Rapports de masculinité nationaux, régionaux et mondiaux en matière de mortalité infantile, infantile et de moins de 5 ans et </w:t>
        <w:br/>
        <w:t xml:space="preserve"> The Lancet Santé mondiale. 2014 ; 2(9) : e521 à e530. Disponible sur : identification des pays présentant des ratios aberrants : une évaluation systématique. http://www</w:t>
        <w:br/>
        <w:t>w.thelancet.com/pdfs/journals/langlo/PIIS2214-109X(14)70280-3.pdf</w:t>
        <w:br/>
        <w:t>Pedersen J, Liu J. (2012).  Estimation de la mortalité infantile de Plos : périodes appropriées pour les estimations de la mortalité infantile à partir des histoires de naissance complètes.</w:t>
        <w:br/>
        <w:t>Médecine. 2012 ;9(8). Disponible sur : http://journals.plos.org/plosmedicine/article?id=10.1371/journal.pmed.1001289</w:t>
        <w:br/>
        <w:t xml:space="preserve">Silva R. (2012). Estimation de la mortalité infantile : cohérence des estimations du taux de mortalité des moins de cinq ans à l'aide d'histoires de naissance complètes et de résumés de naissance </w:t>
        <w:br/>
        <w:t>. Médecine Plos. 2012 ;9(8). Disponible sur : Histoires http://journals.plos.org/plosmedicine/article?id=10.1371/journal.pmed.1001296</w:t>
        <w:br/>
        <w:t xml:space="preserve">Walker N, Hill K et Zhao FM. (2012). Estimation de la mortalité infantile : méthodes utilisées pour tenir compte des biais dus au SIDA dans l'estimation des tendances chez les moins de cinq ans </w:t>
        <w:br/>
        <w:t xml:space="preserve"> Médecine Plos. 2012 ;9(8). Disponible sur : Mortalité. http://journals.plos.org/plosmedicine/article?id=10.1371/journal.pmed.1001298</w:t>
        <w:br/>
        <w:t>Exemples de pays</w:t>
        <w:br/>
        <w:t>N/D</w:t>
        <w:br/>
        <w:t>Ce document a été préparé sur la base des contributions du Fonds des Nations Unies pour l’enfance (UNICEF).</w:t>
        <w:br/>
        <w:t>Pour obtenir des informations sur les points focaux pour cet indicateur, veuillez visiter https://unstats.un.org/sdgs/dataContacts/</w:t>
      </w:r>
    </w:p>
    <w:p>
      <w:pPr>
        <w:pStyle w:val="Heading2"/>
      </w:pPr>
      <w:r>
        <w:t>Page 61</w:t>
      </w:r>
    </w:p>
    <w:p>
      <w:r>
        <w:t>Texte d'en-tête</w:t>
        <w:br/>
        <w:t>Texte de pied de page</w:t>
        <w:br/>
        <w:t>Indicateur 3.2.2</w:t>
        <w:br/>
        <w:t>Page d'accueil du manuel électronique</w:t>
        <w:br/>
        <w:t xml:space="preserve"> </w:t>
        <w:br/>
        <w:t>Nom de l’indicateur, cible et objectif</w:t>
        <w:br/>
        <w:t>Définition et justification</w:t>
        <w:br/>
        <w:t>Sources de données et méthode de collecte</w:t>
        <w:br/>
        <w:t>Méthode de calcul et autres considérations méthodologiques</w:t>
        <w:br/>
        <w:t>Contenu</w:t>
        <w:br/>
        <w:t>Nom de l’indicateur, cible et objectif</w:t>
        <w:br/>
        <w:t>Définition et justification</w:t>
        <w:br/>
        <w:t>Sources de données et méthode de collecte</w:t>
        <w:br/>
        <w:t>Méthode de calcul et autres considérations méthodologiques</w:t>
        <w:br/>
        <w:t>Désagrégation des données</w:t>
        <w:br/>
        <w:t>Références</w:t>
        <w:br/>
        <w:t>Organisation(s) internationale(s) de surveillance mondiale</w:t>
        <w:br/>
        <w:t xml:space="preserve"> Indicateur 3.2.2 : Taux de mortalité néonatale</w:t>
        <w:br/>
        <w:t xml:space="preserve">Cible 3.2 : D’ici 2030, mettre fin aux décès évitables de nouveau-nés et d’enfants de moins de 5 ans, tous les pays visant à réduire les décès néonatals </w:t>
        <w:br/>
        <w:t>mortalité à au moins 12 pour 1 000 naissances vivantes et mortalité des moins de 5 ans à au moins 25 pour 1 000 naissances vivantes</w:t>
        <w:br/>
        <w:t>Objectif 3 : Garantir une vie saine et promouvoir le bien-être de tous à tout âge</w:t>
        <w:br/>
        <w:t>Définition :</w:t>
        <w:br/>
        <w:t xml:space="preserve">Le taux de mortalité néonatale (TMN) est la probabilité qu'un enfant né au cours d'une année ou d'une période spécifique décède au cours des 28 premiers jours révolus de sa vie si : </w:t>
        <w:br/>
        <w:t xml:space="preserve">sous réserve des taux de mortalité actuels par âge, exprimés pour 1 000 naissances vivantes. </w:t>
        <w:br/>
        <w:t>Concepts :</w:t>
        <w:br/>
        <w:t xml:space="preserve">Une naissance vivante est l'expulsion ou l'extraction complète de la mère d'un produit de conception, quelle que soit la durée de la grossesse, qui, </w:t>
        <w:br/>
        <w:t xml:space="preserve">après une telle séparation, respire ou montre toute autre preuve de vie, telle que des battements de cœur, des pulsations du cordon ombilical ou des signes de vie précis. </w:t>
        <w:br/>
        <w:t xml:space="preserve">mouvement des muscles volontaires, que le cordon ombilical ait été coupé ou non ou que le placenta soit attaché. Chaque produit d'une telle naissance est </w:t>
        <w:br/>
        <w:t xml:space="preserve">considérée comme une naissance vivante. </w:t>
        <w:br/>
        <w:t>Justification et interprétation :</w:t>
        <w:br/>
        <w:t xml:space="preserve">La mortalité infantile, y compris le taux de mortalité néonatale (TMN), est un indicateur de résultat clé pour la santé et le bien-être des enfants et, plus largement, pour les enjeux sociaux et sociaux. </w:t>
        <w:br/>
        <w:t xml:space="preserve">développement économique. Il s’agit d’un indicateur de santé publique très surveillé car il reflète l’accès des enfants et des communautés aux soins de santé de base. </w:t>
        <w:br/>
        <w:t xml:space="preserve">interventions telles que la vaccination, le traitement médical des maladies infectieuses et une nutrition adéquate. </w:t>
        <w:br/>
        <w:t xml:space="preserve">À proprement parler, les RMN ne sont pas des taux, puisqu’ils ne sont pas calculés en divisant le nombre de décès par la population à risque. Plutôt, le </w:t>
        <w:br/>
        <w:t xml:space="preserve">les mesures représentent la probabilité de mourir avant un certain âge dérivée d’une table de mortalité. </w:t>
        <w:br/>
        <w:t>D’ici 2030, tous les pays devraient réduire la mortalité néonatale à au moins 12 pour 1 000 naissances vivantes.</w:t>
        <w:br/>
        <w:t xml:space="preserve">Les systèmes d’enregistrement de l’état civil constituent la source de données privilégiée car ils collectent des informations de manière prospective et couvrent l’ensemble de la population. </w:t>
        <w:br/>
        <w:t xml:space="preserve">Cependant, de nombreux pays à revenu faible ou intermédiaire ne disposent pas de systèmes d’enregistrement de l’état civil pleinement opérationnels qui enregistrent avec précision toutes les naissances et tous les décès. </w:t>
        <w:br/>
        <w:t xml:space="preserve">Ainsi, les enquêtes auprès des ménages, telles que les enquêtes démographiques et de santé (EDS) et les enquêtes en grappes à indicateurs multiples (MICS), et les enquêtes périodiques </w:t>
        <w:br/>
        <w:t xml:space="preserve">Les recensements de population sont devenus la principale source de données sur la mortalité infantile dans les pays à revenu faible et intermédiaire. </w:t>
        <w:br/>
        <w:t>L'Office national de statistique ou le ministère de la Santé sont principalement impliqués dans la génération de données sur la mortalité néonatale au niveau national.</w:t>
      </w:r>
    </w:p>
    <w:p>
      <w:pPr>
        <w:pStyle w:val="Heading2"/>
      </w:pPr>
      <w:r>
        <w:t>Page 62</w:t>
      </w:r>
    </w:p>
    <w:p>
      <w:r>
        <w:t>Texte d'en-tête</w:t>
        <w:br/>
        <w:t>Texte de pied de page</w:t>
        <w:br/>
        <w:t>Désagrégation des données</w:t>
        <w:br/>
        <w:t>Références</w:t>
        <w:br/>
        <w:t>Méthode de calcul :</w:t>
        <w:br/>
        <w:t xml:space="preserve">La méthode directe nécessite la date de naissance, l’état de survie et la date ou l’âge au décès de chaque enfant. Ces informations se trouvent généralement dans les documents vitaux </w:t>
        <w:br/>
        <w:t xml:space="preserve">les systèmes d’enregistrement et les enquêtes auprès des ménages qui collectent des histoires complètes de naissance. Un historique complet des naissances enregistre les dates de naissance et, si </w:t>
        <w:br/>
        <w:t xml:space="preserve">le cas échéant, les dates de décès de tous les enfants nés de chaque femme interrogée. </w:t>
        <w:br/>
        <w:t xml:space="preserve">Il existe différentes méthodes directes de calcul des taux de mortalité néonatale. Pour les données des systèmes d'enregistrement de l'état civil, le calcul du RMN peut être </w:t>
        <w:br/>
        <w:t xml:space="preserve">dérivé du nombre de décès d'enfants au cours du premier mois au cours d'une période donnée est divisé par le nombre de naissances au cours de cette même période. </w:t>
        <w:br/>
        <w:t xml:space="preserve">période. Les programmes d'enquête utilisent une approche de cohorte synthétique, qui combine les probabilités de mortalité pour de petits segments d'âge sur la base d'une cohorte réelle. </w:t>
        <w:br/>
        <w:t xml:space="preserve">expérience de mortalité à l’âge commun. </w:t>
        <w:br/>
        <w:t>Commentaires et limites :</w:t>
        <w:br/>
        <w:t xml:space="preserve">De nombreux pays ne disposent pas de données RMN fiables et à jour, mais présentent plutôt des taux de mortalité différents provenant de différentes sources. Données provenant de différents </w:t>
        <w:br/>
        <w:t xml:space="preserve">les sources peuvent souffrir de différentes erreurs, par exemple des erreurs aléatoires dans les enquêtes par sondage ou des erreurs systématiques dues à des déclarations erronées. Les erreurs de rappel sont </w:t>
        <w:br/>
        <w:t xml:space="preserve">courant car les données sont collectées rétrospectivement. En conséquence, différentes sources donnent souvent des estimations de mortalité très différentes pour une période donnée. </w:t>
        <w:br/>
        <w:t xml:space="preserve">période et les données disponibles collectées par les pays sont souvent incohérentes d’une source à l’autre. Il est donc important d'analyser, de concilier et </w:t>
        <w:br/>
        <w:t xml:space="preserve">évaluer simultanément toutes les sources de données pour chaque pays. La méthode UN IGME vise à minimiser les erreurs pour chaque estimation, à harmoniser </w:t>
        <w:br/>
        <w:t xml:space="preserve">tendances au fil du temps et produire des estimations à jour et correctement évaluées de la mortalité néonatale. </w:t>
        <w:br/>
        <w:t xml:space="preserve">Le Groupe interinstitutions des Nations Unies pour l'estimation de la mortalité infantile (UN IGME) utilise un modèle bayésien B-splines pour estimer le RMN. La régression spline </w:t>
        <w:br/>
        <w:t xml:space="preserve">Le modèle est adapté à toutes les données empiriques provenant des systèmes d'enregistrement de l'état civil, des recensements de la population, des enquêtes auprès des ménages et des systèmes d'enregistrement par sondage de manière </w:t>
        <w:br/>
        <w:t xml:space="preserve">pays, après évaluation de la qualité des données. Cette méthode modélise le ratio taux de mortalité néonatale / (taux de mortalité des moins de cinq ans - mortalité néonatale </w:t>
        <w:br/>
        <w:t xml:space="preserve">taux). Le modèle génère une courbe de tendance lisse qui fait la moyenne d'estimations éventuellement disparates provenant des différentes sources de données pour un pays. </w:t>
        <w:br/>
        <w:t>et extrapole les estimations à une année cible. Les estimations du RMN sont obtenues en recombinant les estimations du rapport avec UN IGME-</w:t>
        <w:br/>
        <w:t xml:space="preserve">taux de mortalité estimé des moins de cinq ans. L’UN IGME génère de telles estimations avec des limites d’incertitude. Les différences entre l'ONU IGME </w:t>
        <w:br/>
        <w:t xml:space="preserve">les estimations et les estimations nationales officielles ne sont généralement pas importantes si les données empiriques sont de bonne qualité. </w:t>
        <w:br/>
        <w:t>Pour plus de détails sur la méthodologie, veuillez consulter :</w:t>
        <w:br/>
        <w:t>https://www.demographic-research.org/volumes/vol38/15/38-15.pdf</w:t>
        <w:br/>
        <w:t>http://www.childmortality.org/files_v21/download/IGME%20report%202017%20child%20mortality%20final.pdf</w:t>
        <w:br/>
        <w:t xml:space="preserve">http://childmortality.org/files_v21/download/Child%20Mortality%20Estimation%20Explanatory%20Notes.pdf </w:t>
        <w:br/>
        <w:t>Indicateurs proxy, alternatifs et supplémentaires : N/A</w:t>
        <w:br/>
        <w:t xml:space="preserve">Les ventilations courantes des indicateurs de mortalité comprennent la ventilation par sexe, quintile de richesse, résidence et niveau d’éducation de la mère. </w:t>
        <w:br/>
        <w:t xml:space="preserve">Les données ventilées ne sont pas toujours disponibles. La ventilation par emplacement géographique se fait généralement au niveau régional ou au niveau provincial minimum. </w:t>
        <w:br/>
        <w:t xml:space="preserve">pour les données d’enquête ou de recensement. Les données provenant de systèmes d’enregistrement de l’état civil qui fonctionnent bien peuvent fournir des ventilations géographiques plus détaillées. </w:t>
        <w:br/>
        <w:t xml:space="preserve">Les décès néonatals (décès parmi les naissances vivantes au cours des 28 premiers jours révolus de la vie) peuvent être subdivisés en décès néonatals précoces, survenant </w:t>
        <w:br/>
        <w:t xml:space="preserve">au cours des 7 premiers jours de la vie et les décès néonatals tardifs, survenant après le 7e jour mais avant le 28e jour révolu de la vie. </w:t>
        <w:br/>
        <w:t>Les taux de mortalité néonatale peuvent également être ventilés par cause, notamment les complications des naissances prématurées, la pneumonie et la diarrhée.</w:t>
      </w:r>
    </w:p>
    <w:p>
      <w:pPr>
        <w:pStyle w:val="Heading2"/>
      </w:pPr>
      <w:r>
        <w:t>Page 63</w:t>
      </w:r>
    </w:p>
    <w:p>
      <w:r>
        <w:t>Texte d'en-tête</w:t>
        <w:br/>
        <w:t>Texte de pied de page</w:t>
        <w:br/>
        <w:t>Organisation(s) internationale(s) de surveillance mondiale</w:t>
        <w:br/>
        <w:t>URL officielle des métadonnées ODD</w:t>
        <w:br/>
        <w:t xml:space="preserve">https://unstats.un.org/sdgs/metadata/files/Metadata-03-02-01.pdf  </w:t>
        <w:br/>
        <w:t>Méthodologie reconnue au niveau international et URL des lignes directrices</w:t>
        <w:br/>
        <w:t xml:space="preserve">http://childmortality.org/files_v20/download/IGME%20report%202015%20child%20mortality%20final.pdf http://www.childmortality.org/ </w:t>
        <w:br/>
        <w:t>Autres références</w:t>
        <w:br/>
        <w:t>:Notes d'information de l'UNICEF sur les indicateurs des ODD</w:t>
        <w:br/>
        <w:t>UNICEF. Disponible sur Notes d’information sur les indicateurs mondiaux des ODD liés aux enfants. https://data.unicef.org/resources/sdg-global-indicators-rated-</w:t>
        <w:br/>
        <w:t>aux-enfants/</w:t>
        <w:br/>
        <w:t>:Références supplémentaires</w:t>
        <w:br/>
        <w:t>UNICEF (2017).  Groupe interinstitutions des Nations Unies pour l'estimation de la mortalité infantile (UN IGME). Niveaux et tendances de la mortalité infantile. Rapport 2017.</w:t>
        <w:br/>
        <w:t>New York. Disponible sur : http://www.childmortality.org/files_v21/download/IGME%20report%202017%20child%20mortality%20final.pdf</w:t>
        <w:br/>
        <w:t xml:space="preserve">Alexander, M et Alkema, L. Estimation globale de la mortalité néonatale à l'aide d'un modèle de régression bayésien hiérarchique splines. Démographique </w:t>
        <w:br/>
        <w:t>Recherche, 2018, 38, 335-372. https://www.demographic-research.org/volumes/vol38/15/38-15.pdf</w:t>
        <w:br/>
        <w:t>Alkema L, New JR (2014).  The Annals of Applied Global estimation de la mortalité infantile à l’aide d’une méthode bayésienne de réduction de biais B-spline.</w:t>
        <w:br/>
        <w:t>Statistiques. 2014 ; 8(4) : 2122-2149. Disponible sur : http://arxiv.org/abs/1309.1602</w:t>
        <w:br/>
        <w:t xml:space="preserve">Alkema L, Chao F, You D, Pedersen J, Sawyer CC. (2014). Rapports de masculinité nationaux, régionaux et mondiaux en matière de mortalité infantile, infantile et de moins de 5 ans et </w:t>
        <w:br/>
        <w:t xml:space="preserve"> The Lancet Santé mondiale. 2014 ; 2(9) : e521 à e530. Disponible sur : identification des pays présentant des ratios aberrants : une évaluation systématique. http://www</w:t>
        <w:br/>
        <w:t>w.thelancet.com/pdfs/journals/langlo/PIIS2214-109X(14)70280-3.pdf</w:t>
        <w:br/>
        <w:t>Pedersen J, Liu J. (2012).  Estimation de la mortalité infantile de Plos : périodes appropriées pour les estimations de la mortalité infantile à partir des histoires de naissance complètes.</w:t>
        <w:br/>
        <w:t>Médecine. 2012 ;9(8). Disponible sur : http://journals.plos.org/plosmedicine/article?id=10.1371/journal.pmed.1001289</w:t>
        <w:br/>
        <w:t xml:space="preserve">Silva R. (2012). Estimation de la mortalité infantile : cohérence des estimations du taux de mortalité des moins de cinq ans à l'aide d'histoires de naissance complètes et de résumés de naissance </w:t>
        <w:br/>
        <w:t>. Médecine Plos. 2012 ;9(8). Disponible sur : Histoires http://journals.plos.org/plosmedicine/article?id=10.1371/journal.pmed.1001296</w:t>
        <w:br/>
        <w:t xml:space="preserve">Walker N, Hill K et Zhao FM. (2012). Estimation de la mortalité infantile : méthodes utilisées pour tenir compte des biais dus au SIDA dans l'estimation des tendances chez les moins de cinq ans </w:t>
        <w:br/>
        <w:t xml:space="preserve"> Médecine Plos. 2012 ;9(8). Disponible sur : Mortalité. http://journals.plos.org/plosmedicine/article?id=10.1371/journal.pmed.1001298</w:t>
        <w:br/>
        <w:t>Exemples de pays</w:t>
        <w:br/>
        <w:t>N/D</w:t>
        <w:br/>
        <w:t>Ce document a été préparé sur la base des contributions du Fonds des Nations Unies pour l’enfance (UNICEF).</w:t>
        <w:br/>
        <w:t>Pour obtenir des informations sur les points focaux pour cet indicateur, veuillez visiter https://unstats.un.org/sdgs/dataContacts/</w:t>
      </w:r>
    </w:p>
    <w:p>
      <w:pPr>
        <w:pStyle w:val="Heading2"/>
      </w:pPr>
      <w:r>
        <w:t>Page 64</w:t>
      </w:r>
    </w:p>
    <w:p>
      <w:r>
        <w:t>Texte d'en-tête</w:t>
        <w:br/>
        <w:t>Texte de pied de page</w:t>
        <w:br/>
        <w:t>Indicateur 3.3.1</w:t>
        <w:br/>
        <w:t>Page d'accueil du manuel électronique</w:t>
        <w:br/>
        <w:t xml:space="preserve"> </w:t>
        <w:br/>
        <w:t>Nom de l’indicateur, cible et objectif</w:t>
        <w:br/>
        <w:t>Définition et justification</w:t>
        <w:br/>
        <w:t>Sources de données et méthode de collecte</w:t>
        <w:br/>
        <w:t>Méthode de calcul et autres considérations méthodologiques</w:t>
        <w:br/>
        <w:t>Contenu</w:t>
        <w:br/>
        <w:t>Nom de l’indicateur, cible et objectif</w:t>
        <w:br/>
        <w:t>Définition et justification</w:t>
        <w:br/>
        <w:t>Sources de données et méthode de collecte</w:t>
        <w:br/>
        <w:t>Méthode de calcul et autres considérations méthodologiques</w:t>
        <w:br/>
        <w:t>Désagrégation des données</w:t>
        <w:br/>
        <w:t>Références</w:t>
        <w:br/>
        <w:t>Organisation(s) internationale(s) de surveillance mondiale</w:t>
        <w:br/>
        <w:t xml:space="preserve"> Indicateur 3.3.1 : Nombre de nouvelles infections à VIH pour 1 000 habitants non infectés, par sexe, âge et populations clés</w:t>
        <w:br/>
        <w:t xml:space="preserve">Cible 3.3 : D’ici 2030, mettre fin aux épidémies de sida, de tuberculose, de paludisme et de maladies tropicales négligées et combattre les hépatites d’origine hydrique. </w:t>
        <w:br/>
        <w:t>maladies et autres maladies transmissibles</w:t>
        <w:br/>
        <w:t>Objectif 3 : Garantir une vie saine et promouvoir le bien-être de tous à tout âge</w:t>
        <w:br/>
        <w:t>Définition :</w:t>
        <w:br/>
        <w:t xml:space="preserve">Cet indicateur est défini comme le nombre de nouvelles infections par le VIH pour 1 000 habitants non infectés. </w:t>
        <w:br/>
        <w:t>Concepts :</w:t>
        <w:br/>
        <w:t xml:space="preserve">Le virus de l'immunodéficience humaine (VIH) est un virus qui affaiblit le système immunitaire, conduisant finalement au syndrome d'immunodéficience acquise. </w:t>
        <w:br/>
        <w:t xml:space="preserve">(SIDA). Le VIH détruit la capacité du corps à combattre les infections et les maladies, ce qui peut entraîner la mort. Sans traitement, survie médiane </w:t>
        <w:br/>
        <w:t xml:space="preserve">à partir du moment de l'infection est d'environ 10,5 ans pour les hommes et 11,5 ans pour les femmes. L'accès aux soins améliore la santé de l'individu, </w:t>
        <w:br/>
        <w:t xml:space="preserve">augmente la survie à une espérance de vie proche de la normale et réduit considérablement le risque de transmission ultérieure. La couverture du traitement a augmenté </w:t>
        <w:br/>
        <w:t xml:space="preserve">rapidement depuis le début des années 2000, mais reste variable selon les régions. Aucun vaccin n'est actuellement disponible. </w:t>
        <w:br/>
        <w:t>Justification et interprétation :</w:t>
        <w:br/>
        <w:t xml:space="preserve">Le suivi du taux d'incidence du VIH permet de mesurer les progrès réalisés vers l'atteinte de l'objectif de réduction du nombre de nouvelles infections par le VIH. </w:t>
        <w:br/>
        <w:t xml:space="preserve">Des équipes d'épidémiologistes et de spécialistes du VIH dans chaque pays sont chargées de produire les estimations du VIH à l'aide de modèles comparables. Le </w:t>
        <w:br/>
        <w:t xml:space="preserve">les modèles commencent par les estimations de population les plus récentes de la Division de la population des Nations Unies par âge, sexe et année. Données du programme sur le nombre de </w:t>
        <w:br/>
        <w:t xml:space="preserve">les personnes recevant des médicaments antirétroviraux sont également incluses dans le modèle. Les données de surveillance du VIH utilisées dans le modèle pour estimer l'incidence varient </w:t>
        <w:br/>
        <w:t xml:space="preserve">en fonction des données disponibles dans le pays ; cependant, le modèle repose principalement sur des mesures de prévalence du VIH ou sur la surveillance des cas ou </w:t>
        <w:br/>
        <w:t xml:space="preserve">rapports de mortalité.   </w:t>
        <w:br/>
        <w:t xml:space="preserve">Mesurer directement les infections par le VIH nécessite de mener chaque année de vastes enquêtes auprès des ménages et constitue une entreprise très difficile (par exemple en </w:t>
        <w:br/>
        <w:t xml:space="preserve">Dans les pays à faible prévalence, la taille des échantillons devrait être bien supérieure à 100 000 ménages). </w:t>
        <w:br/>
        <w:t>De plus amples informations sur le modèle d’estimation peuvent être trouvées à l’adresse suivante :</w:t>
        <w:br/>
        <w:t>http://www.unaids.org/en/dataanalysis/datatools/spectrum-epp ou www.epidem.org</w:t>
      </w:r>
    </w:p>
    <w:p>
      <w:pPr>
        <w:pStyle w:val="Heading2"/>
      </w:pPr>
      <w:r>
        <w:t>Page 65</w:t>
      </w:r>
    </w:p>
    <w:p>
      <w:r>
        <w:t>Texte d'en-tête</w:t>
        <w:br/>
        <w:t>Texte de pied de page</w:t>
        <w:br/>
        <w:t>Désagrégation des données</w:t>
        <w:br/>
        <w:t>Références</w:t>
        <w:br/>
        <w:t>Méthode de calcul :</w:t>
        <w:br/>
        <w:t xml:space="preserve">Cet indicateur est calculé selon la formule suivante pour une période de reporting donnée : </w:t>
        <w:br/>
        <w:t xml:space="preserve"> </w:t>
        <w:br/>
        <w:t>Il existe un certain nombre de méthodes directes de mesure de l’incidence, dont les deux plus courantes :</w:t>
        <w:br/>
        <w:t xml:space="preserve">(1)    Suivi longitudinal des personnes non séropositives – Cette méthode implique des tests répétés sur une cohorte sélectionnée de personnes non infectées. </w:t>
        <w:br/>
        <w:t>individus pour déterminer la proportion de personnes ayant contracté une infection au fil du temps ; et</w:t>
        <w:br/>
        <w:t xml:space="preserve">(2)    Application de tests de laboratoire pour une infection récente au VIH – Cette méthode implique l'utilisation de  tests de laboratoire pour  distinguer  les infections récentes (c'est-à-dire, </w:t>
        <w:br/>
        <w:t xml:space="preserve">au cours de la dernière année) dus à des infections de longue date. </w:t>
        <w:br/>
        <w:t xml:space="preserve">La première méthode est difficile car elle nécessitera de suivre et de tester régulièrement un nombre représentatif de personnes au niveau national au fil du temps. Le </w:t>
        <w:br/>
        <w:t xml:space="preserve">L’échantillon d’individus surveillés devrait être large pour permettre une déduction significative à partir des résultats. La deuxième méthode a le potentiel </w:t>
        <w:br/>
        <w:t xml:space="preserve">classer à tort les individus comme nouvellement infectés, même si leurs infections durent depuis longtemps, en raison des limites des performances des méthodes actuelles. </w:t>
        <w:br/>
        <w:t xml:space="preserve">tests de laboratoire disponibles. En outre, un très grand échantillon d'individus représentatif à l'échelle nationale est nécessaire pour calculer un résultat significatif. </w:t>
        <w:br/>
        <w:t xml:space="preserve">valeur.  Cela est possible dans certains pays où la charge de VIH est très élevée, même s’il est peu probable que la conduite d’une enquête d’une telle ampleur puisse être réalisée sur une base globale. </w:t>
        <w:br/>
        <w:t xml:space="preserve">base annuelle. De plus, de nombreuses personnes ne se font pas tester régulièrement ou après chaque exposition possible. </w:t>
        <w:br/>
        <w:t xml:space="preserve">Compte tenu de ces défis, une méthode indirecte basée sur une modélisation mathématique est actuellement utilisée pour estimer l'incidence du VIH dans la plupart des pays. </w:t>
        <w:br/>
        <w:t xml:space="preserve">Des estimations modélisées comparables de l’incidence du VIH sont disponibles pour des pays représentant 99 % de la population mondiale. Les équipes pays produisent </w:t>
        <w:br/>
        <w:t xml:space="preserve">les estimations modélisées et les responsables des programmes nationaux de lutte contre le VIH les approuvent avant qu'elles ne soient compilées et publiées par l'ONUSIDA. </w:t>
        <w:br/>
        <w:t>Commentaires et limites :</w:t>
        <w:br/>
        <w:t>Les experts mondiaux en surveillance du VIH ont développé des modèles pour déduire l'incidence actuelle et historique du VIH (voir pour plus de détails sur www.epidem.org</w:t>
        <w:br/>
        <w:t xml:space="preserve">ces modèles).  Pour de nombreux pays, y compris les pays à forte charge de VIH, les données sur la prévalence du VIH, les mesures directes de l'incidence à partir des données nationales </w:t>
        <w:br/>
        <w:t xml:space="preserve">des enquêtes de population, lorsqu'elles sont disponibles, et la couverture antirétrovirale sont utilisées pour estimer l'incidence du VIH. Dans d'autres pays avec un dossier solide </w:t>
        <w:br/>
        <w:t xml:space="preserve">les systèmes de surveillance et d’enregistrement de l’état civil, les données sur le diagnostic du VIH et la mortalité par cause sont utilisées pour estimer les tendances de l’incidence. Les deux </w:t>
        <w:br/>
        <w:t xml:space="preserve">Les méthodes ont des limites car elles s'appuient sur des hypothèses et des paramètres de modèle pour surmonter les défis liés aux entrées de données sous-optimales. </w:t>
        <w:br/>
        <w:t xml:space="preserve">Certaines enquêtes auprès des ménages, représentatives au niveau national, mesurent périodiquement et directement les infections récentes au VIH.  Ces enquêtes nécessitent un large échantillon </w:t>
        <w:br/>
        <w:t xml:space="preserve">tailles pour mesurer avec précision l’incidence. Il existe encore des incertitudes techniques sur la manière d'ajuster les faux positifs parmi les échantillons. </w:t>
        <w:br/>
        <w:t xml:space="preserve">identifiées comme des infections récentes et ces mesures ne sont généralement pas disponibles chaque année.  </w:t>
        <w:br/>
        <w:t>Indicateurs proxy, alternatifs et supplémentaires : N/A</w:t>
        <w:br/>
        <w:t>La ventilation doit être effectuée par groupes d'âge (0-14, 15-24, 15-49, 50+ ans), lieu de résidence, sexe, mode de transmission (y compris de la mère à l'enfant).</w:t>
        <w:br/>
        <w:t xml:space="preserve">transmission chez l'enfant). Une ventilation plus approfondie est cruciale selon les populations clés (hommes ayant des rapports sexuels avec des hommes, professionnel(le)s du sexe, consommateurs de drogues injectables, </w:t>
        <w:br/>
        <w:t>personnes transgenres et prisonniers) et au sein de ces groupes par âge (&lt; 25, 25+ ans).</w:t>
      </w:r>
    </w:p>
    <w:p>
      <w:pPr>
        <w:pStyle w:val="Heading2"/>
      </w:pPr>
      <w:r>
        <w:t>Page 66</w:t>
      </w:r>
    </w:p>
    <w:p>
      <w:r>
        <w:t>Texte d'en-tête</w:t>
        <w:br/>
        <w:t>Texte de pied de page</w:t>
        <w:br/>
        <w:t>Organisation(s) internationale(s) de surveillance mondiale</w:t>
        <w:br/>
        <w:t>URL officielle des métadonnées ODD</w:t>
        <w:br/>
        <w:t xml:space="preserve">https://unstats.un.org/sdgs/metadata/files/Metadata-03-03-01.pdf  </w:t>
        <w:br/>
        <w:t>Méthodologie reconnue au niveau international et URL des lignes directrices</w:t>
        <w:br/>
        <w:t>http://www.unaids.org/en/dataanalysis/datatools/spectrumepp</w:t>
        <w:br/>
        <w:t>Autres références</w:t>
        <w:br/>
        <w:t>ONUSIDA (2016). Disponible sur : Méthodes de calcul des estimations de l’ONUSIDA. http://www.unaids.org/sites/default/files/media_asset/2016_methods-for-</w:t>
        <w:br/>
        <w:t xml:space="preserve"> deriving-UNAIDS-estimates_en.pdf</w:t>
        <w:br/>
        <w:t>ONUSIDA (2017). Description de la compilation des estimations du VIH. http://www.unaids.org/en/resources/presscentre/featurestories/2017/july</w:t>
        <w:br/>
        <w:t xml:space="preserve"> /20170710_données</w:t>
        <w:br/>
        <w:t xml:space="preserve">ONUSIDA (2018) Global AIDS Monitoring 2018 : Indicateurs de suivi de la Déclaration politique des Nations Unies de 2016 sur la fin du sida. Disponible </w:t>
        <w:br/>
        <w:t>à :</w:t>
        <w:br/>
        <w:t xml:space="preserve"> http://www.unaids.org/sites/default/files/media_asset/global-aids-monitoring_en.pdf</w:t>
        <w:br/>
        <w:t>ONUSIDA. . Site Internet :    Site Web pour les données pertinentes http://aidsinfo.unaids.org/</w:t>
        <w:br/>
        <w:t>OMS (2015). . Genève. Disponible sur : Directives d'information stratégique consolidées sur le VIH dans le secteur de la santé http://www.who.int/hiv/pub</w:t>
        <w:br/>
        <w:t xml:space="preserve">  /lignes directrices/lignes-directives-d-information-strategique/fr/</w:t>
        <w:br/>
        <w:t xml:space="preserve">Exemples de pays </w:t>
        <w:br/>
        <w:t>N/D</w:t>
        <w:br/>
        <w:t>Ce document a été préparé sur la base des contributions du Programme commun des Nations Unies sur le VIH/SIDA (ONUSIDA).</w:t>
        <w:br/>
        <w:t>Pour obtenir des informations sur les points focaux pour cet indicateur, veuillez visiter https://unstats.un.org/sdgs/dataContacts/</w:t>
      </w:r>
    </w:p>
    <w:p>
      <w:pPr>
        <w:pStyle w:val="Heading2"/>
      </w:pPr>
      <w:r>
        <w:t>Page 67</w:t>
      </w:r>
    </w:p>
    <w:p>
      <w:r>
        <w:t>Texte d'en-tête</w:t>
        <w:br/>
        <w:t>Texte de pied de page</w:t>
        <w:br/>
        <w:t>Indicateur 3.3.2</w:t>
        <w:br/>
        <w:t>Page d'accueil du manuel électronique</w:t>
        <w:br/>
        <w:t xml:space="preserve"> </w:t>
        <w:br/>
        <w:t>Nom de l’indicateur, cible et objectif</w:t>
        <w:br/>
        <w:t>Définition et justification</w:t>
        <w:br/>
        <w:t>Sources de données et méthode de collecte</w:t>
        <w:br/>
        <w:t>Méthode de calcul et autres considérations méthodologiques</w:t>
        <w:br/>
        <w:t>Contenu</w:t>
        <w:br/>
        <w:t>Nom de l’indicateur, cible et objectif</w:t>
        <w:br/>
        <w:t>Définition et justification</w:t>
        <w:br/>
        <w:t>Sources de données et méthode de collecte</w:t>
        <w:br/>
        <w:t>Méthode de calcul et autres considérations méthodologiques</w:t>
        <w:br/>
        <w:t>Désagrégation des données</w:t>
        <w:br/>
        <w:t>Références</w:t>
        <w:br/>
        <w:t>Organisation(s) internationale(s) de surveillance mondiale</w:t>
        <w:br/>
        <w:t xml:space="preserve"> Indicateur 3.3.2 : Incidence de la tuberculose pour 100 000 habitants</w:t>
        <w:br/>
        <w:t xml:space="preserve">Cible 3.3 : D’ici 2030, mettre fin aux épidémies de sida, de tuberculose, de paludisme et de maladies tropicales négligées et combattre les hépatites d’origine hydrique. </w:t>
        <w:br/>
        <w:t>maladies et autres maladies transmissibles</w:t>
        <w:br/>
        <w:t>Objectif 3 : Garantir une vie saine et promouvoir le bien-être de tous à tout âge</w:t>
        <w:br/>
        <w:t>Définition :</w:t>
        <w:br/>
        <w:t xml:space="preserve">L'incidence de la tuberculose pour 100 000 habitants est définie comme le nombre estimé de nouveaux cas et de rechutes de tuberculose (TB) (toutes les formes de tuberculose). </w:t>
        <w:br/>
        <w:t xml:space="preserve">tuberculose, y compris les cas chez les personnes vivant avec le VIH) survenant au cours d'une année donnée, exprimé en taux pour 100 000 habitants. </w:t>
        <w:br/>
        <w:t>Concepts :</w:t>
        <w:br/>
        <w:t xml:space="preserve">La tuberculose est une maladie bactérienne infectieuse causée par Mycobacterium tuberculosis, qui touche le plus souvent les poumons. Il est transmis </w:t>
        <w:br/>
        <w:t xml:space="preserve">d'une personne à l'autre via des gouttelettes provenant de la gorge et des poumons des personnes atteintes d'une maladie respiratoire active. </w:t>
        <w:br/>
        <w:t xml:space="preserve">A est défini comme un patient chez lequel la tuberculose a été confirmée bactériologiquement ou diagnostiquée par un clinicien. cas de tuberculose </w:t>
        <w:br/>
        <w:t>Justification et interprétation :</w:t>
        <w:br/>
        <w:t xml:space="preserve">Détecter la tuberculose et la guérir sont des interventions clés pour lutter contre la pauvreté et les inégalités. La prévalence et les décès sont plus sensibles </w:t>
        <w:br/>
        <w:t xml:space="preserve">marqueurs de l’évolution du fardeau de la tuberculose que l’incidence (nouveaux cas), mais les données sur l’incidence sont plus complètes et donnent les meilleurs résultats. </w:t>
        <w:br/>
        <w:t xml:space="preserve">aperçu de l’impact de la lutte mondiale contre la tuberculose. </w:t>
        <w:br/>
        <w:t xml:space="preserve">Les taux d'incidence sont importants car ils donnent une indication de l'étendue de la tuberculose dans une population et de l'ampleur de la tâche à accomplir par un organisme national. </w:t>
        <w:br/>
        <w:t>Programme de lutte contre la tuberculose. Les taux d'incidence peuvent être utilisés pour suivre les changements dans la vitesse à laquelle les personnes infectées par   develoMycobacterium tuberculosis</w:t>
        <w:br/>
        <w:t xml:space="preserve">p Tuberculose. L'amélioration de la qualité des données de surveillance de la tuberculose entraîne une réduction de l'incertitude quant aux valeurs des indicateurs. </w:t>
        <w:br/>
        <w:t>Les organisations internationales comme l'OMS collectent des données à partir des quatre sources nationales suivantes :</w:t>
        <w:br/>
        <w:t>1. Données nationales de notification des cas (disponibles dans tous les pays) combinées à des avis d'experts sur les lacunes en matière de détection des cas ;</w:t>
        <w:br/>
        <w:t>2. Résultats des récentes enquêtes nationales sur la prévalence de la tuberculose, lorsqu'ils sont disponibles ;</w:t>
        <w:br/>
        <w:t>3. Les notifications nationales de cas dans les pays à revenu élevé ajustées par un facteur standard pour tenir compte de la sous-notification et du sous-diagnostic ? et</w:t>
        <w:br/>
        <w:t xml:space="preserve">4. Capturer la modélisation de recapture en utilisant les données sur la détection des cas de tuberculose à partir d'au moins trois listes de cas (par exemple, le couplage des enregistrements d'un organisme national de lutte contre la tuberculose). </w:t>
        <w:br/>
        <w:t>base de données de notification des cas, dossiers d'assurance maladie, dossiers de laboratoire, dossiers d'hôpitaux et de cliniques privés).</w:t>
      </w:r>
    </w:p>
    <w:p>
      <w:pPr>
        <w:pStyle w:val="Heading2"/>
      </w:pPr>
      <w:r>
        <w:t>Page 68</w:t>
      </w:r>
    </w:p>
    <w:p>
      <w:r>
        <w:t>Texte d'en-tête</w:t>
        <w:br/>
        <w:t>Texte de pied de page</w:t>
        <w:br/>
        <w:t>Désagrégation des données</w:t>
        <w:br/>
        <w:t>Références</w:t>
        <w:br/>
        <w:t>Organisation(s) internationale(s) de surveillance mondiale</w:t>
        <w:br/>
        <w:t xml:space="preserve">Méthode de calcul : </w:t>
        <w:br/>
        <w:t xml:space="preserve">La mesure directe de l’incidence de la tuberculose présente des défis logistiques et financiers majeurs associés aux enquêtes sur des échantillons de grande taille. Théoriquement, </w:t>
        <w:br/>
        <w:t xml:space="preserve">les données des systèmes de surveillance de la tuberculose qui sont liés à des systèmes de santé offrant une couverture et une performance élevées peuvent capturer tous (ou presque tous) les incidents. </w:t>
        <w:br/>
        <w:t xml:space="preserve">cas de tuberculose. </w:t>
        <w:br/>
        <w:t xml:space="preserve">Les méthodes actuelles d’estimation de l’incidence de la tuberculose peuvent être regroupées en quatre grandes catégories. Les méthodes d'estimation sont détaillées dans un document technique en ligne </w:t>
        <w:br/>
        <w:t>annexe jointe au dernier Rapport mondial sur la tuberculose.</w:t>
        <w:br/>
        <w:t xml:space="preserve">1. Données de notification des cas combinées à l’opinion d’experts sur les lacunes en matière de détection des cas. Opinion d'experts, obtenue lors d'ateliers régionaux ou nationaux </w:t>
        <w:br/>
        <w:t xml:space="preserve">missions, est utilisé pour estimer les niveaux de sous-déclaration et de sous-diagnostic. Les tendances sont estimées à l'aide de données sur la mortalité, d'enquêtes auprès des </w:t>
        <w:br/>
        <w:t xml:space="preserve">risque annuel d’infection ou interpolation exponentielle à l’aide d’estimations des lacunes en matière de détection des cas sur trois ans ; </w:t>
        <w:br/>
        <w:t xml:space="preserve">2. Résultats des enquêtes sur la prévalence de la tuberculose. L'incidence est estimée à l'aide des résultats d'une enquête de prévalence et dérivée d'un modèle qui prend en compte la </w:t>
        <w:br/>
        <w:t xml:space="preserve">impact du VIH sur la répartition de la durée de la maladie ; </w:t>
        <w:br/>
        <w:t xml:space="preserve">3. Notifications dans les pays à revenu élevé ajustées par un facteur standard pour tenir compte de la sous-déclaration et du sous-diagnostic ; et </w:t>
        <w:br/>
        <w:t xml:space="preserve">4. Résultats d'études d'inventaire sur la sous-déclaration des cas de tuberculose détectés, avec une modélisation capture-recapture basée sur au moins trois listes. </w:t>
        <w:br/>
        <w:t>Commentaires et limites :</w:t>
        <w:br/>
        <w:t xml:space="preserve">N/D </w:t>
        <w:br/>
        <w:t>Indicateurs proxy, alternatifs et complémentaires :</w:t>
        <w:br/>
        <w:t xml:space="preserve">Les indicateurs indirects de l’incidence de la tuberculose incluent les taux de notification des cas dans les pays répondant aux critères suivants : accès universel aux soins de santé (avec </w:t>
        <w:br/>
        <w:t xml:space="preserve">assurance maladie universelle ou équivalent), notification obligatoire des nouveaux cas aux autorités de santé publique et haute performance du système national </w:t>
        <w:br/>
        <w:t>Système de surveillance de la tuberculose.</w:t>
        <w:br/>
        <w:t>Cet indicateur peut être ventilé par catégories d'âge et de sexe, et ventilé par type d'infection tuberculeuse (par exemple, résistante aux médicaments ou non).</w:t>
        <w:br/>
        <w:t>résistant).</w:t>
        <w:br/>
        <w:t>URL officielle des métadonnées ODD</w:t>
        <w:br/>
        <w:t xml:space="preserve">https://unstats.un.org/sdgs/metadata/files/Metadata-03-03-02.pdf  </w:t>
        <w:br/>
        <w:t>Méthodologie reconnue au niveau international et URL des lignes directrices</w:t>
        <w:br/>
        <w:t>https://arxiv.org/ftp/arxiv/papers/1603/1603.00278.pdf</w:t>
        <w:br/>
        <w:t>Autres références</w:t>
        <w:br/>
        <w:t>Site Internet de l'Organisation mondiale de la santé.   . Données sur la tuberculose (TB). http://www.who.int/tb/country/data/download/en/</w:t>
        <w:br/>
        <w:t>Organisation mondiale de la santé (2017). . Rapport mondial de Genève sur la tuberculose 2017 http://www.who.int/tb/publications/global_report/en/</w:t>
        <w:br/>
        <w:t>Organisation mondiale de la santé (2013). . Genève. Site Internet. Définitions et cadre de déclaration pour la tuberculose – révision 2013 http://www.who.int</w:t>
        <w:br/>
        <w:t>/tb/publications/definitions/fr/</w:t>
        <w:br/>
        <w:t>Organisation mondiale de la santé.  Genève. Site Internet. Documentation de l'organe directeur de l'Assemblée mondiale de la santé : documents officiels. http://apps.who.int/gb</w:t>
        <w:br/>
        <w:t xml:space="preserve">  /ou/</w:t>
        <w:br/>
        <w:t>Organisation mondiale de la santé.  maladie. Méthodes utilisées par l'OMS pour estimer la charge mondiale de la tuberculose http://www.who.int/tb/publications/global_report</w:t>
        <w:br/>
        <w:t>./gtbr2017_online_technical_appendix_disease_burden_estimation.pdf?ua=1</w:t>
        <w:br/>
        <w:t>Exemples de pays</w:t>
        <w:br/>
        <w:t>N/D</w:t>
        <w:br/>
        <w:t>Ce document a été préparé sur la base des contributions de l'Organisation mondiale de la santé (OMS).</w:t>
        <w:br/>
        <w:t>Pour obtenir des informations sur les points focaux pour cet indicateur, veuillez visiter https://unstats.un.org/sdgs/dataContacts/</w:t>
      </w:r>
    </w:p>
    <w:p>
      <w:pPr>
        <w:pStyle w:val="Heading2"/>
      </w:pPr>
      <w:r>
        <w:t>Page 69</w:t>
      </w:r>
    </w:p>
    <w:p>
      <w:r>
        <w:t>Texte d'en-tête</w:t>
        <w:br/>
        <w:t>Texte de pied de page</w:t>
        <w:br/>
        <w:t>Indicateur 3.3.5</w:t>
        <w:br/>
        <w:t>Page d'accueil du manuel électronique</w:t>
        <w:br/>
        <w:t xml:space="preserve"> </w:t>
        <w:br/>
        <w:t>Nom de l’indicateur, cible et objectif</w:t>
        <w:br/>
        <w:t>Définition et justification</w:t>
        <w:br/>
        <w:t>Sources de données et méthode de collecte</w:t>
        <w:br/>
        <w:t>Contenu</w:t>
        <w:br/>
        <w:t>Nom de l’indicateur, cible et objectif</w:t>
        <w:br/>
        <w:t>Définition et justification</w:t>
        <w:br/>
        <w:t>Sources de données et méthode de collecte</w:t>
        <w:br/>
        <w:t>Méthode de calcul et autres considérations méthodologiques</w:t>
        <w:br/>
        <w:t>Désagrégation des données</w:t>
        <w:br/>
        <w:t>Références</w:t>
        <w:br/>
        <w:t>Organisation(s) internationale(s) de surveillance mondiale</w:t>
        <w:br/>
        <w:t xml:space="preserve"> Indicateur 3.3.5 : Nombre de personnes nécessitant des interventions contre les maladies tropicales négligées</w:t>
        <w:br/>
        <w:t xml:space="preserve">Cible 3.3 : D’ici 2030, mettre fin aux épidémies de sida, de tuberculose, de paludisme et de maladies tropicales négligées et combattre les hépatites d’origine hydrique. </w:t>
        <w:br/>
        <w:t>maladies et autres maladies transmissibles</w:t>
        <w:br/>
        <w:t>Objectif 3 : Garantir une vie saine et promouvoir le bien-être de tous à tout âge</w:t>
        <w:br/>
        <w:t>Définition :</w:t>
        <w:br/>
        <w:t xml:space="preserve">Cet indicateur est défini comme le nombre de personnes nécessitant un traitement et des soins pour l'une des maladies tropicales négligées (MTN) ciblées par </w:t>
        <w:br/>
        <w:t xml:space="preserve">la feuille de route de l’OMS sur les MTN et les résolutions de l’Assemblée mondiale de la santé. </w:t>
        <w:br/>
        <w:t>Concepts :</w:t>
        <w:br/>
        <w:t xml:space="preserve">Les maladies tropicales négligées (MTN) constituent un groupe diversifié de maladies transmissibles qui prévalent dans les conditions tropicales et subtropicales dans plus de </w:t>
        <w:br/>
        <w:t xml:space="preserve">100 pays. Il s'agit des maladies suivantes : ulcère de Buruli, maladie de Chagas, dengue, dracunculose (maladie du ver de Guinée), </w:t>
        <w:br/>
        <w:t xml:space="preserve">échinococcose, trématodiases d'origine alimentaire, trypanosomose humaine africaine (maladie du sommeil), leishmanioses, lèpre, filariose lymphatique, </w:t>
        <w:br/>
        <w:t xml:space="preserve">mycétome, onchocercose (cécité des rivières), rage, schistosomiase, géohelminthiases, téniase et neurocysticercose, trachome, </w:t>
        <w:br/>
        <w:t>et le pian. Une liste à jour est disponible sur .  http://www.who.int/neglected_diseases/diseases/en/</w:t>
        <w:br/>
        <w:t>Le traitement et les soins sont définis comme des mesures préventives, curatives, chirurgicales ou de rééducation contre les MTN. Il se compose de :</w:t>
        <w:br/>
        <w:t>(1) Traitement de masse connu sous le nom de chimiothérapie préventive (PC) pour au moins une MTN ; et</w:t>
        <w:br/>
        <w:t xml:space="preserve">(2) Traitement et soins individuels pour toute MTN. </w:t>
        <w:br/>
        <w:t xml:space="preserve">La PC consiste en l'administration régulière et à grande échelle de médicaments, seuls ou en association, à des groupes entiers de population, dans le but de </w:t>
        <w:br/>
        <w:t xml:space="preserve">réduire la transmission et la morbidité associée ; La PC est la stratégie de santé publique recommandée par l'OMS contre certaines infections helminthiques </w:t>
        <w:br/>
        <w:t xml:space="preserve">(filariose lymphatique, onchocercose, schistosomiase et géohelminthiases) et une infection à Chlamydia (trachome). </w:t>
        <w:br/>
        <w:t xml:space="preserve">D'autres interventions clés contre les MTN (par exemple, la gestion des vecteurs, la santé publique vétérinaire, l'eau, l'assainissement et l'hygiène) doivent être abordées dans </w:t>
        <w:br/>
        <w:t xml:space="preserve">le contexte d’autres cibles et indicateurs, à savoir la couverture sanitaire universelle (CSU) et l’accès universel à l’eau et à l’assainissement. </w:t>
        <w:br/>
        <w:t xml:space="preserve">Justification et interprétation : </w:t>
        <w:br/>
        <w:t xml:space="preserve">La « fin de l’épidémie » des MTN se manifestera d’abord par une diminution du nombre de personnes nécessitant un traitement et des soins, comme le sont les MTN. </w:t>
        <w:br/>
        <w:t>éradiqués, éliminés ou contrôlés.</w:t>
        <w:br/>
        <w:t xml:space="preserve">Cependant, cet indicateur ne doit pas être interprété comme le nombre de personnes exposées au risque de MTN. Le nombre de personnes à risque est plus important. Au lieu de cela, ceci </w:t>
        <w:br/>
        <w:t>ce nombre représente les personnes présentant un niveau de risque qui nécessite des interventions médicales – c’est-à-dire un traitement et des soins pour les MTN.</w:t>
        <w:br/>
        <w:t>Le nombre devrait diminuer avec le temps vers zéro. Les objectifs mondiaux impliquent une réduction de 90 % d’ici 2030.</w:t>
      </w:r>
    </w:p>
    <w:p>
      <w:pPr>
        <w:pStyle w:val="Heading2"/>
      </w:pPr>
      <w:r>
        <w:t>Page 70</w:t>
      </w:r>
    </w:p>
    <w:p>
      <w:r>
        <w:t>Texte d'en-tête</w:t>
        <w:br/>
        <w:t>Texte de pied de page</w:t>
        <w:br/>
        <w:t>Méthode de calcul et autres considérations méthodologiques</w:t>
        <w:br/>
        <w:t>Désagrégation des données</w:t>
        <w:br/>
        <w:t>Références</w:t>
        <w:br/>
        <w:t>Organisation(s) internationale(s) de surveillance mondiale</w:t>
        <w:br/>
        <w:t xml:space="preserve">Les données pour cet indicateur sont compilées par les agences gouvernementales compétentes telles que le ministère de la Santé, par le biais des programmes nationaux de lutte contre les MTN. </w:t>
        <w:br/>
        <w:t xml:space="preserve">Pour les MTN nécessitant un traitement de masse (PC) : le programme de demande conjointe de médicaments PC sélectionnés (JRSM) de l’OMS aide les pays à garantir </w:t>
        <w:br/>
        <w:t xml:space="preserve">médicaments grâce aux dons des sociétés pharmaceutiques pour les traitements contre les MTN. Dans de tels cas, il inclut des données sur le nombre de personnes </w:t>
        <w:br/>
        <w:t xml:space="preserve">nécessitant un PC. Dans d’autres cas, l’OMS a conçu le formulaire PC Epidemiological Data Reporting Form (EPIRF) pour aider les gouvernements à normaliser et à </w:t>
        <w:br/>
        <w:t xml:space="preserve">communiquer leurs données épidémiologiques, y compris les données sur le nombre de personnes nécessitant une PC. </w:t>
        <w:br/>
        <w:t xml:space="preserve">Pour les MTN nécessitant un traitement et des soins individuels : le système d'information sanitaire de district (DHIS, version 2) permet des </w:t>
        <w:br/>
        <w:t xml:space="preserve">diffusion de données sur le nombre de cas nécessitant un traitement et des soins pour les MTN, du niveau du district jusqu'au niveau national. L'OMS travaille </w:t>
        <w:br/>
        <w:t>soutenir l’utilisation du DHIS2 pour permettre une collecte, un flux, une analyse et un partage rapides des données par les programmes nationaux de lutte contre les MTN.</w:t>
        <w:br/>
        <w:t>Méthode de calcul :</w:t>
        <w:br/>
        <w:t>Cet indicateur est calculé comme le plus élevé des deux nombres ci-dessous pour une région/unité administrative donnée :</w:t>
        <w:br/>
        <w:t xml:space="preserve">(1)    Nombre annuel moyen de personnes nécessitant un traitement de masse pour au moins une MTN. Les gens peuvent avoir besoin d’un PC pour plus d’une MTN. A éviter </w:t>
        <w:br/>
        <w:t xml:space="preserve">en comptant deux fois, le nombre de personnes nécessitant une PC est donc comparé entre les MTN, par groupe d'âge et par unité de mise en œuvre (par exemple, district). </w:t>
        <w:br/>
        <w:t xml:space="preserve">Le plus grand nombre de personnes nécessitant une PC parmi toutes les MTN est retenu pour chaque groupe d'âge dans chaque unité de mise en œuvre. Le plus grand nombre est </w:t>
        <w:br/>
        <w:t>considéré comme une estimation prudente du nombre de personnes nécessitant une PC pour au moins une MTN ; et</w:t>
        <w:br/>
        <w:t xml:space="preserve">(2)    Nombre de nouveaux cas nécessitant un traitement et des soins individuels pour une MTN. Actuellement, le nombre de nouveaux cas est basé sur les rapports des pays, </w:t>
        <w:br/>
        <w:t xml:space="preserve">chaque fois qu'ils sont disponibles, des cas nouveaux et connus d'ulcère de Buruli, de maladie de Chagas, de cysticercose, de dengue, de maladie du ver de Guinée, d'échinococcose, </w:t>
        <w:br/>
        <w:t xml:space="preserve">la trypanosomiase humaine africaine (THA), la lèpre, les leishmanioses, la rage et le pian. </w:t>
        <w:br/>
        <w:t>Commentaires et limites :</w:t>
        <w:br/>
        <w:t xml:space="preserve">Les rapports nationaux peuvent ne pas être parfaitement comparables dans le temps. L'amélioration de la surveillance et du dépistage des cas pourrait conduire à une augmentation apparente du nombre de cas. </w:t>
        <w:br/>
        <w:t>nombre de personnes connues pour avoir besoin d’un traitement et de soins. Des estimations supplémentaires peuvent être nécessaires pour tenir compte des changements dans la surveillance et le nombre de cas.</w:t>
        <w:br/>
        <w:t xml:space="preserve">découverte. Les rapports nationaux manquants peuvent devoir être imputés pour certaines maladies certaines années. </w:t>
        <w:br/>
        <w:t>Indicateurs proxy, alternatifs et supplémentaires : N/A</w:t>
        <w:br/>
        <w:t>Les données peuvent être ventilées par maladie et par groupe d’âge. Les données peuvent également être ventilées par sexe et par lieu (urbain/rural).</w:t>
        <w:br/>
        <w:t>URL officielle des métadonnées ODD</w:t>
        <w:br/>
        <w:t xml:space="preserve">https://unstats.un.org/sdgs/metadata/files/Metadata-03-03-05.pdf  </w:t>
        <w:br/>
        <w:t>Méthodologie reconnue au niveau international et URL des lignes directrices</w:t>
        <w:br/>
        <w:t>OMS (2012). Relevé épidémiologique hebdomadaire (No.2, 2012, 87, 17-28) http://www.who.int/wer/2012/wer8702.pdf?ua=1</w:t>
        <w:br/>
        <w:t>Autres références</w:t>
        <w:br/>
        <w:t>OMS (2007). . Genève. Disponible sur : Plan mondial de lutte contre les maladies tropicales négligées, 2008-2015 http://apps.who.int/iris/bitstream/10665/69708</w:t>
        <w:br/>
        <w:t xml:space="preserve"> /1/WHO_CDS_NTD_2007.3_eng.pdf?ua=1</w:t>
        <w:br/>
        <w:t>OMS (2012).  Genève. Disponible Accélérer les travaux pour surmonter l’impact mondial des maladies tropicales négligées : une feuille de route pour la mise en œuvre.</w:t>
        <w:br/>
        <w:t>sur : http://www.who.int/neglected_diseases/NTD_RoadMap_2012_Fullversion.pdf</w:t>
        <w:br/>
        <w:t>OMS (2015). Genève. Disponible sur : Investir pour surmonter l’impact mondial des maladies tropicales négligées. http://www.who.int</w:t>
        <w:br/>
        <w:t>/maladies_neglectées/9789241564861/fr/</w:t>
        <w:br/>
        <w:t>Exemples de pays</w:t>
        <w:br/>
        <w:t>N/D</w:t>
        <w:br/>
        <w:t>Ce document a été préparé sur la base des contributions de l'Organisation mondiale de la santé (OMS).</w:t>
        <w:br/>
        <w:t>Pour obtenir des informations sur les points focaux pour cet indicateur, veuillez visiter https://unstats.un.org/sdgs/dataContacts/</w:t>
      </w:r>
    </w:p>
    <w:p>
      <w:pPr>
        <w:pStyle w:val="Heading2"/>
      </w:pPr>
      <w:r>
        <w:t>Page 71</w:t>
      </w:r>
    </w:p>
    <w:p>
      <w:r>
        <w:t>Texte d'en-tête</w:t>
        <w:br/>
        <w:t>Texte de pied de page</w:t>
        <w:br/>
        <w:t>Indicateur 3.4.1</w:t>
        <w:br/>
        <w:t>Page d'accueil du manuel électronique</w:t>
        <w:br/>
        <w:t xml:space="preserve"> </w:t>
        <w:br/>
        <w:t>Nom de l’indicateur, cible et objectif</w:t>
        <w:br/>
        <w:t>Définition et justification</w:t>
        <w:br/>
        <w:t>Sources de données et méthode de collecte</w:t>
        <w:br/>
        <w:t>Méthode de calcul et autres considérations méthodologiques</w:t>
        <w:br/>
        <w:t>Contenu</w:t>
        <w:br/>
        <w:t>Nom de l’indicateur, cible et objectif</w:t>
        <w:br/>
        <w:t>Définition et justification</w:t>
        <w:br/>
        <w:t>Sources de données et méthode de collecte</w:t>
        <w:br/>
        <w:t>Méthode de calcul et autres considérations méthodologiques</w:t>
        <w:br/>
        <w:t>Désagrégation des données</w:t>
        <w:br/>
        <w:t>Références</w:t>
        <w:br/>
        <w:t>Organisation(s) internationale(s) de surveillance mondiale</w:t>
        <w:br/>
        <w:t xml:space="preserve"> Indicateur 3.4.1 : Taux de mortalité attribué aux maladies cardiovasculaires, au cancer, au diabète ou aux maladies respiratoires chroniques</w:t>
        <w:br/>
        <w:t xml:space="preserve">Cible 3.4 : D’ici 2030, réduire d’un tiers la mortalité prématurée due aux maladies non transmissibles grâce à la prévention et au traitement et promouvoir </w:t>
        <w:br/>
        <w:t>santé mentale et bien-être</w:t>
        <w:br/>
        <w:t>Objectif 3 : Garantir une vie saine et promouvoir le bien-être de tous à tout âge</w:t>
        <w:br/>
        <w:t>Définition :</w:t>
        <w:br/>
        <w:t>Cet indicateur est défini comme le pourcentage de personnes de 30 ans qui mourraient avant leur 70e anniversaire des suites de maladies cardiovasculaires, de cancer, etc.</w:t>
        <w:br/>
        <w:t xml:space="preserve">diabète ou maladies respiratoires chroniques, en supposant que le taux de mortalité observé ne change pas dans le temps, à l'exclusion d'autres </w:t>
        <w:br/>
        <w:t xml:space="preserve">causes de décès telles que les accidents ou le VIH/SIDA. Cet indicateur est calculé selon la méthode des tables de survie. </w:t>
        <w:br/>
        <w:t>Concepts :</w:t>
        <w:br/>
        <w:t xml:space="preserve">La probabilité de mourir fait référence à la probabilité qu'un individu meure entre deux âges étant donné les taux de mortalité actuels à chaque âge, calculés </w:t>
        <w:br/>
        <w:t xml:space="preserve">en utilisant les méthodes des tables de survie. La probabilité de décès entre deux âges peut être appelée taux de mortalité. </w:t>
        <w:br/>
        <w:t xml:space="preserve">Les tables de mortalité montrent l'expérience de mortalité d'un groupe hypothétique d'enfants nés au même moment et soumis tout au long de leur vie à un ensemble de conditions. </w:t>
        <w:br/>
        <w:t xml:space="preserve">taux de mortalité par âge. </w:t>
        <w:br/>
        <w:t xml:space="preserve">Les maladies cardiovasculaires, le cancer, le diabète ou les maladies respiratoires chroniques font référence aux maladies codées I00-I99, COO-C97, E10-E14 et J30-J98 de </w:t>
        <w:br/>
        <w:t>la 10 révision de la Classification statistique internationale des maladies et des problèmes de santé connexes (CIM-10). e</w:t>
        <w:br/>
        <w:t>Justification et interprétation :</w:t>
        <w:br/>
        <w:t xml:space="preserve">La charge de morbidité due aux maladies non transmissibles (MNT) chez les adultes augmente rapidement dans les pays en développement en raison du vieillissement. </w:t>
        <w:br/>
        <w:t xml:space="preserve">Les maladies cardiovasculaires, le cancer, le diabète et les maladies respiratoires chroniques sont les quatre principales causes du fardeau des MNT. Mesurer le risque de mourir </w:t>
        <w:br/>
        <w:t>Il est important d’évaluer l’ampleur du fardeau de la mortalité prématurée due aux MNT dans une population à partir de ces quatre causes majeures.</w:t>
        <w:br/>
        <w:t xml:space="preserve">La source de données privilégiée est constituée par les systèmes d’enregistrement des décès offrant une couverture complète et un certificat médical de la cause du décès. Où une telle mort </w:t>
        <w:br/>
        <w:t xml:space="preserve">Il n’existe pas de systèmes d’enregistrement, les données peuvent être collectées par le biais d’enquêtes auprès des ménages et de systèmes d’enregistrement d’échantillons avec autopsie verbale. Pour </w:t>
        <w:br/>
        <w:t>Pour plus d’informations, veuillez consulter OMS (2010).</w:t>
      </w:r>
    </w:p>
    <w:p>
      <w:pPr>
        <w:pStyle w:val="Heading2"/>
      </w:pPr>
      <w:r>
        <w:t>Page 72</w:t>
      </w:r>
    </w:p>
    <w:p>
      <w:r>
        <w:t>Texte d'en-tête</w:t>
        <w:br/>
        <w:t>Texte de pied de page</w:t>
        <w:br/>
        <w:t>Désagrégation des données</w:t>
        <w:br/>
        <w:t>Références</w:t>
        <w:br/>
        <w:t xml:space="preserve">Méthode de calcul : </w:t>
        <w:br/>
        <w:t>Cet indicateur est calculé sur la base des tables de mortalité influencées uniquement par les quatre MNT et en appliquant le taux de mortalité par cause à chaque 5-</w:t>
        <w:br/>
        <w:t>tranche d’âge d’un an. (Si le taux de mortalité par cause ne peut pas être ventilé par tranche d'âge de 5 ans, il peut être constant.) Le taux de mortalité pour chaque tranche d'âge de 5 ans.</w:t>
        <w:br/>
        <w:t>La tranche d’âge de 1 an est calculée comme suit :</w:t>
        <w:br/>
        <w:t xml:space="preserve">Les taux de mortalité doivent être calculés pour chaque groupe d'âge quinquennal entre 30 et 70 ans. Traduisez ensuite le taux de mortalité en probabilité de mourir. </w:t>
        <w:br/>
        <w:t>entre âge exact  et âge exact , :</w:t>
        <w:br/>
        <w:t>Enfin, la probabilité de décès entre 30 et 70 ans, indépendamment des autres causes de décès, peut être calculée comme suit :</w:t>
        <w:br/>
        <w:t>Commentaires et limites :</w:t>
        <w:br/>
        <w:t xml:space="preserve">Les données sur les décès sont disponibles dans les pays à partir des données d'enregistrement des décès ou des systèmes d'enregistrement d'échantillons qui enregistrent des informations sur la cause du décès. </w:t>
        <w:br/>
        <w:t xml:space="preserve">décès, mais moins de la moitié des États membres de l’OMS disposent de systèmes d’enregistrement des décès qui fonctionnent bien et qui enregistrent les causes de décès. Lacunes dans les données </w:t>
        <w:br/>
        <w:t xml:space="preserve">et les limitations dans certaines régions renforcent la nécessité d'être prudent lors de l'interprétation des évaluations comparatives mondiales des causes de décès, ainsi que des </w:t>
        <w:br/>
        <w:t>nécessité d’investir davantage dans les systèmes de mesure de la santé de la population.</w:t>
        <w:br/>
        <w:t xml:space="preserve">L'utilisation de méthodes d'autopsie verbale dans les systèmes d'enregistrement d'échantillons, les systèmes de surveillance démographique et les enquêtes auprès des ménages fournissent certaines informations. </w:t>
        <w:br/>
        <w:t xml:space="preserve">informations sur les causes de décès dans les pays dépourvus de systèmes d’enregistrement des décès bien établis, mais des défis considérables subsistent dans le domaine </w:t>
        <w:br/>
        <w:t>la validation et l'interprétation de ces données, ainsi que dans l'évaluation de l'incertitude associée aux diagnostics de cause sous-jacente du décès.</w:t>
        <w:br/>
        <w:t>Indicateurs proxy, alternatifs et supplémentaires : N/A</w:t>
        <w:br/>
        <w:t>Cet indicateur peut être ventilé par sexe et par zone infranationale.</w:t>
      </w:r>
    </w:p>
    <w:p>
      <w:pPr>
        <w:pStyle w:val="Heading2"/>
      </w:pPr>
      <w:r>
        <w:t>Page 73</w:t>
      </w:r>
    </w:p>
    <w:p>
      <w:r>
        <w:t>Texte d'en-tête</w:t>
        <w:br/>
        <w:t>Texte de pied de page</w:t>
        <w:br/>
        <w:t>Organisation(s) internationale(s) de surveillance mondiale</w:t>
        <w:br/>
        <w:t>URL officielle des métadonnées ODD</w:t>
        <w:br/>
        <w:t xml:space="preserve">https://unstats.un.org/sdgs/metadata/files/Metadata-03-04-01.pdf  </w:t>
        <w:br/>
        <w:t>Méthodologie reconnue au niveau international et URL des lignes directrices</w:t>
        <w:br/>
        <w:t>http://www.who.int/nmh/ncd-tools/indicators/GMF_Indicator_Definitions_FinalNOV2014.pdf?ua=1</w:t>
        <w:br/>
        <w:t>http://www.who.int/healthinfo/indicators/2018/en/</w:t>
        <w:br/>
        <w:t>Autres références :</w:t>
        <w:br/>
        <w:t>CIM-10 : Version 2016 : http://apps.who.int/classifications/icd10/browse/2016/en</w:t>
        <w:br/>
        <w:t xml:space="preserve">OMS (2010). Améliorer la qualité et l'utilisation des informations sur les naissances, les décès et les causes de décès : orientations pour un examen normatif des pays </w:t>
        <w:br/>
        <w:t xml:space="preserve"> Disponible à : cabinets. http://www.who.int/healthinfo/tool_cod_2010.pdf?ua=1</w:t>
        <w:br/>
        <w:t>OMS (2014).  Genève. Disponible sur : Cadre mondial de suivi des MNT : définitions et spécifications des indicateurs. http://www.who.int/nmh/ncdtools</w:t>
        <w:br/>
        <w:t>/indicators/GMF_Indicator_Definitions_FinalNOV2014.pdf?ua=1</w:t>
        <w:br/>
        <w:t>QUI. Genève. Site Internet : Observatoire mondial de la santé : Registre des métadonnées des indicateurs. http://apps.who.int/gho/data/node.wrapper.imr?x-id=3354</w:t>
        <w:br/>
        <w:t>OMS (2018). Genève. Disponible sur : Méthodes et sources de données de l’OMS pour les causes de décès au niveau des pays 2000-2016. http://www.who.int/healthinfo</w:t>
        <w:br/>
        <w:t>/global_burden_disease/GlobalCOD_method_2000_2016.pdf</w:t>
        <w:br/>
        <w:t xml:space="preserve">Résolution de l'Assemblée mondiale de la santé, WHA66.10 (2014). Suivi de la Déclaration politique de la Réunion de haut niveau de l'Assemblée générale </w:t>
        <w:br/>
        <w:t xml:space="preserve">. sur la prévention et le contrôle des maladies non transmissibles, y compris l'Annexe 2 : Cadre mondial de suivi complet, comprenant 25 </w:t>
        <w:br/>
        <w:t>Disponible sur : indicateurs et un ensemble de neuf objectifs mondiaux volontaires pour la prévention et le contrôle des maladies non transmissibles. http://apps.who.int</w:t>
        <w:br/>
        <w:t>/gb/ebwha/pdf_files/WHA66/A66_R10-en.pdf?ua=1</w:t>
        <w:br/>
        <w:t>OMS (2013). Genève. Disponible sur : Plan d'action mondial pour la prévention et le contrôle des maladies non transmissibles 2013-2020. http://apps.who.</w:t>
        <w:br/>
        <w:t>int/iris/bitstream/10665/94384/1/9789241506236_eng.pdf?ua=1</w:t>
        <w:br/>
        <w:t xml:space="preserve">Exemples de pays </w:t>
        <w:br/>
        <w:t>N/D</w:t>
        <w:br/>
        <w:t>Ce document a été préparé sur la base des contributions de l'Organisation mondiale de la santé (OMS).</w:t>
        <w:br/>
        <w:t>Pour obtenir des informations sur les points focaux pour cet indicateur, veuillez visiter https://unstats.un.org/sdgs/dataContacts/</w:t>
      </w:r>
    </w:p>
    <w:p>
      <w:pPr>
        <w:pStyle w:val="Heading2"/>
      </w:pPr>
      <w:r>
        <w:t>Page 74</w:t>
      </w:r>
    </w:p>
    <w:p>
      <w:r>
        <w:t>Texte d'en-tête</w:t>
        <w:br/>
        <w:t>Texte de pied de page</w:t>
        <w:br/>
        <w:t>Indicateur 3.4.2</w:t>
        <w:br/>
        <w:t>Page d'accueil du manuel électronique</w:t>
        <w:br/>
        <w:t xml:space="preserve"> </w:t>
        <w:br/>
        <w:t>Nom de l’indicateur, cible et objectif</w:t>
        <w:br/>
        <w:t>Définition et justification</w:t>
        <w:br/>
        <w:t>Sources de données et méthode de collecte</w:t>
        <w:br/>
        <w:t>Méthode de calcul et autres considérations méthodologiques</w:t>
        <w:br/>
        <w:t>Contenu</w:t>
        <w:br/>
        <w:t>Nom de l’indicateur, cible et objectif</w:t>
        <w:br/>
        <w:t>Définition et justification</w:t>
        <w:br/>
        <w:t>Sources de données et méthode de collecte</w:t>
        <w:br/>
        <w:t>Méthode de calcul et autres considérations méthodologiques</w:t>
        <w:br/>
        <w:t>Désagrégation des données</w:t>
        <w:br/>
        <w:t>Références</w:t>
        <w:br/>
        <w:t>Organisation(s) internationale(s) de surveillance mondiale</w:t>
        <w:br/>
        <w:t xml:space="preserve"> Indicateur 3.4.2 : Taux de mortalité par suicide</w:t>
        <w:br/>
        <w:t xml:space="preserve">Cible 3.4 : D’ici 2030, réduire d’un tiers la mortalité prématurée due aux maladies non transmissibles grâce à la prévention et au traitement et promouvoir </w:t>
        <w:br/>
        <w:t>santé mentale et bien-être</w:t>
        <w:br/>
        <w:t>Objectif 3 : Garantir une vie saine et promouvoir le bien-être de tous à tout âge</w:t>
        <w:br/>
        <w:t>Définition :</w:t>
        <w:br/>
        <w:t xml:space="preserve">Cet indicateur est défini comme le nombre de décès par suicide au cours d'une année donnée divisé par la population, exprimé pour 100 000 personnes. </w:t>
        <w:br/>
        <w:t>Concepts :</w:t>
        <w:br/>
        <w:t xml:space="preserve">Le suicide est l’acte de provoquer sa propre mort. Codes X-60-84 et Y87.0 de la Classification statistique internationale des maladies et maladies apparentées </w:t>
        <w:br/>
        <w:t xml:space="preserve">Les problèmes de santé (ICD-10) sont considérés comme des décès par suicide pour cet indicateur. </w:t>
        <w:br/>
        <w:t>Justification et interprétation :</w:t>
        <w:br/>
        <w:t xml:space="preserve">Les troubles mentaux surviennent dans toutes les régions et cultures du monde. Les troubles les plus répandus sont la dépression et l'anxiété, qui sont </w:t>
        <w:br/>
        <w:t xml:space="preserve">on estime qu’elle touche près d’une personne sur dix. Dans le pire des cas, la dépression et d'autres maladies mentales telles que le trouble bipolaire ou la schizophrénie peuvent entraîner </w:t>
        <w:br/>
        <w:t xml:space="preserve">suicide.  En 2016, on estime à près de 800 000 le nombre de décès par suicide dans le monde. </w:t>
        <w:br/>
        <w:t xml:space="preserve">La source de données privilégiée est constituée par les systèmes d’enregistrement des décès offrant une couverture complète et un certificat médical de la cause du décès. Où une telle mort </w:t>
        <w:br/>
        <w:t xml:space="preserve">les systèmes d'enregistrement n'existent pas, les données peuvent être collectées par le biais d'enquêtes auprès des ménages avec autopsie verbale, enregistrement d'échantillons ou sentinelle </w:t>
        <w:br/>
        <w:t>systèmes d’enregistrement. Dans certains cas, des études spéciales et des systèmes de surveillance peuvent également fournir des données utilisables.</w:t>
      </w:r>
    </w:p>
    <w:p>
      <w:pPr>
        <w:pStyle w:val="Heading2"/>
      </w:pPr>
      <w:r>
        <w:t>Page 75</w:t>
      </w:r>
    </w:p>
    <w:p>
      <w:r>
        <w:t>Texte d'en-tête</w:t>
        <w:br/>
        <w:t>Texte de pied de page</w:t>
        <w:br/>
        <w:t>Désagrégation des données</w:t>
        <w:br/>
        <w:t>Références</w:t>
        <w:br/>
        <w:t>Organisation(s) internationale(s) de surveillance mondiale</w:t>
        <w:br/>
        <w:t>Méthode de calcul :</w:t>
        <w:br/>
        <w:t xml:space="preserve">Le taux de mortalité par suicide peut être calculé à l’aide de la formule ci-dessous : </w:t>
        <w:br/>
        <w:t>Commentaires et limites :</w:t>
        <w:br/>
        <w:t xml:space="preserve">Les données sur les décès sont disponibles dans les pays à partir des données d'enregistrement des décès ou des systèmes d'enregistrement d'échantillons qui enregistrent des informations sur la cause du décès. </w:t>
        <w:br/>
        <w:t xml:space="preserve">décès, mais moins de la moitié des États membres de l’OMS disposent de systèmes d’enregistrement des décès qui fonctionnent bien et qui enregistrent les causes de décès. Même où </w:t>
        <w:br/>
        <w:t>De tels systèmes existent, l’enregistrement des suicides peut être évité par :</w:t>
        <w:br/>
        <w:t xml:space="preserve">Mauvais liens avec les systèmes coronariens et policiers. En l’absence de tels liens, la proportion de suicides classés comme </w:t>
        <w:br/>
        <w:t>les blessures d'intention indéterminée, les blessures involontaires ou de cause inconnue peuvent être très élevées et le taux de suicide est sous-estimé.</w:t>
        <w:br/>
        <w:t>Stigmate. En raison de la stigmatisation, les suicides peuvent être enregistrés comme des décès par blessures involontaires, ce qui sous-estime le taux de suicide.</w:t>
        <w:br/>
        <w:t xml:space="preserve">Considérations juridiques ou financières.  Par exemple, les polices d'assurance-vie peuvent exclure le paiement lorsque les décès sont dus à un suicide, ce qui entraîne </w:t>
        <w:br/>
        <w:t xml:space="preserve">sous-enregistrement des décès par suicide. Dans certains pays, le suicide est considéré comme un acte criminel. </w:t>
        <w:br/>
        <w:t>Indicateurs proxy, alternatifs et supplémentaires : N/A</w:t>
        <w:br/>
        <w:t>Cet indicateur peut être ventilé par sexe, âge, région géographique infranationale et méthode de suicide.</w:t>
        <w:br/>
        <w:t>URL officielle des métadonnées ODD</w:t>
        <w:br/>
        <w:t xml:space="preserve">https://unstats.un.org/sdgs/metadata/files/Metadata-03-04-02.pdf  </w:t>
        <w:br/>
        <w:t>Méthodologie reconnue au niveau international et URL des lignes directrices</w:t>
        <w:br/>
        <w:t>http://www.who.int/gho/mental_health/suicide_rates/en/</w:t>
        <w:br/>
        <w:t xml:space="preserve">http://www.who.int/healthinfo/indicators/2018/en/ </w:t>
        <w:br/>
        <w:t>Autres références</w:t>
        <w:br/>
        <w:t>CIM-10 : Version 2016 : http://apps.who.int/classifications/icd10/browse/2016/en</w:t>
        <w:br/>
        <w:t>QUI. Genève. Site Internet : Observatoire mondial de la santé : Registre des métadonnées des indicateurs. http://apps.who.int/gho/data/node.wrapper.imr?x-id=4664</w:t>
        <w:br/>
        <w:t xml:space="preserve">OMS (2010). Améliorer la qualité et l'utilisation des informations sur les naissances, les décès et les causes de décès : orientations pour un examen normatif des pays </w:t>
        <w:br/>
        <w:t xml:space="preserve"> Disponible à : cabinets. http://www.who.int/healthinfo/tool_cod_2010.pdf?ua=1</w:t>
        <w:br/>
        <w:t>OMS (2018). Genève. Disponible sur : Méthodes et sources de données de l’OMS pour les causes de décès au niveau des pays 2000-2016. http://www.who.int/healthinfo</w:t>
        <w:br/>
        <w:t>/global_burden_disease/GlobalCOD_method_2000_2016.pdf</w:t>
        <w:br/>
        <w:t xml:space="preserve">Résolution WHA66.8 (2013) de l’Assemblée mondiale de la santé. Plan d’action global en santé mentale 2013-2020, comprenant l’Annexe 1 : Indicateurs de </w:t>
        <w:br/>
        <w:t>Genève. Disponible sur : Mesurer les progrès vers les objectifs définis du Plan d’action global pour la santé mentale 2013-2020. http://applications.</w:t>
        <w:br/>
        <w:t xml:space="preserve"> who.int/gb/ebwha/pdf_files/WHA66/A66_R8-en.pdf?ua=1</w:t>
        <w:br/>
        <w:t xml:space="preserve">Exemples de pays </w:t>
        <w:br/>
        <w:t>N/D</w:t>
        <w:br/>
        <w:t>Ce document a été préparé sur la base des contributions de l'Organisation mondiale de la santé (OMS).</w:t>
        <w:br/>
        <w:t>Pour obtenir des informations sur les points focaux pour cet indicateur, veuillez visiter https://unstats.un.org/sdgs/dataContacts/</w:t>
      </w:r>
    </w:p>
    <w:p>
      <w:pPr>
        <w:pStyle w:val="Heading2"/>
      </w:pPr>
      <w:r>
        <w:t>Page 76</w:t>
      </w:r>
    </w:p>
    <w:p>
      <w:r>
        <w:t>Texte d'en-tête</w:t>
        <w:br/>
        <w:t>Texte de pied de page</w:t>
        <w:br/>
        <w:t>Indicateur 3.5.2</w:t>
        <w:br/>
        <w:t>Page d'accueil du manuel électronique</w:t>
        <w:br/>
        <w:t>Nom de l’indicateur, cible et objectif</w:t>
        <w:br/>
        <w:t>Définition et justification</w:t>
        <w:br/>
        <w:t>Sources de données et méthode de collecte</w:t>
        <w:br/>
        <w:t>Contenu</w:t>
        <w:br/>
        <w:t>Nom de l’indicateur, cible et objectif</w:t>
        <w:br/>
        <w:t>Définition et justification</w:t>
        <w:br/>
        <w:t>Sources de données et méthode de collecte</w:t>
        <w:br/>
        <w:t>Méthode de calcul et autres considérations méthodologiques</w:t>
        <w:br/>
        <w:t>Désagrégation des données</w:t>
        <w:br/>
        <w:t>Références</w:t>
        <w:br/>
        <w:t>Organisation(s) internationale(s) de surveillance mondiale</w:t>
        <w:br/>
        <w:t xml:space="preserve"> Indicateur 3.5.2 : Consommation d'alcool par habitant (âgé de 15 ans et plus) au cours d'une année civile en litres d'alcool pur</w:t>
        <w:br/>
        <w:t>Cible 3.5 : Renforcer la prévention et le traitement de la toxicomanie, y compris l’abus de stupéfiants et l’usage nocif de l’alcool</w:t>
        <w:br/>
        <w:t>Objectif 3 : Garantir une vie saine et promouvoir le bien-être de tous à tout âge</w:t>
        <w:br/>
        <w:t>Définition :</w:t>
        <w:br/>
        <w:t xml:space="preserve">La consommation totale d'alcool par habitant (APC) est définie comme la quantité totale (somme de l'alcool enregistré et non enregistré) d'alcool consommée par personne. </w:t>
        <w:br/>
        <w:t xml:space="preserve">personne (15 ans et plus) sur une année civile, en litres d'alcool pur, ajusté pour la consommation touristique. Les estimations du total </w:t>
        <w:br/>
        <w:t xml:space="preserve">la consommation d'alcool sont obtenues en additionnant la consommation moyenne d'alcool enregistrée par habitant (15 ans et plus) sur 3 ans et </w:t>
        <w:br/>
        <w:t xml:space="preserve">une estimation de la consommation d'alcool non enregistrée par habitant (15 ans et plus) pour une année civile. </w:t>
        <w:br/>
        <w:t xml:space="preserve">Concepts : </w:t>
        <w:br/>
        <w:t xml:space="preserve">La consommation d'alcool enregistrée fait référence à l'alcool consommé selon les statistiques officielles au niveau national basées sur la production, l'importation, l'exportation, </w:t>
        <w:br/>
        <w:t xml:space="preserve">et les données de vente ou de taxation. </w:t>
        <w:br/>
        <w:t xml:space="preserve">La consommation d'alcool non enregistrée fait référence à l'alcool qui n'est pas taxé et qui échappe au système habituel de contrôle gouvernemental, comme à la maison ou à la maison. </w:t>
        <w:br/>
        <w:t xml:space="preserve">alcool produit de manière informelle (légale ou illégale), alcool de contrebande, alcool de substitution (qui est de l'alcool non destiné à la consommation humaine), ou </w:t>
        <w:br/>
        <w:t xml:space="preserve">l'alcool obtenu lors d'achats transfrontaliers (qui est enregistré dans une autre juridiction). </w:t>
        <w:br/>
        <w:t xml:space="preserve">La consommation touristique prend en compte les touristes visitant le pays et les habitants visitant d'autres pays. Les chiffres positifs indiquent l'alcool </w:t>
        <w:br/>
        <w:t xml:space="preserve">la consommation des touristes sortants étant supérieure à la consommation d’alcool des touristes entrants, les chiffres négatifs sont à l’inverse. Touriste </w:t>
        <w:br/>
        <w:t xml:space="preserve">la consommation est basée sur les statistiques de l’ONU et les données sont fournies par l’IHME. </w:t>
        <w:br/>
        <w:t xml:space="preserve">Le volume d'alcool pur est dérivé des conversions suivantes de la teneur en alcool (% d'alcool par volume) : Bière (bière d'orge 5 %), Vin (bière de raisin </w:t>
        <w:br/>
        <w:t xml:space="preserve">vin 12%; moût de raisin 9%, vermouth 16%), Spiritueux (alcools distillés 40%; spiritueux 30%), et Autres (sorgho, millet, bières de maïs 5%; cidre </w:t>
        <w:br/>
        <w:t xml:space="preserve">5 % ; vin fortifié 17% et 18%; blé fermenté et riz fermenté 9% ; autres boissons fermentées 9%). </w:t>
        <w:br/>
        <w:t>Justification et interprétation :</w:t>
        <w:br/>
        <w:t xml:space="preserve">La consommation d'alcool peut avoir un impact non seulement sur l'incidence des maladies, des blessures et d'autres problèmes de santé, mais également sur l'évolution de la vie. </w:t>
        <w:br/>
        <w:t xml:space="preserve">troubles et leurs conséquences chez les individus. La consommation d'alcool a été identifiée comme une des causes de plus de 200 maladies et blessures. </w:t>
        <w:br/>
        <w:t xml:space="preserve">et d'autres problèmes de santé. La consommation d’alcool par habitant est largement acceptée comme le meilleur indicateur possible de l’exposition à l’alcool au sein des populations. </w:t>
        <w:br/>
        <w:t xml:space="preserve">et de l'efficacité des efforts de prévention au niveau de la population pour réduire la consommation nocive d'alcool. C'est également l'indicateur clé pour l'estimation de </w:t>
        <w:br/>
        <w:t>charge de morbidité imputable à l’alcool et décès imputables à l’alcool. Son interprétation correcte nécessite cependant le recours à des données de population supplémentaires.</w:t>
        <w:br/>
        <w:t xml:space="preserve">des indicateurs basés sur des indicateurs tels que la prévalence de la consommation d’alcool et de la consommation excessive d’alcool et, par conséquent, stimule le développement d’un suivi national </w:t>
        <w:br/>
        <w:t xml:space="preserve">des systèmes sur l'alcool et la santé impliquant le renforcement des données nationales sur les ventes de boissons alcoolisées, leur production et leur commerce avec </w:t>
        <w:br/>
        <w:t xml:space="preserve">contributions d'un large éventail de parties prenantes ainsi que la réalisation d'enquêtes représentatives basées sur la population pour générer des données sur les modèles de </w:t>
        <w:br/>
        <w:t>consommation d'alcool.</w:t>
      </w:r>
    </w:p>
    <w:p>
      <w:pPr>
        <w:pStyle w:val="Heading2"/>
      </w:pPr>
      <w:r>
        <w:t>Page 77</w:t>
      </w:r>
    </w:p>
    <w:p>
      <w:r>
        <w:t>Texte d'en-tête</w:t>
        <w:br/>
        <w:t>Texte de pied de page</w:t>
        <w:br/>
        <w:t>Méthode de calcul et autres considérations méthodologiques</w:t>
        <w:br/>
        <w:t>Désagrégation des données</w:t>
        <w:br/>
        <w:t>Références</w:t>
        <w:br/>
        <w:t xml:space="preserve">Pour la consommation d’alcool enregistrée, les statistiques gouvernementales constituent la source de données privilégiée. Dans les cas où les données gouvernementales sur la production, l'importation, </w:t>
        <w:br/>
        <w:t xml:space="preserve">les exportations, les ventes ou la fiscalité sont inadéquates, on utilise les statistiques de l'industrie de l'alcool. En l’absence de telles données, FAOSTAT est utilisé comme source de données. </w:t>
        <w:br/>
        <w:t xml:space="preserve">Afin d'améliorer la qualité des données, les pays doivent développer/renforcer les systèmes d'enregistrement, de suivi et de surveillance des ventes et des ventes. </w:t>
        <w:br/>
        <w:t xml:space="preserve">des données fiscales ou sur la production, l'importation et l'exportation de boissons alcoolisées ou, par ex. par l'intermédiaire de leurs bureaux nationaux de statistiques ou de leur administration fiscale </w:t>
        <w:br/>
        <w:t xml:space="preserve">départements. </w:t>
        <w:br/>
        <w:t xml:space="preserve">Pour la consommation d’alcool non enregistrée, des données d’enquête représentatives à l’échelle nationale, des enquêtes empiriques spécifiques et des avis d’experts peuvent fournir des informations </w:t>
        <w:br/>
        <w:t xml:space="preserve">données nécessaires à la production des estimations. Afin d'améliorer les données, les pays doivent mener des enquêtes empiriques spécifiques ou inclure </w:t>
        <w:br/>
        <w:t xml:space="preserve">des questions sur la consommation non enregistrée dans leurs enquêtes représentatives au niveau national, de la même manière qu'elles sont incluses, par ex. dans l’enquête STEPS de l’OMS </w:t>
        <w:br/>
        <w:t xml:space="preserve">instrument. </w:t>
        <w:br/>
        <w:t xml:space="preserve">Pour la consommation touristique, les litres d'alcool consommés par les touristes dans un pays sont basés sur le nombre de touristes ayant visité un pays, le </w:t>
        <w:br/>
        <w:t xml:space="preserve">le temps moyen qu'ils ont passé dans le pays et la quantité qu'ils boivent en moyenne dans leur pays d'origine (estimé sur la base de </w:t>
        <w:br/>
        <w:t xml:space="preserve">consommation par habitant d’alcool enregistrée et non enregistrée). Par ailleurs, la consommation touristique d'alcool concerne également les habitants d'un </w:t>
        <w:br/>
        <w:t xml:space="preserve">pays consommant de l'alcool lors de visites dans d'autres pays (sur la base du temps moyen passé hors de leur pays (pour toutes les personnes de 15 ans et </w:t>
        <w:br/>
        <w:t xml:space="preserve">plus âgés) et la quantité d’alcool consommée dans leur pays d’origine). Ces estimations supposent (1) que les gens boivent les mêmes quantités de </w:t>
        <w:br/>
        <w:t xml:space="preserve">l'alcool lorsqu'ils sont touristes comme ils le font dans leur pays d'origine, et (2) que la consommation touristique mondiale est égale à 0 (et donc la consommation touristique </w:t>
        <w:br/>
        <w:t xml:space="preserve">la consommation peut être soit nette négative, soit positive). Afin d'améliorer les données, les pays doivent enregistrer les flux touristiques à destination et en provenance du pays. </w:t>
        <w:br/>
        <w:t>y compris la durée du séjour.</w:t>
        <w:br/>
        <w:t xml:space="preserve">Méthode de calcul : </w:t>
        <w:br/>
        <w:t>La formule suivante est utilisée pour le calcul de cet indicateur :</w:t>
        <w:br/>
        <w:t xml:space="preserve">Les données sur les ventes au détail ou les données fiscales associées offrent l'estimation la plus précise de la consommation d'alcool enregistrée dans une population définie au cours d'une période donnée. </w:t>
        <w:br/>
        <w:t xml:space="preserve">année civile. Lorsque ces données ne sont pas disponibles, la consommation d'alcool enregistrée est estimée à partir des données sur la production et le commerce de boissons alcoolisées. </w:t>
        <w:br/>
        <w:t xml:space="preserve">boissons. Les données d’enquêtes nationales prises isolément ne peuvent pas être utilisées pour une estimation fiable de la consommation globale d’alcool au sein des populations. </w:t>
        <w:br/>
        <w:t xml:space="preserve">Les estimations de la consommation d'alcool non enregistrée sont généralement basées sur les données générées par des enquêtes de population, des études empiriques spécifiques. </w:t>
        <w:br/>
        <w:t xml:space="preserve">d’enquêtes ou d’expertises. Alternativement, les estimations peuvent être produites par modélisation mathématique utilisant des associations statistiques de </w:t>
        <w:br/>
        <w:t xml:space="preserve">consommation d’alcool non enregistrée avec d’autres indicateurs basés sur la population. La triangulation des données générées par différentes méthodes améliore la validité </w:t>
        <w:br/>
        <w:t xml:space="preserve">des estimations. </w:t>
        <w:br/>
        <w:t>Commentaires et limites :</w:t>
        <w:br/>
        <w:t xml:space="preserve">L'estimation des APC non enregistrés reste un défi, et la triangulation des données provenant de différentes sources ainsi que les techniques Delphi sont utilisées. </w:t>
        <w:br/>
        <w:t xml:space="preserve">pour accroître la validité des estimations. Au cours des dernières années, le nombre d'activités de recherche s'est concentré sur l'amélioration des estimations de </w:t>
        <w:br/>
        <w:t xml:space="preserve">la consommation d’alcool non enregistrée ainsi que leur couverture géographique ont considérablement augmenté. </w:t>
        <w:br/>
        <w:t>Indicateurs proxy, alternatifs et supplémentaires : N/A</w:t>
        <w:br/>
        <w:t>Cet indicateur peut être ventilé par sexe, âge et statut socio-économique (par exemple, revenu, éducation, etc.).</w:t>
      </w:r>
    </w:p>
    <w:p>
      <w:pPr>
        <w:pStyle w:val="Heading2"/>
      </w:pPr>
      <w:r>
        <w:t>Page 78</w:t>
      </w:r>
    </w:p>
    <w:p>
      <w:r>
        <w:t>Texte d'en-tête</w:t>
        <w:br/>
        <w:t>Texte de pied de page</w:t>
        <w:br/>
        <w:t>Organisation(s) internationale(s) de surveillance mondiale</w:t>
        <w:br/>
        <w:t>URL officielle des métadonnées ODD</w:t>
        <w:br/>
        <w:t xml:space="preserve">https://unstats.un.org/sdgs/metadata/files/Metadata-03-05-02.pdf  </w:t>
        <w:br/>
        <w:t>Méthodologie reconnue au niveau international et URL des lignes directrices</w:t>
        <w:br/>
        <w:t>http://www.who.int/substance_abuse/publications/global_alcohol_report/en/</w:t>
        <w:br/>
        <w:t>http://www.who.int/gho/publications/world_health_statistics/2017/en/</w:t>
        <w:br/>
        <w:t xml:space="preserve">Boîte à outils de mise en œuvre de la stratégie mondiale visant à réduire la consommation nocive d’alcool. Domaine 10. Suivi et surveillance (en préparation, à venir) </w:t>
        <w:br/>
        <w:t>publié par l'OMS en 2018).</w:t>
        <w:br/>
        <w:t>Pozniak V et al. Système mondial de surveillance de l’alcool et de la santé de l’Organisation mondiale de la santé. Recherche sur l'alcool. 2014 ; 35(2) : 244-249.</w:t>
        <w:br/>
        <w:t>Rehm J et coll. Sur la surveillance de la consommation d’alcool non enregistrée. Alcoolisme et toxicomanie. 2015 ; 28 : 79-89.</w:t>
        <w:br/>
        <w:t>Guide international pour la surveillance de la consommation d'alcool et des méfaits qui y sont associés. OMS, 2000.</w:t>
        <w:br/>
        <w:t>Autres références</w:t>
        <w:br/>
        <w:t>QUI. Genève. Site Internet : Référentiel de données de l'Observatoire mondial de la santé. http://apps.who.int/gho/data/?showonly=GISAH&amp;theme=main</w:t>
        <w:br/>
        <w:t>QUI. Genève. Site Internet : Référentiel de données de l'Observatoire mondial de la santé : Système mondial d'information sur l'alcool et la santé (GISAH). http://www.</w:t>
        <w:br/>
        <w:t>who.int/gho/alcohol/en/</w:t>
        <w:br/>
        <w:t>OMS (2014). Genève. Disponible sur : Rapport de situation mondial sur l'alcool et la santé 2014. http://www.who.int/substance_abuse/publications</w:t>
        <w:br/>
        <w:t xml:space="preserve"> /global_alcohol_report/fr/</w:t>
        <w:br/>
        <w:t xml:space="preserve">Exemples de pays </w:t>
        <w:br/>
        <w:t>N/D</w:t>
        <w:br/>
        <w:t>Ce document a été préparé sur la base des contributions de l'Organisation mondiale de la santé (OMS).</w:t>
        <w:br/>
        <w:t>Pour obtenir des informations sur les points focaux pour cet indicateur, veuillez visiter https://unstats.un.org/sdgs/dataContacts/</w:t>
      </w:r>
    </w:p>
    <w:p>
      <w:pPr>
        <w:pStyle w:val="Heading2"/>
      </w:pPr>
      <w:r>
        <w:t>Page 79</w:t>
      </w:r>
    </w:p>
    <w:p>
      <w:r>
        <w:t>Texte d'en-tête</w:t>
        <w:br/>
        <w:t>Texte de pied de page</w:t>
        <w:br/>
        <w:t>Indicateur 3.6.1</w:t>
        <w:br/>
        <w:t>Page d'accueil du manuel électronique</w:t>
        <w:br/>
        <w:t xml:space="preserve"> </w:t>
        <w:br/>
        <w:t>Nom de l’indicateur, cible et objectif</w:t>
        <w:br/>
        <w:t>Définition et justification</w:t>
        <w:br/>
        <w:t>Contenu</w:t>
        <w:br/>
        <w:t>Nom de l’indicateur, cible et objectif</w:t>
        <w:br/>
        <w:t>Définition et justification</w:t>
        <w:br/>
        <w:t>Sources de données et méthode de collecte</w:t>
        <w:br/>
        <w:t>Méthode de calcul et autres considérations méthodologiques</w:t>
        <w:br/>
        <w:t>Désagrégation des données</w:t>
        <w:br/>
        <w:t>Références</w:t>
        <w:br/>
        <w:t>Organisation(s) internationale(s) de surveillance mondiale</w:t>
        <w:br/>
        <w:t xml:space="preserve"> Indicateur 3.6.1 : Taux de mortalité dû aux accidents de la route</w:t>
        <w:br/>
        <w:t xml:space="preserve">Cible 3.6 : D’ici 2020, réduire de moitié le nombre de décès et de blessés dus aux accidents de la route dans le monde </w:t>
        <w:br/>
        <w:t>Objectif 3 : Garantir une vie saine et promouvoir le bien-être de tous à tout âge</w:t>
      </w:r>
    </w:p>
    <w:p>
      <w:pPr>
        <w:pStyle w:val="Heading2"/>
      </w:pPr>
      <w:r>
        <w:t>Page 80</w:t>
      </w:r>
    </w:p>
    <w:p>
      <w:r>
        <w:t>Texte d'en-tête</w:t>
        <w:br/>
        <w:t>Texte de pied de page</w:t>
        <w:br/>
        <w:t>Sources de données et méthode de collecte</w:t>
        <w:br/>
        <w:t>Définition :</w:t>
        <w:br/>
        <w:t xml:space="preserve">Cet indicateur est défini comme le nombre de décès (décès) dus à des blessures causées par des accidents de la route pour 100 000 habitants. </w:t>
        <w:br/>
        <w:t xml:space="preserve">Concepts : </w:t>
        <w:br/>
        <w:t xml:space="preserve">Route : Voie de communication (voie carrossable) ouverte à la circulation publique, destinée principalement à l'usage des véhicules routiers automobiles, utilisant une base stabilisée autre que </w:t>
        <w:br/>
        <w:t xml:space="preserve">des rails ou des pistes d'atterrissage. Sont incluses les routes pavées et autres routes avec une base stabilisée, par ex. routes de gravier. Les routes couvrent également les rues, les ponts, les tunnels, </w:t>
        <w:br/>
        <w:t>structures de support, carrefours, passages à niveau et échangeurs.</w:t>
        <w:br/>
        <w:t>: Réseau routier Toutes les routes d'une zone donnée.</w:t>
        <w:br/>
        <w:t>Véhicule routier : Véhicule roulant ou tiré sur roues destiné à circuler sur les routes.</w:t>
        <w:br/>
        <w:t xml:space="preserve">Véhicule routier à moteur : Véhicule routier équipé d'un moteur constituant son seul moyen de propulsion, qui est normalement utilisé pour le transport de personnes ou de personnes. </w:t>
        <w:br/>
        <w:t>marchandises, ou pour tirer (sur la route), des véhicules utilisés pour le transport de personnes ou de marchandises.</w:t>
        <w:br/>
        <w:t>Circulation routière : Tout déplacement d'un véhicule routier sur un réseau routier donné.</w:t>
        <w:br/>
        <w:t>Transport routier : Tout mouvement de marchandises et/ou de passagers utilisant un véhicule routier sur un réseau routier donné.</w:t>
        <w:br/>
        <w:t xml:space="preserve">Accident de la route : Collision ou incident impliquant au moins un véhicule routier en mouvement, sur une voie publique ou une voie privée vers laquelle le public a accès. </w:t>
        <w:br/>
        <w:t xml:space="preserve">droit d'accès. Sont inclus : les collisions entre véhicules routiers ; entre les véhicules routiers et les piétons ; entre les véhicules routiers et les animaux ou </w:t>
        <w:br/>
        <w:t xml:space="preserve">obstacles fixes et avec un seul véhicule routier. Sont incluses les collisions entre véhicules routiers et ferroviaires. Les collisions impliquant plusieurs véhicules sont comptées comme </w:t>
        <w:br/>
        <w:t>un seul accident, à condition que les collisions successives se produisent dans un laps de temps très court.</w:t>
        <w:br/>
        <w:t xml:space="preserve">Blessure : Dommage physique survenant lorsqu'un corps humain est soudainement ou brièvement soumis à des niveaux d'énergie intolérables. Il peut s'agir d'une lésion corporelle </w:t>
        <w:br/>
        <w:t>résultant d’une exposition aiguë à une énergie excessive ou d’une altération de la fonction résultant d’un manque d’éléments vitaux.</w:t>
        <w:br/>
        <w:t>Blessure (ou victime) de la route : personne qui a subi un dommage physique (c'est-à-dire une blessure) à la suite d'un accident de la route.</w:t>
        <w:br/>
        <w:t>Usager de la route : personne utilisant n’importe quelle partie du réseau routier en tant qu’utilisateur de transport non motorisé ou motorisé.</w:t>
        <w:br/>
        <w:t xml:space="preserve">Mortalité de la route : Toute personne tuée sur le coup ou décédée dans les 30 jours des suites d'un accident corporel, à l'exclusion des suicides. Pour les pays qui </w:t>
        <w:br/>
        <w:t xml:space="preserve">n'applique pas le seuil de 30 jours, les coefficients de conversion sont estimés de manière à permettre des comparaisons sur la base de la définition de 30 jours. </w:t>
        <w:br/>
        <w:t>fait.</w:t>
        <w:br/>
        <w:t>Accident corporel : Tout accident de la route entraînant au moins une personne blessée ou tuée.</w:t>
        <w:br/>
        <w:t xml:space="preserve">Accident mortel : Tout accident de la route entraînant la mort immédiate d'une personne ou le décès dans les 30 jours des suites de l'accident. </w:t>
        <w:br/>
        <w:t xml:space="preserve">Note de bas de page : Le terme « accident », largement utilisé, peut donner l’impression, probablement involontaire, d’inévitabilité et d’imprévisibilité – un événement </w:t>
        <w:br/>
        <w:t xml:space="preserve">qui ne peut pas être géré. Le terme « crash » est plutôt utilisé pour désigner un événement, ou une série d’événements, se prêtant à une analyse rationnelle et à des mesures correctives. </w:t>
        <w:br/>
        <w:t xml:space="preserve">actions. </w:t>
        <w:br/>
        <w:t>Justification et interprétation :</w:t>
        <w:br/>
        <w:t>On estime actuellement que les accidents de la route sont la huitième cause de décès dans tous les groupes d'âge dans le monde, loin devant le VIH.</w:t>
        <w:br/>
        <w:t>/SIDA qui est aujourd'hui la 14ème cause de décès avec un peu plus d'un million de décès par an.  Ils sont la principale cause de décès chez les jeunes</w:t>
        <w:br/>
        <w:t>personnes âgées de 15 à 29 ans, ce qui pèse lourdement sur ceux qui entrent dans leurs années les plus productives.</w:t>
        <w:br/>
        <w:t xml:space="preserve">Les accidents de la route sont en augmentation, notamment dans les pays à revenu faible ou intermédiaire, où les taux sont deux fois supérieurs à ceux des pays à revenu élevé. C'est </w:t>
        <w:br/>
        <w:t xml:space="preserve">en partie attribuable au taux rapide de motorisation dans de nombreux pays en développement, qui s'est produit sans un investissement concomitant dans les routes. </w:t>
        <w:br/>
        <w:t xml:space="preserve">stratégies de sécurité et aménagement du territoire. Même si les taux de mortalité routière diminuent dans certains pays à revenu élevé, l'augmentation rapide des accidents de la route </w:t>
        <w:br/>
        <w:t xml:space="preserve">Les accidents de la route dans les pays à revenu faible ou intermédiaire ont entraîné une augmentation globale du nombre de morts et de blessés. En effet, les tendances actuelles suggèrent </w:t>
        <w:br/>
        <w:t xml:space="preserve">que les accidents de la route seront nombreux devenir la septième cause de décès d’ici 2030, avec une disparité entre les pays à revenu élevé et à faible revenu </w:t>
        <w:br/>
        <w:t>encore accentué.</w:t>
        <w:br/>
        <w:t xml:space="preserve">Chaque année, la vie de plus de 1,4 million de personnes est interrompue à cause d'un accident de la route. Outre les décès, entre 20 et 50 millions </w:t>
        <w:br/>
        <w:t xml:space="preserve">De plus en plus de personnes souffrent de blessures non mortelles, et nombre d'entre elles deviennent invalides en raison de leur blessure. </w:t>
        <w:br/>
        <w:t xml:space="preserve">Les accidents de la route entraînent des pertes économiques considérables pour les individus, leurs familles et les nations. Ces pertes proviennent du coût de </w:t>
        <w:br/>
        <w:t xml:space="preserve">traitement ainsi qu'une perte de productivité pour les personnes tuées ou handicapées à cause de leurs blessures, et pour les membres de la famille qui doivent s'absenter du travail ou de l'école </w:t>
        <w:br/>
        <w:t>pour soigner les blessés. Les accidents de la route coûtent à la plupart des pays 3 % de leur produit intérieur brut.</w:t>
      </w:r>
    </w:p>
    <w:p>
      <w:pPr>
        <w:pStyle w:val="Heading2"/>
      </w:pPr>
      <w:r>
        <w:t>Page 81</w:t>
      </w:r>
    </w:p>
    <w:p>
      <w:r>
        <w:t>Texte d'en-tête</w:t>
        <w:br/>
        <w:t>Texte de pied de page</w:t>
        <w:br/>
        <w:t>Méthode de calcul et autres considérations méthodologiques</w:t>
        <w:br/>
        <w:t>Les principales sources de données sur les accidents mortels de la route sont :</w:t>
        <w:br/>
        <w:t>Dossiers de police</w:t>
        <w:br/>
        <w:t>Dossiers des établissements de santé</w:t>
        <w:br/>
        <w:t>Actes de décès / état civil</w:t>
        <w:br/>
        <w:t>Dossiers d'assurance</w:t>
        <w:br/>
        <w:t xml:space="preserve">Rapports des médias </w:t>
        <w:br/>
        <w:t xml:space="preserve">Il est important pour un pays de développer et de veiller à ce qu'un système de surveillance fiable soit en place pour la collecte, l'analyse et la diffusion des informations routières. </w:t>
        <w:br/>
        <w:t>données sur les accidents de la route. Le système doit collecter des données sur un ensemble minimum de variables utiles pour l’analyse nationale.</w:t>
        <w:br/>
        <w:t xml:space="preserve">Éléments de données minimaux    </w:t>
        <w:br/>
        <w:t>Lié à un accident Lié à la route Lié au véhicule Lié à la personne</w:t>
        <w:br/>
        <w:t xml:space="preserve">·   Identifiant du crash (numéro de référence unique attribué à </w:t>
        <w:br/>
        <w:t>l'accident, généralement par la police)</w:t>
        <w:br/>
        <w:t xml:space="preserve">·  Type de </w:t>
        <w:br/>
        <w:t>chaussée</w:t>
        <w:br/>
        <w:t>·   Numéro de véhicule ·   ID de la personne</w:t>
        <w:br/>
        <w:t xml:space="preserve">·   Données sur les accidents ·   Route </w:t>
        <w:br/>
        <w:t>classe fonctionnelle</w:t>
        <w:br/>
        <w:t xml:space="preserve">·   Type de véhicule ·   Véhicule de l'occupant </w:t>
        <w:br/>
        <w:t>numéro</w:t>
        <w:br/>
        <w:t xml:space="preserve">·   Temps d'accident ·   Limite de vitesse ·   Marque du véhicule ·   Lié aux piétons </w:t>
        <w:br/>
        <w:t>numéro de véhicule</w:t>
        <w:br/>
        <w:t>·   Commune/lieu de l'accident ·   Obstacles routiers ·   Modèle du véhicule ·   Date de naissance</w:t>
        <w:br/>
        <w:t xml:space="preserve">·   Lieu de l'accident ·   Revêtement de la route </w:t>
        <w:br/>
        <w:t>conditions</w:t>
        <w:br/>
        <w:t>·   Année modèle du véhicule ·   Sexe</w:t>
        <w:br/>
        <w:t>·   Type d'accident ·   Jonction ·   Cylindrée ·   Type d'usager de la route</w:t>
        <w:br/>
        <w:t xml:space="preserve">·   Type d'impact ·   Contrôle du trafic </w:t>
        <w:br/>
        <w:t>à la jonction</w:t>
        <w:br/>
        <w:t>·   Fonction spéciale du véhicule ·   Position assise</w:t>
        <w:br/>
        <w:t xml:space="preserve">·   Conditions météorologiques ·   Courbe de route ·   Manœuvre du véhicule (ce que faisait le véhicule </w:t>
        <w:br/>
        <w:t>au moment de l'accident)</w:t>
        <w:br/>
        <w:t>·   Gravité des blessures</w:t>
        <w:br/>
        <w:t xml:space="preserve">·   Conditions d'éclairage ·   Segment de route </w:t>
        <w:br/>
        <w:t>note</w:t>
        <w:br/>
        <w:t xml:space="preserve">  ·   Équipement de sécurité</w:t>
        <w:br/>
        <w:t>·   Gravité de l'accident    ·   Manœuvre des piétons</w:t>
        <w:br/>
        <w:t xml:space="preserve">      ·   Consommation d'alcool suspectée</w:t>
        <w:br/>
        <w:t xml:space="preserve">      ·   Test d'alcoolémie</w:t>
        <w:br/>
        <w:t xml:space="preserve">      ·   Consommation de drogues</w:t>
        <w:br/>
        <w:t xml:space="preserve">      ·   Problème de permis de conduire </w:t>
        <w:br/>
        <w:t>rendez-vous</w:t>
        <w:br/>
        <w:t xml:space="preserve">      ·   Âge</w:t>
        <w:br/>
        <w:t>Méthode de calcul :</w:t>
        <w:br/>
        <w:t>La formule suivante est utilisée pour calculer cet indicateur :</w:t>
        <w:br/>
        <w:t xml:space="preserve"> </w:t>
        <w:br/>
        <w:t xml:space="preserve">Dans les cas où les données sous-jacentes sont incomplètes ou indisponibles, les organisations internationales comme l’OMS modélisent la valeur de cet indicateur en utilisant diverses </w:t>
        <w:br/>
        <w:t xml:space="preserve">méthodes d’estimation. La méthode utilisée dépend du niveau de couverture des données d’enregistrement des décès et de la population du pays. Pour plus loin </w:t>
        <w:br/>
        <w:t>pour plus d'informations sur les méthodes, voir page 70 de http://who.int/violence_injury_prevention/road_safety_status/2015/en/</w:t>
        <w:br/>
        <w:t>Commentaires et limites :</w:t>
        <w:br/>
        <w:t xml:space="preserve">Les résultats peuvent varier en fonction des différences dans les données utilisées pour la population et selon qu'elles proviennent de données nationales ou d'estimations produites par le </w:t>
        <w:br/>
        <w:t xml:space="preserve">Département de la population de l'ONU. </w:t>
        <w:br/>
        <w:t xml:space="preserve">De nombreux pays ne disposent pas de données d’état civil, auquel cas des enquêtes sont utilisées pour les estimations. Il faut donc faire attention lorsque </w:t>
        <w:br/>
        <w:t xml:space="preserve">comparer entre les pays. </w:t>
        <w:br/>
        <w:t>Indicateurs proxy, alternatifs et supplémentaires : N/A</w:t>
      </w:r>
    </w:p>
    <w:p>
      <w:pPr>
        <w:pStyle w:val="Heading2"/>
      </w:pPr>
      <w:r>
        <w:t>Page 82</w:t>
      </w:r>
    </w:p>
    <w:p>
      <w:r>
        <w:t>Texte d'en-tête</w:t>
        <w:br/>
        <w:t>Texte de pied de page</w:t>
        <w:br/>
        <w:t>Désagrégation des données</w:t>
        <w:br/>
        <w:t>Références</w:t>
        <w:br/>
        <w:t>Organisation(s) internationale(s) de surveillance mondiale</w:t>
        <w:br/>
        <w:t xml:space="preserve">Cet indicateur ne révèle pas grand-chose lorsqu’il s’agit d’un chiffre global. Il est donc important de le ventiler selon des dimensions qui peuvent être </w:t>
        <w:br/>
        <w:t xml:space="preserve">facilement interprété et utilisé pour sensibiliser et plaider en faveur de l’action. Les principales dimensions de ventilation sont les usagers de la route, l’âge, le sexe et </w:t>
        <w:br/>
        <w:t xml:space="preserve">groupes de revenus des pays. Par exemple, la ventilation par usagers de la route révèle comment les décès sur la route varient selon les différents usagers de la route dans différentes régions. </w:t>
        <w:br/>
        <w:t xml:space="preserve">régions telles que les piétons, les cyclistes, les 2 ou 3 roues, les passagers et les conducteurs de bus. La ventilation par âge montrera quels groupes d'âge sont les plus </w:t>
        <w:br/>
        <w:t xml:space="preserve">ou moins touchés par les décès sur les routes. L'examen des variations selon le sexe révèle l'impact des décès dus aux accidents de la route chez les hommes et les femmes. Par exemple, </w:t>
        <w:br/>
        <w:t xml:space="preserve">les décès chez les hommes sont trois fois plus élevés que chez les femmes. L’examen des groupes de pays à revenus révèlera dans quelle mesure les pays à revenus faibles, moyens et </w:t>
        <w:br/>
        <w:t xml:space="preserve">Les pays à revenu élevé sont touchés par les décès sur les routes.  Quatre-vingt-dix pour cent des décès sur les routes surviennent dans les pays à revenu faible ou intermédiaire, et </w:t>
        <w:br/>
        <w:t>alors que ces pays représentent également 82 % de la population mondiale.</w:t>
        <w:br/>
        <w:t>URL officielle des métadonnées ODD</w:t>
        <w:br/>
        <w:t xml:space="preserve">https://unstats.un.org/sdgs/metadata/files/Metadata-03-06-01.pdf  </w:t>
        <w:br/>
        <w:t>Méthodologie reconnue au niveau international et URL des lignes directrices</w:t>
        <w:br/>
        <w:t>QUI. Systèmes de données : un manuel de sécurité routière destiné aux décideurs et aux praticiens, disponible sur http://www.who.int/roadsafety/projects/manuals/data</w:t>
        <w:br/>
        <w:t xml:space="preserve"> /fr/</w:t>
        <w:br/>
        <w:t>OMS (2004).  Rapport mondial sur la prévention des accidents de la route.</w:t>
        <w:br/>
        <w:t>OMS (2015). Genève. Disponible sur : Rapport de situation mondial sur la sécurité routière 2015. http://www.who.int/violence_injury_prevention/road_safety_status</w:t>
        <w:br/>
        <w:t xml:space="preserve"> /2015/fr/</w:t>
        <w:br/>
        <w:t>Autres références</w:t>
        <w:br/>
        <w:t xml:space="preserve">http://www.who.int/violence_injury_prevention/road_traffic/en/ </w:t>
        <w:br/>
        <w:t xml:space="preserve">Exemples de pays </w:t>
        <w:br/>
        <w:t>N/D</w:t>
        <w:br/>
        <w:t>Ce document a été préparé sur la base des contributions de l'Organisation mondiale de la santé (OMS).</w:t>
        <w:br/>
        <w:t>Pour obtenir des informations sur les points focaux pour cet indicateur, veuillez visiter https://unstats.un.org/sdgs/dataContacts/</w:t>
      </w:r>
    </w:p>
    <w:p>
      <w:pPr>
        <w:pStyle w:val="Heading2"/>
      </w:pPr>
      <w:r>
        <w:t>Page 83</w:t>
      </w:r>
    </w:p>
    <w:p>
      <w:r>
        <w:t>Texte d'en-tête</w:t>
        <w:br/>
        <w:t>Texte de pied de page</w:t>
        <w:br/>
        <w:t>Indicateur 3.7.1</w:t>
        <w:br/>
        <w:t>Page d'accueil du manuel électronique</w:t>
        <w:br/>
        <w:t xml:space="preserve"> </w:t>
        <w:br/>
        <w:t>Nom de l’indicateur, cible et objectif</w:t>
        <w:br/>
        <w:t>Définition et justification</w:t>
        <w:br/>
        <w:t>Sources de données et méthode de collecte</w:t>
        <w:br/>
        <w:t>Méthode de calcul et autres considérations méthodologiques</w:t>
        <w:br/>
        <w:t>Contenu</w:t>
        <w:br/>
        <w:t>Nom de l’indicateur, cible et objectif</w:t>
        <w:br/>
        <w:t>Définition et justification</w:t>
        <w:br/>
        <w:t>Sources de données et méthode de collecte</w:t>
        <w:br/>
        <w:t>Méthode de calcul et autres considérations méthodologiques</w:t>
        <w:br/>
        <w:t>Désagrégation des données</w:t>
        <w:br/>
        <w:t>Références</w:t>
        <w:br/>
        <w:t>Organisation(s) internationale(s) de surveillance mondiale</w:t>
        <w:br/>
        <w:t xml:space="preserve"> Indicateur 3.7.1 : Proportion de femmes en âge de procréer (âgées de 15 à 49 ans) dont les besoins en matière de planification familiale sont satisfaits par des moyens modernes </w:t>
        <w:br/>
        <w:t>méthodes</w:t>
        <w:br/>
        <w:t xml:space="preserve">Cible 3.7 : D’ici 2030, garantir l’accès universel aux services de soins de santé sexuelle et reproductive, notamment en matière de planification familiale, d’information et de </w:t>
        <w:br/>
        <w:t xml:space="preserve">l’éducation et l’intégration de la santé reproductive dans les stratégies et programmes nationaux </w:t>
        <w:br/>
        <w:t>Objectif 3 : Garantir une vie saine et promouvoir le bien-être de tous à tout âge</w:t>
        <w:br/>
        <w:t>Définition :</w:t>
        <w:br/>
        <w:t xml:space="preserve">Cet indicateur est défini comme le pourcentage de femmes en âge de procréer (15-49 ans) qui souhaitent soit ne pas avoir d'enfants (supplémentaires), soit avoir un enfant. </w:t>
        <w:br/>
        <w:t xml:space="preserve">reporter le prochain enfant et qui utilisent actuellement une méthode contraceptive moderne. </w:t>
        <w:br/>
        <w:t xml:space="preserve">Concepts : </w:t>
        <w:br/>
        <w:t xml:space="preserve">Le pourcentage de femmes en âge de procréer (15-49 ans) dont les besoins en matière de planification familiale sont satisfaits par des méthodes modernes est également </w:t>
        <w:br/>
        <w:t xml:space="preserve">On parle ici de la proportion de la demande de planification familiale satisfaite par les méthodes modernes. Les composantes de l'indicateur sont contraceptives </w:t>
        <w:br/>
        <w:t xml:space="preserve">prévalence (toute méthode et méthodes modernes) et besoin non satisfait en matière de planification familiale. </w:t>
        <w:br/>
        <w:t xml:space="preserve">La prévalence contraceptive est le pourcentage de femmes qui utilisent actuellement, ou dont le partenaire sexuel utilise actuellement, au moins une méthode de contraception. </w:t>
        <w:br/>
        <w:t xml:space="preserve">contraception, quelle que soit la méthode utilisée. Les besoins non satisfaits en matière de planification familiale sont définis comme le pourcentage de femmes en âge de procréer, soit </w:t>
        <w:br/>
        <w:t xml:space="preserve">mariées ou en union, qui souhaitent arrêter ou retarder leur grossesse mais n'utilisent aucune méthode de contraception. </w:t>
        <w:br/>
        <w:t xml:space="preserve">Les méthodes contraceptives modernes comprennent la stérilisation, le dispositif intra-utérin (DIU), l'implant, les injectables, les pilules contraceptives orales, les préservatifs, </w:t>
        <w:br/>
        <w:t xml:space="preserve">méthodes de barrière vaginale (y compris le diaphragme, la cape cervicale et la mousse spermicide, la gelée, la crème et l'éponge), méthode de l'aménorrhée lactationnelle </w:t>
        <w:br/>
        <w:t xml:space="preserve">(MAMA), la contraception d'urgence et d'autres méthodes modernes non déclarées séparément (par exemple, le timbre contraceptif ou l'anneau vaginal). traditionnel </w:t>
        <w:br/>
        <w:t xml:space="preserve">les méthodes contraceptives incluent le rythme (par exemple, les méthodes basées sur la connaissance de la fécondité, l'abstinence périodique), le retrait et d'autres méthodes traditionnelles </w:t>
        <w:br/>
        <w:t xml:space="preserve">pas déclaré séparément. </w:t>
        <w:br/>
        <w:t>Justification et interprétation :</w:t>
        <w:br/>
        <w:t xml:space="preserve">La proportion de la demande de planification familiale satisfaite par les méthodes modernes est utile pour évaluer les niveaux globaux de couverture de la planification familiale. </w:t>
        <w:br/>
        <w:t xml:space="preserve">programmes et services. L'accès et l'utilisation de moyens efficaces de prévention de la grossesse permettent aux femmes et à leurs partenaires de faire de l'exercice. </w:t>
        <w:br/>
        <w:t xml:space="preserve">leurs droits de décider librement et de manière responsable du nombre et de l'espacement de leurs enfants et de disposer de l'information, de l'éducation et des moyens nécessaires pour ce faire. </w:t>
        <w:br/>
        <w:t xml:space="preserve">Répondre à la demande de planification familiale avec des méthodes modernes contribue également à la santé maternelle et infantile en prévenant les grossesses non désirées. </w:t>
        <w:br/>
        <w:t xml:space="preserve">et les grossesses rapprochées, qui présentent un risque plus élevé de mauvais résultats obstétricaux. Niveaux de demande de planification familiale satisfaits </w:t>
        <w:br/>
        <w:t>les méthodes modernes de 75 pour cent ou plus sont généralement considérées comme élevées, et les valeurs de 50 pour cent ou moins sont généralement considérées comme très faibles.</w:t>
        <w:br/>
        <w:t xml:space="preserve">Les données utilisées pour calculer cet indicateur proviennent de données d’enquêtes auprès des ménages représentatives au niveau national. Des programmes d'enquête multi-pays qui </w:t>
        <w:br/>
        <w:t xml:space="preserve">Les données pertinentes pour cet indicateur sont : les enquêtes sur la prévalence de la contraception (CPS), les enquêtes démographiques et de santé (EDS), la fécondité et </w:t>
        <w:br/>
        <w:t xml:space="preserve">Enquêtes familiales (FFS), enquêtes sur la santé reproductive (RHS), enquêtes en grappes à indicateurs multiples (MICS), suivi des performances et </w:t>
        <w:br/>
        <w:t>Enquêtes Accountability 2020 (PMA), Enquêtes mondiales sur la fécondité (WFS), autres programmes d'enquêtes internationaux et enquêtes nationales.</w:t>
      </w:r>
    </w:p>
    <w:p>
      <w:pPr>
        <w:pStyle w:val="Heading2"/>
      </w:pPr>
      <w:r>
        <w:t>Page 84</w:t>
      </w:r>
    </w:p>
    <w:p>
      <w:r>
        <w:t>Texte d'en-tête</w:t>
        <w:br/>
        <w:t>Texte de pied de page</w:t>
        <w:br/>
        <w:t>Désagrégation des données</w:t>
        <w:br/>
        <w:t>Références</w:t>
        <w:br/>
        <w:t xml:space="preserve">Méthode de calcul : </w:t>
        <w:br/>
        <w:t xml:space="preserve">Le numérateur est le pourcentage de femmes en âge de procréer (15-49 ans) qui consomment actuellement ou dont le partenaire sexuel est actuellement </w:t>
        <w:br/>
        <w:t xml:space="preserve">utilisant au moins une méthode contraceptive moderne. Le dénominateur est la demande totale de planification familiale (la somme de la prévalence contraceptive </w:t>
        <w:br/>
        <w:t xml:space="preserve">(toute méthode) et besoin non satisfait en matière de planification familiale). Les estimations concernent les femmes mariées ou en union. </w:t>
        <w:br/>
        <w:t xml:space="preserve">La formule générale suivante peut être utilisée pour calculer la proportion de femmes en âge de procréer (15-49 ans) qui ont besoin d'une famille. </w:t>
        <w:br/>
        <w:t>planification satisfaite des méthodes modernes : (W)</w:t>
        <w:br/>
        <w:t>Commentaires et limites :</w:t>
        <w:br/>
        <w:t xml:space="preserve">Différences dans la conception et la mise en œuvre de l’enquête, ainsi que dans la manière dont les questionnaires d’enquête sont formulés et administrés </w:t>
        <w:br/>
        <w:t xml:space="preserve">peut affecter la comparabilité des données. Les différences les plus courantes concernent la gamme de méthodes contraceptives incluses et la </w:t>
        <w:br/>
        <w:t xml:space="preserve">caractéristiques (âge, sexe, situation matrimoniale ou syndicale) des personnes pour lesquelles la prévalence contraceptive est estimée (population de base) et dans la </w:t>
        <w:br/>
        <w:t xml:space="preserve">calcul des besoins non satisfaits en matière de planification familiale. </w:t>
        <w:br/>
        <w:t xml:space="preserve">La période utilisée pour évaluer la prévalence contraceptive peut également varier. Dans la plupart des enquêtes, il n’existe aucune définition de ce que l’on entend par « actuellement ». </w:t>
        <w:br/>
        <w:t xml:space="preserve">en utilisant »une méthode de contraception. Dans certaines enquêtes, le manque de questions approfondies, posées pour s'assurer que le répondant comprend le sens </w:t>
        <w:br/>
        <w:t xml:space="preserve">des différentes méthodes contraceptives, peut conduire à une sous-estimation de la prévalence contraceptive, en particulier pour les méthodes traditionnelles. </w:t>
        <w:br/>
        <w:t xml:space="preserve">La variabilité de l'échantillonnage peut également poser problème, en particulier lorsque la prévalence contraceptive est mesurée pour un sous-groupe spécifique (selon la méthode, </w:t>
        <w:br/>
        <w:t>tranche d’âge, niveau d’éducation atteint, lieu de résidence, etc.) ou lors de l’analyse des tendances au fil du temps.</w:t>
        <w:br/>
        <w:t>Indicateurs proxy, alternatifs et supplémentaires : N/A</w:t>
        <w:br/>
        <w:t xml:space="preserve">Les dimensions pertinentes pour la ventilation comprennent : l'âge, la situation géographique, l'état civil, le statut socio-économique et d'autres catégories, selon </w:t>
        <w:br/>
        <w:t>sur la source des données et le nombre d’observations.</w:t>
      </w:r>
    </w:p>
    <w:p>
      <w:pPr>
        <w:pStyle w:val="Heading2"/>
      </w:pPr>
      <w:r>
        <w:t>Page 85</w:t>
      </w:r>
    </w:p>
    <w:p>
      <w:r>
        <w:t>Texte d'en-tête</w:t>
        <w:br/>
        <w:t>Texte de pied de page</w:t>
        <w:br/>
        <w:t>Organisation(s) internationale(s) de surveillance mondiale</w:t>
        <w:br/>
        <w:t>URL officielle des métadonnées ODD</w:t>
        <w:br/>
        <w:t xml:space="preserve">https://unstats.un.org/sdgs/metadata/files/Metadata-03-07-01.pdf  </w:t>
        <w:br/>
        <w:t>Méthodologie reconnue au niveau international et URL des lignes directrices</w:t>
        <w:br/>
        <w:t xml:space="preserve">http://www.un.org/en/development/desa/population/  </w:t>
        <w:br/>
        <w:t>Autres références</w:t>
        <w:br/>
        <w:t>Nations Unies, Département des affaires économiques et sociales, Division de la population (2018).   Disponible sur : Utilisation mondiale des contraceptifs 2018. http://www.</w:t>
        <w:br/>
        <w:t xml:space="preserve"> un.org/en/development/desa/population/publications/dataset/contraception/wcu2017wcu2018.shtml</w:t>
        <w:br/>
        <w:t xml:space="preserve">Nations Unies, Département des affaires économiques et sociales, Division de la population (2018). Utilisation mondiale de contraceptifs selon le statut d'Amrital et l'âge </w:t>
        <w:br/>
        <w:t xml:space="preserve"> Disponible sur : 2018. http://www.un.org/en/development/desa/population/publications/dataset/contraception/wcuma2018.shtml</w:t>
        <w:br/>
        <w:t xml:space="preserve">Alkema, LA et. al (2013). Taux et tendances nationaux, régionaux et mondiaux en matière de prévalence contraceptive et de besoins non satisfaits en matière de planification familiale entre </w:t>
        <w:br/>
        <w:t xml:space="preserve"> The Lancet, Volume 381, Numéro 9878, pages 1642-1652. Disponible sur : 1990 et 2015 : Une analyse systématique et complète. http://www.un.org</w:t>
        <w:br/>
        <w:t xml:space="preserve"> /fr/development/desa/population/theme/family-planning/index.shtml</w:t>
        <w:br/>
        <w:t>Bradley et. al. (2012). ICF International. Maryland. Disponible sur : Révision des besoins non satisfaits en matière de planification familiale. Études analytiques DHS n° 25. https://</w:t>
        <w:br/>
        <w:t>dhsprogram.com/pubs/pdf/AS25/AS25%5b12June2012%5d.pdf</w:t>
        <w:br/>
        <w:t>Nations Unies. New York. Disponible à l'adresse : Manuel sur les indicateurs de suivi des objectifs du Millénaire pour le développement. http://mdgs.un.org/unsd/mi</w:t>
        <w:br/>
        <w:t>/wiki/MainPage.ashx</w:t>
        <w:br/>
        <w:t>Suivi des progrès en matière de planification familiale. Indicateurs de base de FP2020. Glastonbury (CT) : Track20 http://www.track20.org/pages/data_analysis</w:t>
        <w:br/>
        <w:t>/core_indicators/overview.php</w:t>
        <w:br/>
        <w:t>OMS (2011). . Genève. Disponible sur : Surveillance de la santé maternelle, néonatale et infantile : compréhension des indicateurs de progrès clés http://www.who.int</w:t>
        <w:br/>
        <w:t>/entity/healthmetrics/news/monitoring_maternal_newborn_child_health.pdf</w:t>
        <w:br/>
        <w:t>OMS (2015). . Genève. Disponible sur : Liste mondiale de référence de 100 indicateurs de santé de base, 2015 : Métadonnées http://www.who.int/healthinfo/indicators</w:t>
        <w:br/>
        <w:t xml:space="preserve"> /2015/chi_2015_74_family_planning.pdf?ua=1</w:t>
        <w:br/>
        <w:t xml:space="preserve">Exemples de pays </w:t>
        <w:br/>
        <w:t>N/D</w:t>
        <w:br/>
        <w:t>Ce document a été préparé sur la base des contributions de la Division de la population du Département des affaires économiques et sociales (DESA).</w:t>
        <w:br/>
        <w:t>Pour obtenir des informations sur les points focaux pour cet indicateur, veuillez visiter https://unstats.un.org/sdgs/dataContacts/</w:t>
      </w:r>
    </w:p>
    <w:p>
      <w:pPr>
        <w:pStyle w:val="Heading2"/>
      </w:pPr>
      <w:r>
        <w:t>Page 86</w:t>
      </w:r>
    </w:p>
    <w:p>
      <w:r>
        <w:t>Texte d'en-tête</w:t>
        <w:br/>
        <w:t>Texte de pied de page</w:t>
        <w:br/>
        <w:t>Indicateur 3.7.2</w:t>
        <w:br/>
        <w:t>Page d'accueil du manuel électronique</w:t>
        <w:br/>
        <w:t xml:space="preserve"> </w:t>
        <w:br/>
        <w:t>Nom de l’indicateur, cible et objectif</w:t>
        <w:br/>
        <w:t>Définition et justification</w:t>
        <w:br/>
        <w:t>Sources de données et méthode de collecte</w:t>
        <w:br/>
        <w:t>Contenu</w:t>
        <w:br/>
        <w:t>Nom de l’indicateur, cible et objectif</w:t>
        <w:br/>
        <w:t>Définition et justification</w:t>
        <w:br/>
        <w:t>Sources de données et méthode de collecte</w:t>
        <w:br/>
        <w:t>Méthode de calcul et autres considérations méthodologiques</w:t>
        <w:br/>
        <w:t>Désagrégation des données</w:t>
        <w:br/>
        <w:t>Références</w:t>
        <w:br/>
        <w:t>Organisation(s) internationale(s) de surveillance mondiale</w:t>
        <w:br/>
        <w:t xml:space="preserve"> Indicateur 3.7.2 : Taux de natalité des adolescentes (âgées de 10 à 14 ans ; âgées de 15 à 19 ans) pour 1 000 femmes de ce groupe d'âge</w:t>
        <w:br/>
        <w:t xml:space="preserve">Cible 3.7 : D’ici 2030, garantir l’accès universel aux services de soins de santé sexuelle et reproductive, notamment en matière de planification familiale, d’information et de </w:t>
        <w:br/>
        <w:t>l’éducation et l’intégration de la santé reproductive dans les stratégies et programmes nationaux</w:t>
        <w:br/>
        <w:t>Objectif 3 : Garantir une vie saine et promouvoir le bien-être de tous à tout âge</w:t>
        <w:br/>
        <w:t>Définition :</w:t>
        <w:br/>
        <w:t xml:space="preserve">Cet indicateur est défini comme le nombre annuel de naissances chez les femmes des groupes d'âge 10-14 ou 15-19 pour 1 000 femmes dans le groupe d'âge concerné. </w:t>
        <w:br/>
        <w:t>Concepts :</w:t>
        <w:br/>
        <w:t xml:space="preserve">La naissance vivante est définie comme l'expulsion ou l'extraction complète de sa mère d'un produit de conception, quelle que soit la durée de la naissance. </w:t>
        <w:br/>
        <w:t xml:space="preserve">grossesse, qui, après une telle séparation, respire ou montre toute autre preuve de vie - par ex. battements du cœur, pulsation du cordon ombilical ou </w:t>
        <w:br/>
        <w:t xml:space="preserve">mouvement défini des muscles volontaires, que le cordon ombilical ait été coupé ou non ou que le placenta soit attaché. Chaque produit d'une telle naissance </w:t>
        <w:br/>
        <w:t xml:space="preserve">est considéré comme né vivant (OMS, 2018).  Le nombre total de naissances vivantes est alors le nombre total de naissances hors mortinaissances.  </w:t>
        <w:br/>
        <w:t>Justification et interprétation :</w:t>
        <w:br/>
        <w:t xml:space="preserve">La réduction des grossesses et des taux de natalité des adolescentes est une priorité importante pour de nombreux gouvernements (Nations Unies, 1994 ; Nations Unies). </w:t>
        <w:br/>
        <w:t xml:space="preserve">Nations, 2013).  La procréation chez les adolescentes est associée à un large éventail de risques pour les jeunes mères. Les femmes qui tombent enceintes et donnent </w:t>
        <w:br/>
        <w:t xml:space="preserve">les naissances très précoces dans leur vie ainsi que leurs nouveau-nés sont soumis à des risques sanitaires élevés (Nove et al., 2014 ; OMS, 2014). Particulièrement dans </w:t>
        <w:br/>
        <w:t xml:space="preserve">Dans les pays à revenu faible ou intermédiaire, le risque de décès des nourrissons nés de mères adolescentes est environ 50 pour cent plus élevé que le risque de décès des enfants. </w:t>
        <w:br/>
        <w:t xml:space="preserve">nouveau-nés de mères âgées de 20 à 29 ans (OMS, 2014).  Les grossesses adolescentes sont étroitement liées aux avortements à risque, une cause souvent de problèmes maternels. </w:t>
        <w:br/>
        <w:t xml:space="preserve">les décès et les problèmes de santé persistants en sont souvent la cause. Les jeunes femmes sont particulièrement vulnérables car elles sont plus susceptibles que les femmes plus âgées de </w:t>
        <w:br/>
        <w:t xml:space="preserve">subir des avortements tardifs (Lim et al., 2012) et subir des avortements répétés (Collier, 2009).  Outre les risques pour la santé de la mère et de l'enfant, </w:t>
        <w:br/>
        <w:t xml:space="preserve">la grossesse chez les adolescentes réduit les opportunités de développement socio-économique des jeunes filles, les obligeant à interrompre ou à interrompre leur </w:t>
        <w:br/>
        <w:t xml:space="preserve">l'éducation, les privant d'une éducation avancée, d'opportunités d'emploi sûres, conduisant dans de nombreux cas à une baisse des revenus futurs, la perpétuation de </w:t>
        <w:br/>
        <w:t xml:space="preserve">cycles de pauvreté, exclusion sociale et politique (Nations Unies, 2013).  Il est donc important de prévenir les naissances très tôt dans la vie d’une femme. </w:t>
        <w:br/>
        <w:t>mesure visant à fournir aux jeunes femmes une éducation adéquate et des opportunités tout au long de leur vie, à améliorer la santé maternelle et à réduire la mortalité infantile.</w:t>
      </w:r>
    </w:p>
    <w:p>
      <w:pPr>
        <w:pStyle w:val="Heading2"/>
      </w:pPr>
      <w:r>
        <w:t>Page 87</w:t>
      </w:r>
    </w:p>
    <w:p>
      <w:r>
        <w:t>Texte d'en-tête</w:t>
        <w:br/>
        <w:t>Texte de pied de page</w:t>
        <w:br/>
        <w:t>Méthode de calcul et autres considérations méthodologiques</w:t>
        <w:br/>
        <w:t xml:space="preserve">Les meilleures estimations des taux de fécondité et de natalité des adolescentes en particulier sont obtenues à partir d'un système d'état civil universel et efficace. </w:t>
        <w:br/>
        <w:t xml:space="preserve">système de statistiques (Nations Unies, 2014). Dans un tel système, toutes les naissances sont enregistrées peu de temps après leur apparition et un acte de naissance est délivré pour </w:t>
        <w:br/>
        <w:t xml:space="preserve">chaque enfant né. Les informations contenues dans les actes de naissance sont ensuite utilisées pour la production de statistiques de l'état civil. Les expositions de la population nécessaires pour </w:t>
        <w:br/>
        <w:t xml:space="preserve">les calculs des taux de fécondité sont basés sur des estimations annuelles de la population, dérivées de la population par âge et par sexe recensée dans </w:t>
        <w:br/>
        <w:t xml:space="preserve">recensements de population, naissances, décès et migrations pour les périodes intercensitaires ou postcensitaires. Dans les pays disposant de registres de population opérationnels </w:t>
        <w:br/>
        <w:t xml:space="preserve">les recensements de population ne sont pas effectués régulièrement, car les statistiques de ces pays reposent sur la collecte continue d'informations sur les deux </w:t>
        <w:br/>
        <w:t xml:space="preserve">population et événements démographiques. Dans ces pays, les estimations annuelles de la population sont basées sur les données enregistrées dans les registres de population. </w:t>
        <w:br/>
        <w:t xml:space="preserve">La qualité des estimations dépend de l’exactitude des informations recueillies sur les naissances et de l’exactitude des estimations démographiques. L'un des </w:t>
        <w:br/>
        <w:t xml:space="preserve">la principale source d’erreur est la couverture incomplète de l’enregistrement des naissances ou des statistiques démographiques.  Les registres de population ont tendance à produire une population </w:t>
        <w:br/>
        <w:t xml:space="preserve">données de meilleure qualité et précision que les recensements de population. Néanmoins, les estimations de population basées sur les registres pourraient encore être affectées par </w:t>
        <w:br/>
        <w:t xml:space="preserve">des données inexactes et incomplètes sur les migrations internationales.  Lorsque les systèmes d'enregistrement de l'état civil ne parviennent pas à enregistrer toutes les naissances ayant lieu au cours d'une période donnée </w:t>
        <w:br/>
        <w:t xml:space="preserve">Pendant une période donnée, ou si les recensements de la population ne parviennent pas à dénombrer chaque individu, leur couverture est dite incomplète. Utiliser des données incomplètes pour </w:t>
        <w:br/>
        <w:t xml:space="preserve">produire des estimations de fécondité nécessite d’ajuster les estimations des naissances et de la population. Dans le cas des recensements de population, la population ajustée </w:t>
        <w:br/>
        <w:t xml:space="preserve">les estimations sont généralement produites en menant une enquête post-censitaire.  En outre, la couverture et l'exhaustivité de l'état civil sont souvent </w:t>
        <w:br/>
        <w:t xml:space="preserve">évaluées par une approche de double enregistrement ou en utilisant d’autres sources d’informations sur les faits d’état civil.  Des comptes rendus plus détaillés des méthodes pour </w:t>
        <w:br/>
        <w:t xml:space="preserve">l'évaluation de la qualité des statistiques démographiques et de l'état civil sont données dans Preston et al. (2001), Bogue et al. (1993), Shryock, Siegel et </w:t>
        <w:br/>
        <w:t xml:space="preserve">Associés (1980). Moriyama (1990) décrit un ensemble de méthodes historiquement utilisées pour évaluer la qualité des statistiques démographiques et de l'état civil dans le pays. </w:t>
        <w:br/>
        <w:t xml:space="preserve">États-Unis. </w:t>
        <w:br/>
        <w:t>Dans les pays où l'état civil est incomplet, les principales sources d'informations sur les niveaux et les tendances de la fécondité sont les recensements de la population et les enquêtes nationales.</w:t>
        <w:br/>
        <w:t xml:space="preserve">enquêtes représentatives auprès des ménages. </w:t>
        <w:br/>
        <w:t xml:space="preserve">La rareté des recensements (généralement tous les 10 ans) constitue l’une de leurs principales limites : elle est souvent inadaptée aux besoins des populations. </w:t>
        <w:br/>
        <w:t xml:space="preserve">gestion et suivi des programmes de population et de développement.  Un mécanisme de collecte plus flexible et bien moins coûteux </w:t>
        <w:br/>
        <w:t xml:space="preserve">les données sur la fécondité sont des enquêtes par sondage auprès des ménages. En raison de la taille réduite des échantillons, les données sur la fécondité peuvent être collectées plus fréquemment et les questions </w:t>
        <w:br/>
        <w:t xml:space="preserve">peuvent être plus détaillés et ciblés que les recensements de population. Les histoires complètes des naissances sont devenues la principale source d’estimation des naissances. </w:t>
        <w:br/>
        <w:t xml:space="preserve">niveaux et tendances de fécondité dans les pays dépourvus de systèmes d’enregistrement et de statistiques de l’état civil qui fonctionnent bien.  Un historique des naissances enregistre chaque naissance vivante </w:t>
        <w:br/>
        <w:t xml:space="preserve">enfant qu’une femme a eu, le sexe de l’enfant, sa date de naissance et, si l’enfant est décédé, la date du décès.  Les histoires complètes de naissance ont été régulièrement collectées </w:t>
        <w:br/>
        <w:t xml:space="preserve">à commencer par l’Enquête mondiale sur la fécondité à la fin des années 1970.  Le calcul direct des taux de fécondité à partir des historiques de naissance est bien documenté dans Croft </w:t>
        <w:br/>
        <w:t xml:space="preserve">(1991) et Rutstein et Rojas (2006). </w:t>
        <w:br/>
        <w:t xml:space="preserve">Quelques exemples d'enquêtes pertinentes et coordonnées au niveau international sont les enquêtes démographiques et de santé (EDS), l'enquête sur la santé reproductive. </w:t>
        <w:br/>
        <w:t xml:space="preserve">Les enquêtes (ERS) et les multiples Enquêtes par grappes d'indicateurs (MICS). Des exemples d'enquêtes nationales sont les enquêtes européennes sur la fécondité et la famille. </w:t>
        <w:br/>
        <w:t>(FFS) ou le Projet panarabe pour la santé familiale (PAPFAM).</w:t>
      </w:r>
    </w:p>
    <w:p>
      <w:pPr>
        <w:pStyle w:val="Heading2"/>
      </w:pPr>
      <w:r>
        <w:t>Page 88</w:t>
      </w:r>
    </w:p>
    <w:p>
      <w:r>
        <w:t>Texte d'en-tête</w:t>
        <w:br/>
        <w:t>Texte de pied de page</w:t>
        <w:br/>
        <w:t>Désagrégation des données</w:t>
        <w:br/>
        <w:t>Références</w:t>
        <w:br/>
        <w:t>Méthode de calcul :</w:t>
        <w:br/>
        <w:t xml:space="preserve">Le suivi de cet indicateur nécessite le suivi de deux taux : (1) le taux de fécondité par âge pour les mères âgées de 10 à 14 ans et (2) le taux de fécondité par âge pour les mères âgées de 10 à 14 ans. </w:t>
        <w:br/>
        <w:t>mères âgées de 15 à 19 ans.  Un taux de fécondité par âge est défini comme le rapport entre le nombre annuel de naissances vivantes de mères d'un certain intervalle d'âge et le nombre annuel de naissances vivantes de mères d'un certain intervalle d'âge.</w:t>
        <w:br/>
        <w:t xml:space="preserve">années vécues (ou expositions de la population) par les femmes de cet intervalle d’âge (Preston et autres, 2001).  Le taux de fécondité par âge des mères âgées </w:t>
        <w:br/>
        <w:t>10-14 est alors défini comme</w:t>
        <w:br/>
        <w:t xml:space="preserve"> </w:t>
        <w:br/>
        <w:t xml:space="preserve">De même, le taux de fécondité par âge pour les mères âgées de 10 à 15 ans est alors défini comme suit : </w:t>
        <w:br/>
        <w:t xml:space="preserve">Les deux taux pourraient être calculés pour une seule année civile et pour des périodes plus longues. </w:t>
        <w:br/>
        <w:t>Commentaires et limites :</w:t>
        <w:br/>
        <w:t xml:space="preserve">Les divergences entre les sources de données au niveau des pays sont fréquentes et le niveau du taux de natalité des adolescentes dépend en partie de la </w:t>
        <w:br/>
        <w:t xml:space="preserve">source des données sélectionnées. Pour l'état civil, les tarifs sont soumis à des limitations qui dépendent de l'exhaustivité de l'enregistrement des naissances, de la </w:t>
        <w:br/>
        <w:t xml:space="preserve">traitement des nourrissons nés vivants mais décédés avant l'enregistrement ou dans les 24 premières heures de la vie, la qualité des informations communiquées concernant l'âge de </w:t>
        <w:br/>
        <w:t xml:space="preserve">la mère et l'inclusion des naissances des périodes précédentes. Les estimations de population peuvent souffrir de limitations liées à des informations erronées sur l'âge. </w:t>
        <w:br/>
        <w:t xml:space="preserve">et la couverture. </w:t>
        <w:br/>
        <w:t xml:space="preserve">Pour les données d’enquête et de recensement, le numérateur et le dénominateur proviennent de la même population. Les principales limites concernent l’âge </w:t>
        <w:br/>
        <w:t xml:space="preserve">les fausses déclarations, les omissions de naissance, la fausse déclaration de la date de naissance de l'enfant et la variabilité de l'échantillonnage dans le cas des enquêtes. En ce qui concerne les estimations </w:t>
        <w:br/>
        <w:t xml:space="preserve">du taux de natalité chez les adolescentes âgées de 10 à 14 ans, des données comparatives suggèrent qu'une très faible proportion de naissances à cet âge </w:t>
        <w:br/>
        <w:t xml:space="preserve">groupe se produisent chez les femmes de moins de 12 ans. D'autres preuves basées sur des données rétrospectives sur l'histoire des naissances provenant d'enquêtes indiquent que les femmes âgées de 15 à 19 ans </w:t>
        <w:br/>
        <w:t xml:space="preserve">ans sont moins susceptibles d’avoir une première naissance avant l’âge de 15 ans que les femmes de la même cohorte de naissance lorsqu’on leur pose la question cinq ans plus tard, entre 20 et 24 ans. </w:t>
        <w:br/>
        <w:t xml:space="preserve">Le taux de natalité des adolescentes est généralement indiqué comme le taux de fécondité par âge pour les 15 à 19 ans dans le contexte du calcul de la fécondité totale. </w:t>
        <w:br/>
        <w:t xml:space="preserve">estimations. On l'appelle également taux de fécondité des adolescentes. Une mesure connexe est la proportion de fécondité des adolescentes mesurée en pourcentage </w:t>
        <w:br/>
        <w:t xml:space="preserve">de la fécondité totale apportée par les femmes âgées de 15 à 19 ans. </w:t>
        <w:br/>
        <w:t xml:space="preserve">Les preuves empiriques sur la fécondité des adolescentes de 10 à 14 ans font souvent défaut car les taux ne sont pas systématiquement publiés comme pour la tranche d'âge de 15 à 19 ans. </w:t>
        <w:br/>
        <w:t xml:space="preserve">groupe d’âge en raison de taux beaucoup plus faibles, d’une collecte de données limitée et d’une qualité douteuse en raison de problèmes d’omission et de compétence. Même si les données sont </w:t>
        <w:br/>
        <w:t xml:space="preserve">collectées, elles nécessitent souvent un accès et un traitement de données spéciaux. Dans l’ensemble, la plupart des données empiriques sur les naissances chez les adolescentes sont disponibles </w:t>
        <w:br/>
        <w:t>pour la tranche d'âge 15-19 ans.</w:t>
        <w:br/>
        <w:t xml:space="preserve"> </w:t>
        <w:br/>
        <w:t>Indicateurs proxy, alternatifs et supplémentaires : N/A</w:t>
        <w:br/>
        <w:t xml:space="preserve">1.  </w:t>
        <w:br/>
        <w:t xml:space="preserve">2.  </w:t>
        <w:br/>
        <w:t xml:space="preserve">3.  </w:t>
        <w:br/>
        <w:t xml:space="preserve">La ventilation des taux de natalité des adolescentes par zone géographique, résidence rurale ou urbaine, niveau d’éducation des femmes, statut de pauvreté et autres </w:t>
        <w:br/>
        <w:t xml:space="preserve">Les caractéristiques pertinentes dans le contexte national aident à identifier les sous-groupes de population où les niveaux de taux de natalité chez les adolescentes sont les plus élevés et </w:t>
        <w:br/>
        <w:t xml:space="preserve">formuler des politiques visant à réduire les taux de natalité des adolescentes et à améliorer la santé reproductive des adolescentes. </w:t>
        <w:br/>
        <w:t>L'indicateur bénéficierait d'une ventilation par année car les taux de fécondité varient considérablement au sein et entre les tranches d'âge 10-14 et 15-19 ans.</w:t>
        <w:br/>
        <w:t xml:space="preserve">tranches d'âge d'un an.  Les données suggèrent qu'une très faible proportion de naissances dans ce groupe d'âge surviennent chez des femmes de moins de 12 ans et que le risque de </w:t>
        <w:br/>
        <w:t xml:space="preserve">la procréation dans ces deux groupes d’âge augmente fortement avec l’âge. Les caractéristiques par âge varient selon les pays et dans le temps, mais en général, la répartition par âge </w:t>
        <w:br/>
        <w:t>la désagrégation permet une évaluation plus fine des risques et l’identification des populations desservies par les programmes concernés.</w:t>
        <w:br/>
        <w:t xml:space="preserve">Les dimensions de désagrégation recommandées pour cela L'indicateur comprend l'âge (par année d'âge, lorsque cela est possible), l'éducation, le statut matrimonial. </w:t>
        <w:br/>
        <w:t xml:space="preserve">statut (marié/en union ; jamais marié ; déjà marié ; toutes les femmes), statut socio-économique (catégories spécifiques au pays), situation géographique et </w:t>
        <w:br/>
        <w:t xml:space="preserve">d’autres catégories pertinentes, dans la mesure permise par la source de données correspondante et le nombre d’observations sous-jacentes à chaque unité de désagrégation. </w:t>
        <w:br/>
        <w:t>Les limites spécifiques à la ventilation des données par spécifique à l'indicateur 3.7.2 comprennent :</w:t>
        <w:br/>
        <w:t xml:space="preserve">Âge : les données sur la fécondité dans les enquêtes et les registres d'état civil ne sont souvent pas collectées ou déclarées pour les individus de moins de 15 ans, par exemple. </w:t>
        <w:br/>
        <w:t>des raisons culturelles, juridiques et autres ;</w:t>
        <w:br/>
        <w:t>État civil : les données sur la fécondité sont souvent collectées uniquement pour les femmes mariées/en union (pour des raisons culturelles et juridiques)</w:t>
        <w:br/>
        <w:t>Taille de l'échantillon des enquêtes auprès des ménages</w:t>
      </w:r>
    </w:p>
    <w:p>
      <w:pPr>
        <w:pStyle w:val="Heading2"/>
      </w:pPr>
      <w:r>
        <w:t>Page 89</w:t>
      </w:r>
    </w:p>
    <w:p>
      <w:r>
        <w:t>Texte d'en-tête</w:t>
        <w:br/>
        <w:t>Texte de pied de page</w:t>
        <w:br/>
        <w:t>URL officielle des métadonnées ODD</w:t>
        <w:br/>
        <w:t xml:space="preserve">https://unstats.un.org/sdgs/metadata/files/Metadata-03-07-02.pdf  </w:t>
        <w:br/>
        <w:t>Méthodologie reconnue au niveau international et URL des lignes directrices</w:t>
        <w:br/>
        <w:t>https://unstats.un.org/unsd/publication/SeriesF/SeriesF_92E.pdf</w:t>
        <w:br/>
        <w:t xml:space="preserve">http://www.un.org/esa/population/publications/Manual_X/Manual_X.htm </w:t>
        <w:br/>
        <w:t>Autres références</w:t>
        <w:br/>
        <w:t>Arriaga, E. (1983). . Bureau américain du recensement, Recherche internationale Estimation de la fécondité à partir de données sur les enfants déjà nés, selon l'âge de la mère</w:t>
        <w:br/>
        <w:t>Document n° 11, ISP-RD-11. Bureau d'impression du gouvernement américain, Washington, DC.</w:t>
        <w:br/>
        <w:t xml:space="preserve">20402. </w:t>
        <w:br/>
        <w:t xml:space="preserve">Bogue, D., Arriaga EE, Andelton, DL et Rumsey, GW (1993). Lectures en méthodologie de recherche démographique. New York : United National </w:t>
        <w:br/>
        <w:t xml:space="preserve">Fonds pour la population. </w:t>
        <w:br/>
        <w:t xml:space="preserve">Laiton, W. (1964). Utilisations des données de recensement ou d’enquête pour l’estimation des taux vitaux. E/CN.14/CAS.4/V57. Document préparé pour le Séminaire africain sur </w:t>
        <w:br/>
        <w:t xml:space="preserve">Statistiques de l'état civil. Addis-Abeba. </w:t>
        <w:br/>
        <w:t xml:space="preserve">Collier, J. (2009). La proportion croissante de grossesses répétées chez les adolescentes chez les jeunes femmes se présentant pour une interruption de grossesse entre 1991 et </w:t>
        <w:br/>
        <w:t>2007. , vol. 79, n° 5, p. 393-396. Contraception</w:t>
        <w:br/>
        <w:t>Croft, T. (1991). Vérification et imputation des dates. , : 1337–1356, Colombie, Enquêtes démographiques et sanitaires, Actes de la Conférence mondiale II</w:t>
        <w:br/>
        <w:t xml:space="preserve">Maryland : Macro IRD/ORC. </w:t>
        <w:br/>
        <w:t>Grabill, W. et Cho, LJ (1965). Méthodologie de mesure de la fécondité actuelle à partir de données démographiques sur les jeunes enfants. , vol. Démographie</w:t>
        <w:br/>
        <w:t xml:space="preserve">2, p. 50-73. </w:t>
        <w:br/>
        <w:t xml:space="preserve">Lim, L., Wong, H., Yong, E. et Singh, K. (2012). Profils de femmes se présentant pour un avortement à Singapour : focus sur les avortements chez les adolescentes et les avortements tardifs. </w:t>
        <w:br/>
        <w:t>les avortements. , vol. 160, p. 219-222. Journal européen d'obstétrique, de gynécologie et de biologie de la reproduction</w:t>
        <w:br/>
        <w:t xml:space="preserve">Moriyama, IM (1990). Mesure de l’exhaustivité de l’enregistrement des naissances et des décès. Documents techniques, n° 43. Institut international des soins vitaux </w:t>
        <w:br/>
        <w:t xml:space="preserve">Inscription et statistiques. 9650 Rockville Pike, Bethesda, Maryland 20814, États-Unis. </w:t>
        <w:br/>
        <w:t>Moultrie, T., Dorrington, R., Hill, A., Hill, K., Timæus, I. et Zaba, B. (2013). . Paris : Union internationale pour les outils d'estimation démographique</w:t>
        <w:br/>
        <w:t>Étude scientifique de la population.  http://demographicestimation.iussp.org/</w:t>
        <w:br/>
        <w:t xml:space="preserve">Nove A., Matthews Z., Neal S. et Camacho AV (2014). Mortalité maternelle chez les adolescentes par rapport aux femmes d'autres âges : données probantes de </w:t>
        <w:br/>
        <w:t>144 pays. , vol. 2, n° 3, pages e155-e164. doi : 10.1016/S2214-109X (13)70179-7 Lancet Global Health</w:t>
        <w:br/>
        <w:t>Preston, S., Heuveline, P. et Guillot, M. (2001). . Éditeurs Blackwell. ISBN : 1-Démographie : Mesurer et modéliser les processus démographiques</w:t>
        <w:br/>
        <w:t xml:space="preserve">55786-451-9. </w:t>
        <w:br/>
        <w:t>Rutstein, S.O. et Rojas, G. (2006). . Enquêtes démographiques et de santé. Calverton, MD : Macro ORC. Guide des statistiques DHS</w:t>
        <w:br/>
        <w:t>Shryock, HS, Siegel, JS et associés. (1980). Les méthodes. Département américain du Commerce. Bureau des matériaux et de la démographie</w:t>
        <w:br/>
        <w:t xml:space="preserve">Recensement. Quatrième impression (rév.). Bureau d'impression du gouvernement des États-Unis, Washington, D.C. </w:t>
        <w:br/>
        <w:t>Nations Unies. (1967). ST/SOA/Série A/42 Manuel IV. Méthodes d'estimation des mesures démographiques de base à partir de données incomplètes. http://ec.</w:t>
        <w:br/>
        <w:t>europa.eu/eurostat/ramon/statmanuals/files/UNSD_manual4_estimating_demo_figures_from_inco</w:t>
        <w:br/>
        <w:t xml:space="preserve">complete_data_FR.pdf </w:t>
        <w:br/>
        <w:t>Nations Unies. (1983. Publication des Nations Unies, numéro de vente : E.83.XIII.2. Disponible). Manuel X : Techniques indirectes d'estimation démographique</w:t>
        <w:br/>
        <w:t>sur : http://www.un.org/esa/population/publications/Manual_X/Manual_X.htm</w:t>
        <w:br/>
        <w:t>Nations Unies. (1994). . Nations Unies : A/CONF.171/13/Rev.1. Rapport de la Conférence internationale sur la population et le développement</w:t>
        <w:br/>
        <w:t>Nations Unies. (2004).  N° de vente E.03.XVII.11. New York. Disponible sur : Manuel sur la collecte de données sur la fécondité et la mortalité. http://unstats.</w:t>
        <w:br/>
        <w:t xml:space="preserve"> un.org/unsd/publication/SeriesF/SeriesF_92E.pdf</w:t>
        <w:br/>
        <w:t>Nations Unies. (2013). . Département de la Fertilité des Adolescentes depuis la Conférence Internationale sur la Population et le Développement (CIPD) au Caire</w:t>
        <w:br/>
        <w:t>Affaires économiques et sociales, Division de la population, Nations Unies, New York. http://www.un.org/en/development/desa/population/publications/pdf</w:t>
        <w:br/>
        <w:t xml:space="preserve"> /fertilité/Report_Adolescent-Fertilitysince-ICPD.pdf</w:t>
        <w:br/>
        <w:t>Nations Unies. (2014). , Réviser ion 3, Département des affaires économiques et sociales, Principes et recommandations pour un système de statistiques de l'état civil</w:t>
        <w:br/>
        <w:t xml:space="preserve">Division de statistique, Documents statistiques, série M, n° 19/Rev.3, Nations Unies, New York. </w:t>
        <w:br/>
        <w:t>OMS. (2014). . .  (consulté en octobre 2016). Grossesse adolescente Fiche d'information N° 364 http://www.who.int/mediacentre/factsheets/fs364/en/</w:t>
        <w:br/>
        <w:t>QUI. (2018). Taux de mortalité maternelle (pour 100 000 naissances vivantes). Disponible à : .   http://www.who.int/healthinfo/statistics/indmaternalmortality/en/</w:t>
        <w:br/>
        <w:t xml:space="preserve">Exemples de pays </w:t>
        <w:br/>
        <w:t>N/D</w:t>
      </w:r>
    </w:p>
    <w:p>
      <w:pPr>
        <w:pStyle w:val="Heading2"/>
      </w:pPr>
      <w:r>
        <w:t>Page 90</w:t>
      </w:r>
    </w:p>
    <w:p>
      <w:r>
        <w:t>Texte d'en-tête</w:t>
        <w:br/>
        <w:t>Texte de pied de page</w:t>
        <w:br/>
        <w:t>Organisation(s) internationale(s) de surveillance mondiale</w:t>
        <w:br/>
        <w:t>Ce document a été préparé sur la base des contributions de la Division de la population du Département des affaires économiques et sociales (DESA).</w:t>
        <w:br/>
        <w:t>Pour obtenir des informations sur les points focaux pour cet indicateur, veuillez visiter https://unstats.un.org/sdgs/dataContacts/</w:t>
      </w:r>
    </w:p>
    <w:p>
      <w:pPr>
        <w:pStyle w:val="Heading2"/>
      </w:pPr>
      <w:r>
        <w:t>Page 91</w:t>
      </w:r>
    </w:p>
    <w:p>
      <w:r>
        <w:t>Texte d'en-tête</w:t>
        <w:br/>
        <w:t>Texte de pied de page</w:t>
        <w:br/>
        <w:t>Indicateur 3.8.2</w:t>
        <w:br/>
        <w:t>Page d'accueil du manuel électronique</w:t>
        <w:br/>
        <w:t xml:space="preserve"> </w:t>
        <w:br/>
        <w:t>Nom de l’indicateur, cible et objectif</w:t>
        <w:br/>
        <w:t>Définition et justification</w:t>
        <w:br/>
        <w:t>Sources de données et méthode de collecte</w:t>
        <w:br/>
        <w:t>Contenu</w:t>
        <w:br/>
        <w:t>Nom de l’indicateur, cible et objectif</w:t>
        <w:br/>
        <w:t>Définition et justification</w:t>
        <w:br/>
        <w:t>Sources de données et méthode de collecte</w:t>
        <w:br/>
        <w:t>Méthode de calcul et autres considérations méthodologiques</w:t>
        <w:br/>
        <w:t>Désagrégation des données</w:t>
        <w:br/>
        <w:t>Références</w:t>
        <w:br/>
        <w:t>Organisation(s) internationale(s) de surveillance mondiale</w:t>
        <w:br/>
        <w:t xml:space="preserve"> Indicateur 3.8.2 : Proportion de la population dont les ménages consacrent d'importantes dépenses de santé à la part des dépenses ou des revenus totaux des ménages</w:t>
        <w:br/>
        <w:t xml:space="preserve">Cible 3.8 : Parvenir à une couverture sanitaire universelle, y compris une protection contre les risques financiers, un accès à des services de santé essentiels de qualité et un accès aux </w:t>
        <w:br/>
        <w:t>des médicaments et vaccins essentiels sûrs, efficaces, de qualité et abordables pour tous</w:t>
        <w:br/>
        <w:t>Objectif 3 : Garantir une vie saine et promouvoir le bien-être de tous à tout âge</w:t>
        <w:br/>
        <w:t>Définition :</w:t>
        <w:br/>
        <w:t xml:space="preserve">Cet indicateur est défini comme la proportion de la population qui consacre une grande partie du revenu ou des dépenses totales du ménage aux soins de santé. </w:t>
        <w:br/>
        <w:t xml:space="preserve">dépenses. Deux seuils sont utilisés pour définir les « dépenses de santé importantes des ménages » : (1) supérieures à 10 % ; et (2) supérieur à 25 % de </w:t>
        <w:br/>
        <w:t xml:space="preserve">dépenses ou revenus totaux des ménages. </w:t>
        <w:br/>
        <w:t>Concepts :</w:t>
        <w:br/>
        <w:t xml:space="preserve">Les dépenses liées à la santé sont définies comme toute dépense encourue au moment de l'utilisation d'un service pour obtenir tout type de soins (promotionnels, préventifs, </w:t>
        <w:br/>
        <w:t xml:space="preserve">soins curatifs, de rééducation, palliatifs ou de longue durée) comprenant tous les médicaments, vaccins et autres préparations pharmaceutiques ainsi que tous les soins de santé </w:t>
        <w:br/>
        <w:t xml:space="preserve">produits, auprès de tout type de prestataire et pour tous les membres du foyer. Ces dépenses de santé se caractérisent par un paiement direct qui </w:t>
        <w:br/>
        <w:t xml:space="preserve">sont financés par les revenus d’un ménage (y compris les envois de fonds), l’épargne ou les prêts mais n’incluent aucun remboursement par un tiers payant. Direct </w:t>
        <w:br/>
        <w:t xml:space="preserve">Les paiements pour soins de santé sont appelés paiements directs (OOP) dans la classification des régimes de financement des soins de santé (HF) du système international. </w:t>
        <w:br/>
        <w:t xml:space="preserve">Classification des comptes de la santé (ICHA). Les dépenses de santé restantes constituent la source de financement la plus inéquitable du système de santé, car </w:t>
        <w:br/>
        <w:t xml:space="preserve">directement lié à la gravité sous-jacente de l'état de santé (les malades dépensent plus), basé uniquement sur la capacité contributive du ménage (pas de </w:t>
        <w:br/>
        <w:t xml:space="preserve">la mutualisation est possible), ne conduisent à la prestation de services que si l'individu paie. </w:t>
        <w:br/>
        <w:t xml:space="preserve">Les composantes des dépenses de consommation de soins de santé d’un ménage ainsi définies doivent être conformes à la division 06 de la classification des Nations Unies. </w:t>
        <w:br/>
        <w:t xml:space="preserve">de consommation individuelle selon la finalité (COICOP 2018) et incluent les dépenses en médicaments et produits médicaux (06.1), les dépenses ambulatoires </w:t>
        <w:br/>
        <w:t xml:space="preserve">services de soins (06.2), services de soins hospitaliers (06.3) et autres services de santé (06.4). </w:t>
        <w:br/>
        <w:t xml:space="preserve">Les dépenses de consommation des ménages sont une mesure de bien-être monétaire. Il est généralement défini comme la somme des valeurs monétaires de tous les éléments </w:t>
        <w:br/>
        <w:t xml:space="preserve">(biens et services) consommés par le ménage au cours d’une période de référence. Il comprend les valeurs imputées des biens et services qui ne sont pas </w:t>
        <w:br/>
        <w:t>acheté mais obtenu autrement pour la consommation.</w:t>
        <w:br/>
        <w:t xml:space="preserve">Le revenu des ménages est également une mesure du bien-être monétaire. La mesure de revenu la plus pertinente est le revenu disponible car il est proche du </w:t>
        <w:br/>
        <w:t xml:space="preserve">maximum dont dispose le ménage pour les dépenses de consommation au cours de la période comptable. Le revenu disponible est défini comme le revenu total </w:t>
        <w:br/>
        <w:t xml:space="preserve">moins les impôts directs (nets de remboursements), les frais obligatoires et les amendes. Le revenu total est généralement composé des revenus d'emploi, des revenus de la propriété, </w:t>
        <w:br/>
        <w:t>revenus provenant de la production par les ménages de services pour leur propre consommation, transferts reçus en espèces et en biens, transferts reçus en tant que services.</w:t>
        <w:br/>
        <w:t>Les dépenses de consommation des ménages constituent la mesure de bien-être monétaire recommandée.</w:t>
        <w:br/>
        <w:t>Justification et interprétation :</w:t>
        <w:br/>
        <w:t xml:space="preserve">L’objectif de cet indicateur appelle à accorder l’accès aux soins en fonction des besoins de santé et non de la capacité du ménage à rassembler tous ses besoins. </w:t>
        <w:br/>
        <w:t xml:space="preserve">ressources financières pour répondre aux besoins de santé de ses membres. Par conséquent, cet indicateur tente d'identifier les personnes qui doivent consacrer un </w:t>
        <w:br/>
        <w:t xml:space="preserve">une part substantielle des dépenses totales des ménages ou des revenus (budget) pour les soins de santé. Certains paiements directs pourraient être nécessaires pour accéder </w:t>
        <w:br/>
        <w:t xml:space="preserve">soins de santé, mais personne, quel que soit son niveau de revenu, ne devrait avoir à choisir entre dépenser pour la santé et dépenser pour d’autres biens et biens de base. </w:t>
        <w:br/>
        <w:t xml:space="preserve">des services tels que les frais de scolarité, les produits alimentaires de première nécessité, le logement et les services publics. C’est alors un moyen d’évaluer dans quelle mesure les systèmes de santé conduisent </w:t>
        <w:br/>
        <w:t>aux difficultés financières.</w:t>
      </w:r>
    </w:p>
    <w:p>
      <w:pPr>
        <w:pStyle w:val="Heading2"/>
      </w:pPr>
      <w:r>
        <w:t>Page 92</w:t>
      </w:r>
    </w:p>
    <w:p>
      <w:r>
        <w:t>Texte d'en-tête</w:t>
        <w:br/>
        <w:t>Texte de pied de page</w:t>
        <w:br/>
        <w:t>Méthode de calcul et autres considérations méthodologiques</w:t>
        <w:br/>
        <w:t>Désagrégation des données</w:t>
        <w:br/>
        <w:t>Références</w:t>
        <w:br/>
        <w:t xml:space="preserve">Les sources de données recommandées pour le suivi de cet indicateur sont les enquêtes auprès des ménages contenant des informations sur la consommation des ménages </w:t>
        <w:br/>
        <w:t xml:space="preserve">les dépenses de santé et les dépenses totales de consommation des ménages, qui sont régulièrement effectuées par les bureaux nationaux de statistique (ONS). </w:t>
        <w:br/>
        <w:t xml:space="preserve">Les enquêtes sur le budget des ménages (HBS) et les enquêtes sur les revenus et dépenses des ménages (HIES) collectent généralement ces informations car elles sont principalement menées. </w:t>
        <w:br/>
        <w:t xml:space="preserve">contribuer au calcul des indices des prix à la consommation ou à l’établissement des comptes nationaux. </w:t>
        <w:br/>
        <w:t xml:space="preserve">Les enquêtes socio-économiques ou sur les niveaux de vie constituent une autre source potentielle d'informations ; cependant, certaines de ces enquêtes peuvent ne pas recueillir </w:t>
        <w:br/>
        <w:t xml:space="preserve">des informations sur les dépenses de consommation totales des ménages – par exemple, lorsqu’un pays mesure la pauvreté en utilisant le revenu comme bien-être </w:t>
        <w:br/>
        <w:t xml:space="preserve">mesurer. Le critère le plus important pour sélectionner une source de données pour mesurer cet indicateur est la disponibilité des données de consommation des ménages </w:t>
        <w:br/>
        <w:t xml:space="preserve">dépenses de santé et dépenses totales de consommation des ménages. </w:t>
        <w:br/>
        <w:t xml:space="preserve">Le revenu est plus difficile à mesurer avec précision en raison de sa plus grande variabilité dans le temps. La consommation est moins variable dans le temps et plus facile à </w:t>
        <w:br/>
        <w:t>mesurer. Il est donc recommandé d'utiliser la première chaque fois qu'il existe des informations sur la consommation et le revenu des ménages.</w:t>
        <w:br/>
        <w:t>Méthode de calcul :</w:t>
        <w:br/>
        <w:t xml:space="preserve">La formule suivante peut être utilisée pour calculer le nombre moyen pondéré de personnes ayant d’importantes dépenses de santé par ménage </w:t>
        <w:br/>
        <w:t>en proportion des dépenses ou des revenus totaux des ménages :</w:t>
        <w:br/>
        <w:t xml:space="preserve"> </w:t>
        <w:br/>
        <w:t>où désigne un ménage, est la fonction indicatrice qui prend la valeur 1 si l'expression entre parenthèses est vraie, et 0 sinon, i 1() mi</w:t>
        <w:br/>
        <w:t>correspond au nombre de membres du ménage de ,  correspond au poids d'échantillonnage du ménage , est un seuil identifiant les grands i i</w:t>
        <w:br/>
        <w:t xml:space="preserve">dépenses de santé des ménages en proportion de la consommation ou du revenu total des ménages (c'est-à-dire 10 % et 25 %). </w:t>
        <w:br/>
        <w:t>Commentaires et limites :</w:t>
        <w:br/>
        <w:t xml:space="preserve">Cet indicateur tente d'identifier les difficultés financières auxquelles les individus sont confrontés lorsqu'ils utilisent leurs revenus, leurs économies ou contractent des emprunts pour payer des soins de santé. </w:t>
        <w:br/>
        <w:t xml:space="preserve">Cependant, la plupart des enquêtes auprès des ménages ne parviennent pas à identifier la source de financement utilisée par un ménage qui déclare des dépenses de santé. Dans les pays </w:t>
        <w:br/>
        <w:t xml:space="preserve">là où il n’y a pas de remboursement rétrospectif des dépenses de santé des ménages, cela ne pose pas de problème. Mais dans les pays où il y a </w:t>
        <w:br/>
        <w:t xml:space="preserve">remboursement rétrospectif - par exemple via un régime contributif d'assurance maladie - le montant déclaré par un ménage en matière de santé </w:t>
        <w:br/>
        <w:t xml:space="preserve">les dépenses pourraient être totalement ou partiellement remboursées ultérieurement, peut-être en dehors de la période de rappel de l’enquête auprès des ménages. </w:t>
        <w:br/>
        <w:t xml:space="preserve">Cet indicateur repose sur un seuil unique pour identifier ce qui constitue « des dépenses de santé importantes en proportion des dépenses totales des ménages ou </w:t>
        <w:br/>
        <w:t xml:space="preserve">revenu ». Les personnes juste en dessous ou au-dessus de ces seuils ne sont pas prises en compte, ce qui est toujours le problème des mesures basées sur des seuils. </w:t>
        <w:br/>
        <w:t xml:space="preserve">En traçant la fonction de distribution cumulative du ratio des dépenses de santé, il est possible d'identifier la proportion de la population qui est </w:t>
        <w:br/>
        <w:t xml:space="preserve">consacrer n’importe quelle part du budget de son ménage à la santé, quel que soit le seuil. </w:t>
        <w:br/>
        <w:t xml:space="preserve">Les faibles valeurs de cet indicateur peuvent être dues à l’incapacité des personnes à dépenser quoi que ce soit en santé qui, du moins pour les services inclus dans </w:t>
        <w:br/>
        <w:t xml:space="preserve">3.8.1, devrait entraîner de faibles niveaux de couverture. C'est pourquoi les indicateurs 3.8.1 et 3.8.2 doivent être suivis conjointement. </w:t>
        <w:br/>
        <w:t xml:space="preserve">Cet indicateur peut connaître des erreurs de mesure dues à des erreurs d’échantillonnage et à des erreurs non dues à l’échantillonnage. La définition de ces indicateurs suggère que </w:t>
        <w:br/>
        <w:t xml:space="preserve">la mesure du bien-être monétaire peut être basée sur une approche basée sur les revenus ou sur une approche axée sur les dépenses de consommation. Mais des preuves récentes suggèrent que cela </w:t>
        <w:br/>
        <w:t xml:space="preserve">ce choix a des implications pour la mesure des inégalités. Les mesures basées sur le revenu montrent une plus grande concentration de la proportion de </w:t>
        <w:br/>
        <w:t xml:space="preserve">population ayant d’importantes dépenses des ménages en matière de santé parmi les plus défavorable que les mesures fondées sur les dépenses. </w:t>
        <w:br/>
        <w:t>Indicateurs proxy, alternatifs et supplémentaires : N/A</w:t>
        <w:br/>
        <w:t xml:space="preserve">Cet indicateur peut être ventilé par sexe et âge du chef de ménage, situation géographique (rurale/urbaine) et quintiles de la population. </w:t>
        <w:br/>
        <w:t>mesures de bien-être des ménages (dépenses ou revenus totaux des ménages).</w:t>
      </w:r>
    </w:p>
    <w:p>
      <w:pPr>
        <w:pStyle w:val="Heading2"/>
      </w:pPr>
      <w:r>
        <w:t>Page 93</w:t>
      </w:r>
    </w:p>
    <w:p>
      <w:r>
        <w:t>Texte d'en-tête</w:t>
        <w:br/>
        <w:t>Texte de pied de page</w:t>
        <w:br/>
        <w:t>Organisation(s) internationale(s) de surveillance mondiale</w:t>
        <w:br/>
        <w:t>URL officielle des métadonnées ODD</w:t>
        <w:br/>
        <w:t xml:space="preserve">https://unstats.un.org/sdgs/metadata/files/Metadata-03-08-02.pdf </w:t>
        <w:br/>
        <w:t>Méthodologie reconnue au niveau international et URL des lignes directrices</w:t>
        <w:br/>
        <w:t>http://www.who.int/health_financing/topics/financial-protection/monitoring-sdg/en/ ;   http://datatopics.worldbank.org/universal-health-coverage/</w:t>
        <w:br/>
        <w:t>Autres références :</w:t>
        <w:br/>
        <w:t xml:space="preserve">« Suivi de la couverture sanitaire universelle : rapport de suivi mondial 2017 », Organisation mondiale de la santé et Banque internationale pour la reconstruction et la reconstruction. </w:t>
        <w:br/>
        <w:t>Développement/ La Banque mondiale ; 2017. Disponible sur : ;  http://www.who.int/healthinfo/universal_health_coverage/report/2017/en/ http://www.</w:t>
        <w:br/>
        <w:t>worldbank.org/en/topic/universalhealthcoverage/publication/tracking-universal-health-coverage-2017-global-monitoring-report</w:t>
        <w:br/>
        <w:t xml:space="preserve">Wagstaff, A., Flores, G., Hsu J., Smitz, M-F., Chepynoga, K., Buisman, L.R., van Wilgenburg, K. et Eozenou, P., (2018), « Progress on </w:t>
        <w:br/>
        <w:t>dépenses de santé catastrophiques dans 133 pays : une étude observationnelle rétrospective », The Lancet Global Health, volume 6, numéro 2, e169-</w:t>
        <w:br/>
        <w:t>e179.  Disponible sur :     http://dx.doi.org/10.1016/S2214-109X(17)30429-1</w:t>
        <w:br/>
        <w:t>Banque mondiale (2008). Washington, D.C. Disponible sur : Analyse de l’équité en matière de santé à l’aide des données d’enquêtes auprès des ménages. Chapitre 18. http://www.worldbank.org</w:t>
        <w:br/>
        <w:t xml:space="preserve"> /fr/sujet/santé/publication/analyse-de-l'équité-en-santé-à l'aide-de-données-d'enquêtes-sur-les-ménages</w:t>
        <w:br/>
        <w:t>OCDE (2011). Paris. Disponible sur : Un système de comptes de santé. http://www.oecd-ilibrary.org/social-issues-migration-health/a-system-of-health-</w:t>
        <w:br/>
        <w:t>comptes/classification-des-régimes-de-financement-des-soins-de-santé-icha-hf_9789264116016-9-fr</w:t>
        <w:br/>
        <w:t xml:space="preserve">Division de statistique des Nations Unies. New York. Division Internet 06 de la Classification des Nations Unies de la consommation individuelle selon l'objectif (COICOP-2018). </w:t>
        <w:br/>
        <w:t>site : https://unstats.un.org/unsd/class/revisions/coicop_revision.asp</w:t>
        <w:br/>
        <w:t xml:space="preserve">Informations sur les autres mesures de protection financière disponibles sur : ; ; Niveau mondial Bureau régional de l’OMS pour l’Europe Bureau régional de l’OMS pour </w:t>
        <w:br/>
        <w:t>; Méditerranée orientale Bureau régional de l'OMS pour l'Asie du Sud-Est</w:t>
        <w:br/>
        <w:t xml:space="preserve">Exemples de pays </w:t>
        <w:br/>
        <w:t>N/D</w:t>
        <w:br/>
        <w:t>Ce document a été préparé sur la base des contributions de l'Organisation mondiale de la santé (OMS).</w:t>
        <w:br/>
        <w:t>Pour obtenir des informations sur les points focaux pour cet indicateur, veuillez visiter https://unstats.un.org/sdgs/dataContacts/</w:t>
      </w:r>
    </w:p>
    <w:p>
      <w:pPr>
        <w:pStyle w:val="Heading2"/>
      </w:pPr>
      <w:r>
        <w:t>Page 94</w:t>
      </w:r>
    </w:p>
    <w:p>
      <w:r>
        <w:t>Texte d'en-tête</w:t>
        <w:br/>
        <w:t>Texte de pied de page</w:t>
        <w:br/>
        <w:t>Indicateur 3.9.1</w:t>
        <w:br/>
        <w:t>Page d'accueil du manuel électronique</w:t>
        <w:br/>
        <w:t xml:space="preserve"> </w:t>
        <w:br/>
        <w:t>Nom de l’indicateur, cible et objectif</w:t>
        <w:br/>
        <w:t>Définition et justification</w:t>
        <w:br/>
        <w:t>Sources de données et méthode de collecte</w:t>
        <w:br/>
        <w:t>Contenu</w:t>
        <w:br/>
        <w:t>Nom de l’indicateur, cible et objectif</w:t>
        <w:br/>
        <w:t>Définition et justification</w:t>
        <w:br/>
        <w:t>Sources de données et méthode de collecte</w:t>
        <w:br/>
        <w:t>Méthode de calcul et autres considérations méthodologiques</w:t>
        <w:br/>
        <w:t>Désagrégation des données</w:t>
        <w:br/>
        <w:t>Références</w:t>
        <w:br/>
        <w:t>Organisation(s) internationale(s) de surveillance mondiale</w:t>
        <w:br/>
        <w:t xml:space="preserve"> Indicateur 3.9.1 : Taux de mortalité attribué à la pollution de l'air domestique et ambiant</w:t>
        <w:br/>
        <w:t xml:space="preserve">Cible 3.9 : D’ici 2030, réduire considérablement le nombre de décès et de maladies dus aux produits chimiques dangereux et à la pollution de l’air, de l’eau et du sol, et </w:t>
        <w:br/>
        <w:t>pollution</w:t>
        <w:br/>
        <w:t>Objectif 3 : Garantir une vie saine et promouvoir le bien-être de tous à tout âge</w:t>
        <w:br/>
        <w:t>Définition :</w:t>
        <w:br/>
        <w:t xml:space="preserve">Cet indicateur est défini comme la mortalité attribuable aux effets conjoints de la pollution de l'air domestique et de l'air ambiant, et peut être exprimé selon </w:t>
        <w:br/>
        <w:t xml:space="preserve">100 000 habitants pour tout groupe de population donné (par exemple, les enfants de moins de 5 ans). </w:t>
        <w:br/>
        <w:t>Concepts :</w:t>
        <w:br/>
        <w:t>La pollution ambiante fait référence à la pollution extérieure résultant des émissions provenant de l'activité industrielle, des ménages, des voitures et des camions, etc. pollution de l'air</w:t>
        <w:br/>
        <w:t>Le ménage fait référence à la pollution intérieure résultant de l'utilisation de combustibles de cuisson polluants tels que le kérosène, le bois, le charbon, les excréments d'animaux, la pollution de l'air.</w:t>
        <w:br/>
        <w:t xml:space="preserve">charbon de bois et déchets de récolte </w:t>
        <w:br/>
        <w:t xml:space="preserve">L’air ambiant et le ménage sont souvent traités séparément, bien qu’ils soient fortement liés puisque la pollution de l’air domestique est un facteur important – souvent </w:t>
        <w:br/>
        <w:t xml:space="preserve">sous-estimée – source de pollution de l’air ambiant. Ils ont été traités séparément par les scientifiques et les décideurs politiques pour des raisons historiques et </w:t>
        <w:br/>
        <w:t xml:space="preserve">des raisons pratiques.  La pollution de l’air domestique comprend également l’utilisation de combustibles polluants pour l’éclairage et le chauffage. </w:t>
        <w:br/>
        <w:t>Justification et interprétation :</w:t>
        <w:br/>
        <w:t xml:space="preserve">L’objectif vise à réduire le nombre de décès dus à une pollution atmosphérique dangereuse. Cet indicateur suit les taux de mortalité attribués aux conditions ambiantes et </w:t>
        <w:br/>
        <w:t xml:space="preserve">pollution de l’air domestique, car la pollution de l’air constitue le plus grand risque environnemental pour la santé. </w:t>
        <w:br/>
        <w:t xml:space="preserve">Les données issues d'études épidémiologiques ont montré que l'exposition à la pollution atmosphérique est liée, entre autres, aux maladies importantes prises en charge par </w:t>
        <w:br/>
        <w:t>compte dans cette estimation :</w:t>
        <w:br/>
        <w:t>- Infections respiratoires aiguës  (estimées pour tous les âges) ;</w:t>
        <w:br/>
        <w:t>- Maladies cérébrovasculaires (accident vasculaire cérébral) chez l'adulte (estimées au-dessus de 25 ans) ;</w:t>
        <w:br/>
        <w:t>- Cardiopathies ischémiques (IHD) chez l'adulte (estimées au-dessus de 25 ans) ;</w:t>
        <w:br/>
        <w:t>- Maladie pulmonaire obstructive chronique (MPOC) chez l'adulte (estimée à plus de 25 ans) ; et</w:t>
        <w:br/>
        <w:t>- Cancer du poumon chez l'adulte (estimé à plus de 25 ans).</w:t>
        <w:br/>
        <w:t xml:space="preserve">In order to achieve a meaningful reduction in deaths associated with air pollution from particulate matter, it is important not only and firstly to </w:t>
        <w:br/>
        <w:t xml:space="preserve">réduire les niveaux de pollution de l'air, mais aussi réduire l'exposition autant que possible (par exemple pour la pollution de l'air domestique en utilisant des technologies de cuisson propres, </w:t>
        <w:br/>
        <w:t>éviter de cuisiner avec les enfants, etc.) et réduire la prévalence des maladies liées à la pollution de l'air telles que celles mentionnées ci-dessus.</w:t>
      </w:r>
    </w:p>
    <w:p>
      <w:pPr>
        <w:pStyle w:val="Heading2"/>
      </w:pPr>
      <w:r>
        <w:t>Page 95</w:t>
      </w:r>
    </w:p>
    <w:p>
      <w:r>
        <w:t>Texte d'en-tête</w:t>
        <w:br/>
        <w:t>Texte de pied de page</w:t>
        <w:br/>
        <w:t>Méthode de calcul et autres considérations méthodologiques</w:t>
        <w:br/>
        <w:t xml:space="preserve">- Exposition à la pollution de l'air ambiant : Les pays signalant régulièrement des concentrations annuelles de PM2,5 ou PM10 provenant des réseaux de surveillance au sol peuvent </w:t>
        <w:br/>
        <w:t xml:space="preserve">utiliser ces valeurs, à condition qu'elles soient représentatives du niveau d'exposition de la population (par exemple, la station de surveillance doit être située </w:t>
        <w:br/>
        <w:t xml:space="preserve">où les gens passent beaucoup de temps, pour le travail, les loisirs ou la résidence). Sinon, l'exposition de la population du pays à la moyenne annuelle </w:t>
        <w:br/>
        <w:t xml:space="preserve">Les concentrations de particules (PM2,5, d'un diamètre égal ou inférieur à 2,5 micromètres) sont dérivées de méthodes utilisant à la fois le sol </w:t>
        <w:br/>
        <w:t>les mesures et les informations satellitaires, comme régulièrement signalées pour l'ODD 11.6.2 pour les zones urbaines, mais sont également dérivées pour les zones urbaines et rurales (voir http://</w:t>
        <w:br/>
        <w:t>) et peut être utilisé. www.who.int/airpollution/ambient/AAP_exposure_Apr2018_final.pdf?ua=1</w:t>
        <w:br/>
        <w:t xml:space="preserve">- Exposition à la pollution de l'air domestique : les pays ayant effectué une surveillance spécifique et appropriée des PM2,5 en intérieur (par exemple l'Inde) peuvent les utiliser. </w:t>
        <w:br/>
        <w:t xml:space="preserve">valeurs. Pour les autres, l'indicateur indirect de la proportion de la population d'un pays dépendant principalement de combustibles et de technologies polluantes pour la cuisson, </w:t>
        <w:br/>
        <w:t xml:space="preserve">comme régulièrement rapporté dans les enquêtes nationales auprès des ménages ou les recensements peuvent être utilisés. Cet indicateur est modélisé par l'OMS et régulièrement rapporté comme ODD </w:t>
        <w:br/>
        <w:t>7.1.2. (voir : ). La source des données pour les estimations modélisées et rapportées http://www.who.int/airpollution/data/HAP_exposure_results_final.pdf?ua=1</w:t>
        <w:br/>
        <w:t>Il s’agit de données nationales provenant d’enquêtes ou de recensements nationaux auprès des ménages.</w:t>
        <w:br/>
        <w:t xml:space="preserve">- Données démographiques : les données démographiques utilisées proviennent de la Division de la population des Nations Unies, The World Population Prospects - 2017. </w:t>
        <w:br/>
        <w:t>révision, New York 2017 (5). Le pays peut avoir ses propres estimations de population.</w:t>
        <w:br/>
        <w:t xml:space="preserve">- Données de santé : Le nombre total de décès et de DALY (années de vie ajustées sur l'incapacité) pour chaque pays, par sexe et tranche d'âge pour les maladies aiguës inférieures. </w:t>
        <w:br/>
        <w:t xml:space="preserve">les infections respiratoires (ALRI), les maladies pulmonaires obstructives chroniques (MPOC), le cancer du poumon, les cardiopathies ischémiques (IHD) et les accidents vasculaires cérébraux ont </w:t>
        <w:br/>
        <w:t>été compilé par l'Organisation mondiale de la santé ( ). Le pays peut avoir ses propres estimations sanitaires.10</w:t>
        <w:br/>
        <w:t xml:space="preserve">- Relations exposition-risque : pour estimer le risque relatif d'une maladie causée par l'exposition à la pollution atmosphérique par les PM2,5, une exposition intégrée </w:t>
        <w:br/>
        <w:t xml:space="preserve">la fonction de réponse (IER) est utilisée. L'IER a été initialement développé pour l'étude sur la charge mondiale de morbidité (Lim et al, 2010 ; Burnett et al, 2014). </w:t>
        <w:br/>
        <w:t xml:space="preserve">et a également été utilisé par l’OMS (12,13). L'IER combine les preuves épidémiologiques de la pollution de l'air extérieur, de la fumée secondaire, </w:t>
        <w:br/>
        <w:t xml:space="preserve">pollution de l'air domestique et tabagisme actif pour estimer le niveau de risque de maladie (par exemple, accident vasculaire cérébral) à différents niveaux de concentrations de PM2,5 (c'est-à-dire </w:t>
        <w:br/>
        <w:t xml:space="preserve">dose). En d’autres termes, la même relation ou mesure mathématique est utilisée pour estimer le risque de maladie cardiaque due aux particules. </w:t>
        <w:br/>
        <w:t xml:space="preserve">provenant de la pollution de l’air extérieur comme celle de la fumée secondaire ou de la pollution de l’air domestique. Une version mise à jour des fonctions IER est utilisée pour </w:t>
        <w:br/>
        <w:t xml:space="preserve">ALRI, BPCO, cancer du poumon, IHD et accident vasculaire cérébral, comme dans Cohen et al (4) et GBD 2016 (14). Cependant, les risques relatifs dérivés des pays (par exemple France, </w:t>
        <w:br/>
        <w:t>Chine) ou des études régionales (projet HRAPIE pour l'Europe) peuvent être utilisées si disponibles.</w:t>
      </w:r>
    </w:p>
    <w:p>
      <w:pPr>
        <w:pStyle w:val="Heading2"/>
      </w:pPr>
      <w:r>
        <w:t>Page 96</w:t>
      </w:r>
    </w:p>
    <w:p>
      <w:r>
        <w:t>Texte d'en-tête</w:t>
        <w:br/>
        <w:t>Texte de pied de page</w:t>
        <w:br/>
        <w:t>Désagrégation des données</w:t>
        <w:br/>
        <w:t>Références</w:t>
        <w:br/>
        <w:t>Méthode de calcul :</w:t>
        <w:br/>
        <w:t xml:space="preserve">Les taux de mortalité attribuables à la pollution atmosphérique due aux particules peuvent être obtenus grâce à la méthodologie d'évaluation comparative des risques (Ezzati </w:t>
        <w:br/>
        <w:t xml:space="preserve">et al, 2002). Elle consiste à évaluer une fraction attribuable à la population (FAP) pour chaque maladie associée à la pollution de l’air. Cette fraction est dérivée </w:t>
        <w:br/>
        <w:t>à partir de la distribution de l'exposition dans la population, et appliqué (par exemple multiplié) au taux de maladie de fond de la maladie :[1]</w:t>
        <w:br/>
        <w:t xml:space="preserve">Fardeau attribuable = PAF x maladie de fond (exprimée en nombre, taux de décès, DALY, etc.) </w:t>
        <w:br/>
        <w:t xml:space="preserve">Les FAP pour la pollution de l’air ambiant et domestique sont d’abord calculés séparément. Ils sont ensuite combinés de manière à prendre en compte les </w:t>
        <w:br/>
        <w:t xml:space="preserve">chevauchement, c’est-à-dire le fait que la pollution de l’air domestique contribue à la pollution de l’air ambiant (Ezzatti et al, 2003, Lim et al, 2010). </w:t>
        <w:br/>
        <w:t xml:space="preserve">La mortalité imputable aux effets conjoints de la pollution de l'air domestique et ambiant (MAP), exprimée pour 100 000 personnes, peut être calculée </w:t>
        <w:br/>
        <w:t>en utilisant la formule :</w:t>
        <w:br/>
        <w:t xml:space="preserve"> </w:t>
        <w:br/>
        <w:t>Le numérateur peut être estimé à l’aide d’une approche qui implique les étapes suivantes :</w:t>
        <w:br/>
        <w:t>(1) Mesurer l’étendue de l’exposition dans la population</w:t>
        <w:br/>
        <w:t>(2) Mesurer le risque accru (ou relatif) d'une maladie résultant de l'exposition</w:t>
        <w:br/>
        <w:t xml:space="preserve">(3) Application de la fraction obtenue par (1) et (2) à la charge totale de morbidité </w:t>
        <w:br/>
        <w:t xml:space="preserve">Plus d'informations peuvent être trouvées sur : http://www.who.int/airpollution/data/en/  </w:t>
        <w:br/>
        <w:t>Commentaires et limites :</w:t>
        <w:br/>
        <w:t xml:space="preserve">- Les niveaux de pollution de l'air ambiant par les particules provenant des réseaux de surveillance au sol peuvent être utilisés comme mesures d'exposition, à condition qu'ils </w:t>
        <w:br/>
        <w:t xml:space="preserve">are representative for the level of exposure in the population (e.g. the monitoring station must be located where people spend a meaningful </w:t>
        <w:br/>
        <w:t>temps, pour le travail, les loisirs ou le logement).</w:t>
        <w:br/>
        <w:t xml:space="preserve">- La proportion de ménages dans un pays dépendant principalement de combustibles et de technologies polluantes pour cuisiner est actuellement utilisée comme indicateur indirect pour </w:t>
        <w:br/>
        <w:t xml:space="preserve">exposition dérivée à la pollution de l’air domestique. Les ménages qui cuisinent principalement avec du charbon, du bois, du charbon de bois, du fumier, des résidus de récolte ou du kérosène sont </w:t>
        <w:br/>
        <w:t xml:space="preserve">considérée comme exposée.  Il existe cependant de plus en plus de données disponibles sur les mesures de PM2,5 à l'intérieur (par exemple dans la cuisine) dues à la cuisson avec </w:t>
        <w:br/>
        <w:t xml:space="preserve">carburants polluants. Actuellement, il existe très peu, voire aucune, de données représentatives à l'échelle nationale sur le type de cuisinières à combustible solide. Toutefois, reconnaissant </w:t>
        <w:br/>
        <w:t xml:space="preserve">the importance of how the fuel and technology impact the level of household air pollution, estimate exposure and disease burden attributed to </w:t>
        <w:br/>
        <w:t xml:space="preserve">la combinaison des poêles à combustible et à combustible solide (en attendant la disponibilité des données) sera envisagée à l'avenir. Il en va de même pour l’utilisation de produits polluants </w:t>
        <w:br/>
        <w:t xml:space="preserve">combustible et technologies pour le chauffage et l’éclairage </w:t>
        <w:br/>
        <w:t xml:space="preserve">Une approximation des effets combinés des facteurs de risque est possible si l'indépendance et la faible corrélation entre les facteurs de risque ayant des impacts sur le </w:t>
        <w:br/>
        <w:t xml:space="preserve">les mêmes maladies peuvent être supposées (Ezzati et al 2003). Dans le cas de la pollution atmosphérique, il existe cependant certaines limites à l’estimation des effets conjoints : </w:t>
        <w:br/>
        <w:t xml:space="preserve">connaissances limitées sur la répartition de la population exposée à la fois à la pollution de l'air domestique et ambiant, corrélation des expositions au niveau individuel </w:t>
        <w:br/>
        <w:t xml:space="preserve">car la pollution de l’air domestique contribue à la pollution de l’air ambiant et aux interactions non linéaires (Lim et al. 2012, Smith et al. 2014). Dans plusieurs </w:t>
        <w:br/>
        <w:t xml:space="preserve">Toutefois, dans certaines régions, la pollution de l’air domestique reste principalement un problème rural, tandis que la pollution de l’air ambiant est principalement un problème urbain. Aussi, dans </w:t>
        <w:br/>
        <w:t xml:space="preserve">Sur certains continents, de nombreux pays sont relativement épargnés par la pollution de l’air domestique, alors que la pollution de l’air ambiant constitue une préoccupation majeure. If assuming </w:t>
        <w:br/>
        <w:t xml:space="preserve">indépendance et peu de corrélation, une estimation approximative de l'impact total peut être calculée, qui est inférieure à la somme de l'impact des deux risques </w:t>
        <w:br/>
        <w:t xml:space="preserve">facteurs. </w:t>
        <w:br/>
        <w:t>Indicateurs proxy, alternatifs et supplémentaires : N/A</w:t>
        <w:br/>
        <w:t>[1] Exemple  : PAF = 0,18, nombre de décès par cancer du poumon : 100, mortalité attribuable =  0,18 x 100 =  18.</w:t>
        <w:br/>
        <w:t>Cet indicateur peut être ventilé par sexe, maladie soi et l'âge.</w:t>
      </w:r>
    </w:p>
    <w:p>
      <w:pPr>
        <w:pStyle w:val="Heading2"/>
      </w:pPr>
      <w:r>
        <w:t>Page 97</w:t>
      </w:r>
    </w:p>
    <w:p>
      <w:r>
        <w:t>Texte d'en-tête</w:t>
        <w:br/>
        <w:t>Texte de pied de page</w:t>
        <w:br/>
        <w:t>Organisation(s) internationale(s) de surveillance mondiale</w:t>
        <w:br/>
        <w:t>URL officielle des métadonnées ODD</w:t>
        <w:br/>
        <w:t xml:space="preserve">https://unstats.un.org/sdgs/metadata/files/Metadata-03-09-01.pdf  </w:t>
        <w:br/>
        <w:t xml:space="preserve">Méthodologie reconnue au niveau international et URL des lignes directrices </w:t>
        <w:br/>
        <w:t>N/D</w:t>
        <w:br/>
        <w:t>Autres références</w:t>
        <w:br/>
        <w:t xml:space="preserve">Cohen et coll. Estimations et tendances sur 25 ans de la charge mondiale de morbidité attribuable à la pollution de l'air ambiant : une analyse des données du Global </w:t>
        <w:br/>
        <w:t>Étude sur la charge de travail des maladies 2015 Lancet 2017 Volume 389, n° 10082, p1907-1918,</w:t>
        <w:br/>
        <w:t>ONU. Perspectives d'urbanisation mondiale : base de données démographique révisée de 2017 : Nations Unies ; 2017</w:t>
        <w:br/>
        <w:t xml:space="preserve">Shaddick G et coll. (2017) Modèle d'intégration de données pour la qualité de l'air : une approche hiérarchique de l'estimation globale des expositions à l'air ambiant </w:t>
        <w:br/>
        <w:t>pollution. Statistiques appliquées juin.</w:t>
        <w:br/>
        <w:t>Manuscrit en préparation (OMS/Université d'Exeter). Veuillez consulter : .www.exeter.ac.uk/globalairquality</w:t>
        <w:br/>
        <w:t>Base de données de l'OMS sur la qualité de l'air ambiant (extérieur) (mise à jour 2018). Genève, Organisation mondiale de la santé, 2018. http://www.who.int/phe/health_topics</w:t>
        <w:br/>
        <w:t xml:space="preserve"> /outdoorair/bases de données/villes/fr/</w:t>
        <w:br/>
        <w:t>Plus d'informations sur : www.who.int/airpollution/data/modelled-estimates/en/</w:t>
        <w:br/>
        <w:t>Estimations de la santé mondiale 2016 : Décès par cause, âge et sexe, par pays, 2000-2016. Genève, Organisation mondiale de la santé, 2018.</w:t>
        <w:br/>
        <w:t xml:space="preserve">Burnett RT, Pope A, Ezzati M, Olives C, Lim SS, Mehta S et al. Une fonction de risque intégrée pour estimer la charge mondiale de morbidité attribuable </w:t>
        <w:br/>
        <w:t>à l’exposition ambiante aux particules fines. Perspective Santé Environ. 2014;122(4):397-403. est ce que je:10.1289/eHP.1307049</w:t>
        <w:br/>
        <w:t>Méthodes de détermination de la charge de morbidité attribuable à la pollution de l'air domestique pour l'année 2012. Genève : Organisation mondiale de la Santé ; 2014. (http://www.</w:t>
        <w:br/>
        <w:t>).who.int/phe/health_topics/outdoorair/databases/HAP_BoD_methods_March2014.pdf?ua=1</w:t>
        <w:br/>
        <w:t xml:space="preserve">Pollution de l'air ambiant : une évaluation mondiale de l'exposition et de la charge de morbidité. Genève, Organisation mondiale de la santé, 2016. </w:t>
        <w:br/>
        <w:t xml:space="preserve">Bonjour et coll. (2013). Environ Health Perspectives, doi : Utilisation de combustibles solides pour la cuisine domestique : estimations nationales et régionales pour 1980-2010. </w:t>
        <w:br/>
        <w:t>10.1289/ehp.1205987. Disponible sur : https://ehp.niehs.nih.gov/1205987/</w:t>
        <w:br/>
        <w:t xml:space="preserve">Burnett et coll. (2014). Une fonction de risque intégrée pour estimer la charge mondiale de morbidité attribuable aux particules fines ambiantes </w:t>
        <w:br/>
        <w:t>Environ Health Perspectives, Vol 122, Numéro 4. Disponible sur : Exposure. https://ehp.niehs.nih.gov/1307049/</w:t>
        <w:br/>
        <w:t>Ezzati et coll. (2003).  The Lancet, 362 : 271-80. Estimations des gains potentiels en matière de santé au niveau mondial et régional grâce à la réduction de plusieurs facteurs de risque majeurs,</w:t>
        <w:br/>
        <w:t>Disponible sur : https://www.researchgate.net/profile/James_Leigh3/publication</w:t>
        <w:br/>
        <w:t>/267098625_Estimates_of_global_and_regional_potential_gains_from_reducing_multiple_risk_factors/links/59eea3264585154350e819cf</w:t>
        <w:br/>
        <w:t>/Estimations-des-gains-potentiels-mondiaux-et-régionaux-dès-la-réduction-de-multiples-facteurs-de-risque.pdf</w:t>
        <w:br/>
        <w:t>Ezzati et coll. (2002).  La Lancette. 360(9343):1347-60. Disponible sur : Principaux facteurs de risque sélectionnés et charge mondiale et régionale de morbidité, http://i</w:t>
        <w:br/>
        <w:t>mage.thelancet.com/extras/02art9066web.pdf</w:t>
        <w:br/>
        <w:t xml:space="preserve">Forouzanfar et al. (2015). Évaluation comparative des risques mondiaux, régionaux et nationaux de 79 risques comportementaux, environnementaux et professionnels, et </w:t>
        <w:br/>
        <w:t xml:space="preserve">The Lancet, risques métaboliques ou groupes de risques dans 188 pays, 1990-2013 : une analyse systématique pour l'étude sur la charge mondiale de morbidité 2013. </w:t>
        <w:br/>
        <w:t>386 : 2287-323. Disponible sur : https://www.ncbi.nlm.nih.gov/pubmed/26364544</w:t>
        <w:br/>
        <w:t xml:space="preserve">Lim et coll. (2012). Une évaluation comparative des risques de la charge de morbidité et des blessures attribuables à 67 facteurs de risque et groupes de facteurs de risque dans 21 </w:t>
        <w:br/>
        <w:t xml:space="preserve"> The Lancet, 380(9859):2224-60. Disponible sur : régions, 1990-2010 : une analyse systématique pour l'étude sur la charge mondiale de morbidité 2010. https://ww</w:t>
        <w:br/>
        <w:t>w.ncbi.nlm.nih.gov/pubmed/23245609</w:t>
        <w:br/>
        <w:t xml:space="preserve">Smith et coll. (2014).  Des millions de morts : comment le savons-nous et qu’est-ce que cela signifie ? Méthodes utilisées dans l'évaluation comparative des risques des ménages </w:t>
        <w:br/>
        <w:t>Revue annuelle de la santé publique, Vol 35. Disponible sur : Pollution atmosphérique http://www.annualreviews.org/doi/abs/10.1146/annurev-publhealth-032013-</w:t>
        <w:br/>
        <w:t>182356</w:t>
        <w:br/>
        <w:t>OMS (2014a). . Genève. Disponible sur : Description des méthodes pour la charge de morbidité attribuable à l'air domestique pollution http://www.who.int/phe</w:t>
        <w:br/>
        <w:t>/health_topics/outdoorair/database/HAP_BoD_methods_March2014.pdf?ua=1</w:t>
        <w:br/>
        <w:t>OMS (2014b).  Genève. Estimations mondiales disponibles en matière de santé 2013 : Décès par cause, âge et sexe, par pays, 2000-2012 (estimations provisoires).</w:t>
        <w:br/>
        <w:t>sur : http://www.who.int/healthinfo/global_burden_disease/GHE_DALY_Global_2000_2012.xls</w:t>
        <w:br/>
        <w:t>OMS (2016).  Genève. Disponible sur : Pollution de l’air : une évaluation mondiale de l’exposition et de la charge de morbidité. http://who.int/phe/publications/air-</w:t>
        <w:br/>
        <w:t xml:space="preserve"> évaluation-globale-de-la-pollution/fr/</w:t>
        <w:br/>
        <w:t>Exemples de pays</w:t>
        <w:br/>
        <w:t>N/D</w:t>
        <w:br/>
        <w:t>Ce document a été préparé sur la base des contributions de l'Organisation mondiale de la santé (OMS).</w:t>
        <w:br/>
        <w:t>Pour obtenir des informations sur les points focaux pour cet indicateur, veuillez visiter https://unstats.un.org/sdgs/dataContacts/</w:t>
      </w:r>
    </w:p>
    <w:p>
      <w:pPr>
        <w:pStyle w:val="Heading2"/>
      </w:pPr>
      <w:r>
        <w:t>Page 98</w:t>
      </w:r>
    </w:p>
    <w:p>
      <w:r>
        <w:t>Texte d'en-tête</w:t>
        <w:br/>
        <w:t>Texte de pied de page</w:t>
      </w:r>
    </w:p>
    <w:p>
      <w:pPr>
        <w:pStyle w:val="Heading2"/>
      </w:pPr>
      <w:r>
        <w:t>Page 99</w:t>
      </w:r>
    </w:p>
    <w:p>
      <w:r>
        <w:t>Texte d'en-tête</w:t>
        <w:br/>
        <w:t>Texte de pied de page</w:t>
        <w:br/>
        <w:t>Indicateur 3.9.2</w:t>
        <w:br/>
        <w:t>Page d'accueil du manuel électronique</w:t>
        <w:br/>
        <w:t xml:space="preserve"> </w:t>
        <w:br/>
        <w:t>Nom de l’indicateur, cible et objectif</w:t>
        <w:br/>
        <w:t>Définition et justification</w:t>
        <w:br/>
        <w:t>Sources de données et méthode de collecte</w:t>
        <w:br/>
        <w:t>Méthode de calcul et autres considérations méthodologiques</w:t>
        <w:br/>
        <w:t>Contenu</w:t>
        <w:br/>
        <w:t>Nom de l’indicateur, cible et objectif</w:t>
        <w:br/>
        <w:t>Définition et justification</w:t>
        <w:br/>
        <w:t>Sources de données et méthode de collecte</w:t>
        <w:br/>
        <w:t>Méthode de calcul et autres considérations méthodologiques</w:t>
        <w:br/>
        <w:t>Désagrégation des données</w:t>
        <w:br/>
        <w:t>Références</w:t>
        <w:br/>
        <w:t>Organisation(s) internationale(s) de surveillance mondiale</w:t>
        <w:br/>
        <w:t xml:space="preserve"> Indicateur 3.9.2 : Taux de mortalité attribué à l'eau insalubre, à l'assainissement insalubre et au manque d'hygiène (exposition à l'eau insalubre, à l'assainissement et au manque d'hygiène). </w:t>
        <w:br/>
        <w:t>Services d'hygiène pour tous (WASH)</w:t>
        <w:br/>
        <w:t xml:space="preserve">Cible 3.9 : D’ici 2030, réduire considérablement le nombre de décès et de maladies dus aux produits chimiques dangereux et à la pollution de l’air, de l’eau et du sol, et </w:t>
        <w:br/>
        <w:t>pollution</w:t>
        <w:br/>
        <w:t>Objectif 3 : Garantir une vie saine et promouvoir le bien-être de tous à tout âge</w:t>
        <w:br/>
        <w:t>Définition :</w:t>
        <w:br/>
        <w:t xml:space="preserve">Cet indicateur est défini comme le nombre de décès dus à une eau insalubre, à un assainissement insalubre et au manque d'hygiène (exposition à des services WASH dangereux). </w:t>
        <w:br/>
        <w:t xml:space="preserve">en un an pour 100 000 habitants. </w:t>
        <w:br/>
        <w:t>Concepts :</w:t>
        <w:br/>
        <w:t xml:space="preserve">Les décès attribuables à l'eau, à l'assainissement et à l'hygiène insalubres (WASH) sont comptabilisés à l'aide des fractions de diarrhée attribuables à WASH (ICD-10). </w:t>
        <w:br/>
        <w:t xml:space="preserve">codes A00, A01, A03, A04, A06-A09), infections à nématodes intestinaux (codes CIM-10 B76-B77, B79) et malnutrition protéino-énergétique (code CIM-10 </w:t>
        <w:br/>
        <w:t xml:space="preserve">E40-E46). </w:t>
        <w:br/>
        <w:t>Justification et interprétation :</w:t>
        <w:br/>
        <w:t xml:space="preserve">Le nombre de décès dus à une eau insalubre, à un assainissement et à une hygiène insalubres peut être évité en améliorant ces services et ces pratiques. Par conséquent, </w:t>
        <w:br/>
        <w:t>mesurer le nombre de décès pouvant être attribués à des activités WASH non sécurisées soutient les progrès vers une telle prévention.</w:t>
        <w:br/>
        <w:t xml:space="preserve">Données sur la proportion de la population utilisant des services d'eau potable gérés en toute sécurité, des services d'assainissement gérés en toute sécurité et disposant d'un </w:t>
        <w:br/>
        <w:t xml:space="preserve">les installations de lavage des mains avec de l'eau et du savon à la maison sont compilées sur une base annuelle à partir d'enquêtes auprès des ménages représentatives du pays (telles que MICS </w:t>
        <w:br/>
        <w:t>et DHS) via le JMP et est accessible depuis leur site Web : https://washdata.org/</w:t>
        <w:br/>
        <w:t xml:space="preserve">Le risque accru d'exposition à des produits WASH dangereux est estimé à partir de a) l'examen systématique des preuves scientifiques des effets sur la santé des produits WASH dangereux. </w:t>
        <w:br/>
        <w:t xml:space="preserve">WASH, et b) des techniques statistiques, telles que la méta-analyse, pour dériver une estimation combinée ou groupée de l'effet sur la santé associé. Ces </w:t>
        <w:br/>
        <w:t>les estimations sont également mises à jour régulièrement et les dernières mises à jour peuvent être trouvées ici : https://onlinelibrary.wiley.com/doi/abs/10.1111/tmi.13051</w:t>
        <w:br/>
        <w:t xml:space="preserve">Les chiffres nationaux de mortalité par maladie les plus récents peuvent être téléchargés sur le site Web de l’Observatoire mondial de la santé de l’OMS (GHO). </w:t>
        <w:br/>
        <w:t>site Web : http://www.who.int/healthinfo/global_burden_disease/estimates/en/</w:t>
      </w:r>
    </w:p>
    <w:p>
      <w:pPr>
        <w:pStyle w:val="Heading2"/>
      </w:pPr>
      <w:r>
        <w:t>Page 100</w:t>
      </w:r>
    </w:p>
    <w:p>
      <w:r>
        <w:t>Texte d'en-tête</w:t>
        <w:br/>
        <w:t>Texte de pied de page</w:t>
        <w:br/>
        <w:t>Désagrégation des données</w:t>
        <w:br/>
        <w:t>Références</w:t>
        <w:br/>
        <w:t xml:space="preserve">1.  </w:t>
        <w:br/>
        <w:t xml:space="preserve">2.  </w:t>
        <w:br/>
        <w:t xml:space="preserve">3.  </w:t>
        <w:br/>
        <w:t>Méthode de calcul :</w:t>
        <w:br/>
        <w:t>La mortalité due à une eau insalubre, à un assainissement insalubre et au manque d'hygiène peut être calculée par la formule :</w:t>
        <w:br/>
        <w:t xml:space="preserve">      </w:t>
        <w:br/>
        <w:t xml:space="preserve">Le numérateur pourrait être estimé à l'aide d'une approche qui calcule la fraction attribuable à la population (FAP), qui est la proportion </w:t>
        <w:br/>
        <w:t xml:space="preserve">réduction des décès ou des maladies qui surviendraient si l’exposition à un risque était supprimée ou réduite à une distribution alternative de l’exposition. Le </w:t>
        <w:br/>
        <w:t>Le calcul du PAF comprend les étapes suivantes :</w:t>
        <w:br/>
        <w:t>(1) Mesurer l'étendue de l'exposition dans la population (P )i</w:t>
        <w:br/>
        <w:t>(2) Mesurer le risque accru (ou relatif) de maladie résultant de l'exposition (RR)i</w:t>
        <w:br/>
        <w:t>(3) Application de la fraction obtenue par (1) et (2) à la charge totale de morbidité</w:t>
        <w:br/>
        <w:t xml:space="preserve">Pour le cas le plus simple où l'exposition est catégorielle (groupée) et l'exposition est complètement supprimée ou comparée à une exposition non exposée. </w:t>
        <w:br/>
        <w:t xml:space="preserve">population, le PAF peut être calculé comme suit :                                                                                                                                                                     </w:t>
        <w:br/>
        <w:t xml:space="preserve">Le PAF est ensuite multiplié par la charge totale de morbidité (ici la mortalité) pour calculer la mortalité attribuable (comme le « Nombre de décès </w:t>
        <w:br/>
        <w:t>de WASH dangereux »utilisé dans la formule (I)).</w:t>
        <w:br/>
        <w:t xml:space="preserve">Pour différentes situations, c'est-à-dire que l'exposition est continue ou qu'elle n'est pas complètement supprimée, la formule (II) doit être adaptée. Cela peut être trouvé dans le </w:t>
        <w:br/>
        <w:t>rapport suivant à la page 120 (Annexe 3) : http://apps.who.int/iris/bitstream/handle/10665/204585/9789241565196_eng.pdf?sequence=1</w:t>
        <w:br/>
        <w:t>Une description plus détaillée des techniques et des modèles statistiques qui pourraient être utilisés pour estimer le numérateur peut être trouvée sur : https://www.</w:t>
        <w:br/>
        <w:t>ncbi.nlm.nih.gov/pmc/articles/PMC4156511/</w:t>
        <w:br/>
        <w:t>Commentaires et limites :</w:t>
        <w:br/>
        <w:t xml:space="preserve">La principale limite est que tous les pays ne disposent pas de systèmes d’enregistrement des décès et que les données d’enregistrement des enquêtes doivent être complétées par d’autres types de données. </w:t>
        <w:br/>
        <w:t xml:space="preserve">informations. En outre, l’évaluation de l’exposition et l’estimation du risque (relatif) accru dû à une exposition spécifique impliquent différents degrés. </w:t>
        <w:br/>
        <w:t>d'incertitudes qui conduisent à des incertitudes dans les PAF qui en résultent.</w:t>
        <w:br/>
        <w:t>Indicateurs proxy, alternatifs et complémentaires :</w:t>
        <w:br/>
        <w:t>L’exposition à des services WASH dangereux et le risque accru (ou relatif) résultant de cette exposition peuvent être estimés à l’aide de trois indicateurs proxy :</w:t>
        <w:br/>
        <w:t>la proportion de la population utilisant des services d’eau potable gérés en toute sécurité</w:t>
        <w:br/>
        <w:t>la proportion de la population utilisant des services d’assainissement gérés en toute sécurité</w:t>
        <w:br/>
        <w:t>la proportion de la population disposant d’installations pour se laver les mains avec de l’eau et du savon à la maison.</w:t>
        <w:br/>
        <w:t xml:space="preserve">Les services d'eau potable gérés en toute sécurité sont définis comme de l'eau potable provenant d'une source d'eau améliorée située sur place, disponible </w:t>
        <w:br/>
        <w:t xml:space="preserve">en cas de besoin et exempts de contamination fécale et chimique prioritaire. Les services d’assainissement gérés en toute sécurité sont définis comme l’utilisation d’installations améliorées. </w:t>
        <w:br/>
        <w:t xml:space="preserve">des installations qui ne sont pas partagées avec d’autres ménages et où les excréments sont éliminés en toute sécurité sur place ou transportés et traités hors site. Pour une liste de </w:t>
        <w:br/>
        <w:t xml:space="preserve">des services d'eau et d'assainissement améliorés et des informations plus détaillées, veuillez vous référer au site Web du Programme de surveillance conjointe OMS/UNICEF. </w:t>
        <w:br/>
        <w:t>Programme d'Approvisionnement en Eau, Assainissement et Hygiène (JMP) : https://washdata.org/</w:t>
        <w:br/>
        <w:t>Cet indicateur peut être ventilé par situation géographique, tranche d’âge, sexe et groupes de revenus (quintiles de richesse).</w:t>
      </w:r>
    </w:p>
    <w:p>
      <w:pPr>
        <w:pStyle w:val="Heading2"/>
      </w:pPr>
      <w:r>
        <w:t>Page 101</w:t>
      </w:r>
    </w:p>
    <w:p>
      <w:r>
        <w:t>Texte d'en-tête</w:t>
        <w:br/>
        <w:t>Texte de pied de page</w:t>
        <w:br/>
        <w:t>Organisation(s) internationale(s) de surveillance mondiale</w:t>
        <w:br/>
        <w:t>URL officielle des métadonnées ODD</w:t>
        <w:br/>
        <w:t xml:space="preserve">https://unstats.un.org/sdgs/metadata/files/Metadata-03-09-02.pdf </w:t>
        <w:br/>
        <w:t>Méthodologie reconnue au niveau international et URL des lignes directrices</w:t>
        <w:br/>
        <w:t xml:space="preserve">http://apps.who.int/gho/data/node.imr.SDGWSHBOD?lang=en  </w:t>
        <w:br/>
        <w:t>Autres références</w:t>
        <w:br/>
        <w:t>QUI. . Genève. Disponible sur : Observatoire mondial de la santé : définition des indicateurs http://apps.who.int/gho/data/node.imr.SDGWSHBOD?lang=en</w:t>
        <w:br/>
        <w:t>http://www.who.int/water_sanitation_health/diseases-risks/burden/en/</w:t>
        <w:br/>
        <w:t>OMS (2014). Genève. Disponible sur : Méthodes et sources de données de l’OMS sur les causes de décès au niveau des pays 2000-2012. http://www.who.int/healthinfo</w:t>
        <w:br/>
        <w:t>/global_burden_disease/GlobalCOD_method_2000_2012.pdf?ua=1</w:t>
        <w:br/>
        <w:t xml:space="preserve">Exemples de pays </w:t>
        <w:br/>
        <w:t>N/D</w:t>
        <w:br/>
        <w:t>Ce document a été préparé sur la base des contributions de l'Organisation mondiale de la santé (OMS).</w:t>
        <w:br/>
        <w:t>Pour obtenir des informations sur les points focaux pour cet indicateur, veuillez visiter https://unstats.un.org/sdgs/dataContacts/</w:t>
      </w:r>
    </w:p>
    <w:p>
      <w:pPr>
        <w:pStyle w:val="Heading2"/>
      </w:pPr>
      <w:r>
        <w:t>Page 102</w:t>
      </w:r>
    </w:p>
    <w:p>
      <w:r>
        <w:t>Texte d'en-tête</w:t>
        <w:br/>
        <w:t>Texte de pied de page</w:t>
        <w:br/>
        <w:t>Indicateur 3.9.3</w:t>
        <w:br/>
        <w:t>Page d'accueil du manuel électronique</w:t>
        <w:br/>
        <w:t xml:space="preserve"> </w:t>
        <w:br/>
        <w:t>Nom de l’indicateur, cible et objectif</w:t>
        <w:br/>
        <w:t>Définition et justification</w:t>
        <w:br/>
        <w:t>Sources de données et méthode de collecte</w:t>
        <w:br/>
        <w:t>Méthode de calcul et autres considérations méthodologiques</w:t>
        <w:br/>
        <w:t>Contenu</w:t>
        <w:br/>
        <w:t>Nom de l’indicateur, cible et objectif</w:t>
        <w:br/>
        <w:t>Définition et justification</w:t>
        <w:br/>
        <w:t>Sources de données et méthode de collecte</w:t>
        <w:br/>
        <w:t>Méthode de calcul et autres considérations méthodologiques</w:t>
        <w:br/>
        <w:t>Désagrégation des données</w:t>
        <w:br/>
        <w:t>Références</w:t>
        <w:br/>
        <w:t>Organisation(s) internationale(s) de surveillance mondiale</w:t>
        <w:br/>
        <w:t xml:space="preserve"> Indicateur 3.9.3 : Taux de mortalité attribué aux intoxications involontaires</w:t>
        <w:br/>
        <w:t xml:space="preserve">Cible 3.9 : D’ici 2030, réduire considérablement le nombre de décès et de maladies dus aux produits chimiques dangereux et à la pollution de l’air, de l’eau et du sol, et </w:t>
        <w:br/>
        <w:t>pollution</w:t>
        <w:br/>
        <w:t>Objectif 3 : Garantir une vie saine et promouvoir le bien-être de tous à tout âge</w:t>
        <w:br/>
        <w:t>Définition :</w:t>
        <w:br/>
        <w:t xml:space="preserve">Cet indicateur est défini comme le nombre de décès par empoisonnement involontaire par an pour 100 000 habitants. </w:t>
        <w:br/>
        <w:t>Concepts :</w:t>
        <w:br/>
        <w:t xml:space="preserve">Les intoxications involontaires font référence aux codes X40, X43-X44, de la Classification statistique internationale des maladies et des problèmes de santé connexes (CIM-10). </w:t>
        <w:br/>
        <w:t xml:space="preserve">et X46-X49, classés comme « empoisonnement accidentel par exposition à des substances nocives ». </w:t>
        <w:br/>
        <w:t>Justification et interprétation :</w:t>
        <w:br/>
        <w:t xml:space="preserve">Mesurer dans quelle mesure le taux de mortalité dû aux intoxications involontaires fournit une indication de l'ampleur de la gestion inadéquate des matières dangereuses. </w:t>
        <w:br/>
        <w:t>des produits chimiques et de la pollution, ainsi que de l’efficacité du système de santé d’un pays.</w:t>
        <w:br/>
        <w:t xml:space="preserve">Les données pour cet indicateur proviennent des systèmes d’état civil qui enregistrent les événements d’état civil tels que les naissances, les décès et les mariages. État civil </w:t>
        <w:br/>
        <w:t xml:space="preserve">Les registres constituent la meilleure source de statistiques de l’état civil car ils génèrent des données de manière continue et pour l’ensemble du pays, tant au niveau national qu’au niveau national. </w:t>
        <w:br/>
        <w:t xml:space="preserve">niveaux locaux. Toutefois, ces systèmes sont souvent faibles ou incomplets dans les pays en développement. Dans les pays où le système d’état civil fait défaut </w:t>
        <w:br/>
        <w:t xml:space="preserve">couverture complète, ou présente des lacunes majeures en raison de problèmes de qualité et de respect des délais, il peut être nécessaire, à titre provisoire, d'utiliser des solutions alternatives. </w:t>
        <w:br/>
        <w:t xml:space="preserve">sources pour générer des statistiques de l’état civil. Les sources de ces données provisoires comprennent les « recensements de population », les « enquêtes par sondage auprès des ménages », les « données démographiques ». </w:t>
        <w:br/>
        <w:t xml:space="preserve">surveillance » dans les sites sentinelles et les systèmes d’enregistrement des échantillons. Même si ces sources peuvent générer, et génèrent effectivement, des mesures d’événements d’état civil, elles </w:t>
        <w:br/>
        <w:t xml:space="preserve">ne peut pas remplacer l'état civil, qui est la seule méthode permettant de collecter ces informations de manière continue et la seule source capable de </w:t>
        <w:br/>
        <w:t xml:space="preserve">fournir aux particuliers un document juridique d’un événement d’état civil. </w:t>
        <w:br/>
        <w:t>Pour plus de détails, veuillez consulter : Améliorer la qualité de l'utilisation des informations sur les naissances, les décès et les causes de décès, disponible sur : http://www.who.int</w:t>
        <w:br/>
        <w:t>/healthinfo/tool_cod_2010.pdf?ua=1</w:t>
      </w:r>
    </w:p>
    <w:p>
      <w:pPr>
        <w:pStyle w:val="Heading2"/>
      </w:pPr>
      <w:r>
        <w:t>Page 103</w:t>
      </w:r>
    </w:p>
    <w:p>
      <w:r>
        <w:t>Texte d'en-tête</w:t>
        <w:br/>
        <w:t>Texte de pied de page</w:t>
        <w:br/>
        <w:t>Désagrégation des données</w:t>
        <w:br/>
        <w:t>Références</w:t>
        <w:br/>
        <w:t>Organisation(s) internationale(s) de surveillance mondiale</w:t>
        <w:br/>
        <w:t xml:space="preserve">Méthode de calcul : </w:t>
        <w:br/>
        <w:t xml:space="preserve">Le taux de mortalité par empoisonnement involontaire peut être calculé à l’aide de la formule ci-dessous : </w:t>
        <w:br/>
        <w:t>Commentaires et limites :</w:t>
        <w:br/>
        <w:t xml:space="preserve">Les données sur les décès sont disponibles dans les pays à partir des données d'enregistrement des décès ou des systèmes d'enregistrement d'échantillons qui enregistrent des informations sur la cause du décès. </w:t>
        <w:br/>
        <w:t xml:space="preserve">décès, mais moins de la moitié des États membres de l’OMS disposent de systèmes d’enregistrement des décès qui fonctionnent bien et qui enregistrent les causes de décès. Dans les pays </w:t>
        <w:br/>
        <w:t xml:space="preserve">qui disposent de tels systèmes, les surdoses de drogues et d’alcool sont fréquemment certifiées selon le code CIM-10 X49 (« produits chimiques autres et non spécifiés et substances nocives »). </w:t>
        <w:br/>
        <w:t xml:space="preserve">substances »), ce qui conduit à une surestimation du taux de mortalité par empoisonnement involontaire dû aux produits chimiques dangereux et à la pollution. </w:t>
        <w:br/>
        <w:t>Indicateurs proxy, alternatifs et supplémentaires : N/A</w:t>
        <w:br/>
        <w:t>Cet indicateur peut être ventilé par tranche d’âge, sexe, zone infranationale et types d’empoisonnement.</w:t>
        <w:br/>
        <w:t>URL officielle des métadonnées ODD</w:t>
        <w:br/>
        <w:t xml:space="preserve">https://unstats.un.org/sdgs/metadata/files/Metadata-03-09-03.pdf </w:t>
        <w:br/>
        <w:t>Méthodologie reconnue au niveau international et URL des lignes directrices</w:t>
        <w:br/>
        <w:t xml:space="preserve">http://www.who.int/healthinfo/indicators/2018/en/ </w:t>
        <w:br/>
        <w:t>Autres références</w:t>
        <w:br/>
        <w:t>QUI. . Genève. Disponible sur : Observatoire mondial de la santé : Définition des indicateurs http://apps.who.int/gho/data/node.imr.SDGPOISON?lang=en</w:t>
        <w:br/>
        <w:t>QUI. Genève. Site Internet : Statistiques et systèmes d'information sur la santé : Estimations pour 2000-2015 – Mortalité par cause. http://www.who.int</w:t>
        <w:br/>
        <w:t>/healthinfo/global_burden_disease/estimates/en/index1.html</w:t>
        <w:br/>
        <w:t>OMS (2018). Genève. Disponible sur : Méthodes et sources de données de l’OMS sur les causes de décès au niveau des pays 2000-2016. http://terrance.who.int</w:t>
        <w:br/>
        <w:t>/mediacentre/data/ghe/GlobalCOD_method_2000_2016.pdf?ua=1</w:t>
        <w:br/>
        <w:t>OMS (2010). . Disponible sur : Améliorer la qualité de l'utilisation des informations sur les naissances, les décès et les causes de décès http://www.who.int/healthinfo</w:t>
        <w:br/>
        <w:t>/tool_cod_2010.pdf?ua=1</w:t>
        <w:br/>
        <w:t>Ce document a été préparé sur la base des contributions de l'Organisation mondiale de la santé (OMS).</w:t>
        <w:br/>
        <w:t>Pour obtenir des informations sur les points focaux pour cet indicateur, veuillez visiter https://unstats.un.org/sdgs/dataContacts/</w:t>
      </w:r>
    </w:p>
    <w:p>
      <w:pPr>
        <w:pStyle w:val="Heading2"/>
      </w:pPr>
      <w:r>
        <w:t>Page 104</w:t>
      </w:r>
    </w:p>
    <w:p>
      <w:r>
        <w:t>Texte d'en-tête</w:t>
        <w:br/>
        <w:t>Texte de pied de page</w:t>
        <w:br/>
        <w:t>Indicateur 3.b.2</w:t>
        <w:br/>
        <w:t>Page d'accueil du manuel électronique</w:t>
        <w:br/>
        <w:t xml:space="preserve"> </w:t>
        <w:br/>
        <w:t>Nom de l’indicateur, cible et objectif</w:t>
        <w:br/>
        <w:t>Définition et justification</w:t>
        <w:br/>
        <w:t>Sources de données et méthode de collecte</w:t>
        <w:br/>
        <w:t>Méthode de calcul et autres considérations méthodologiques</w:t>
        <w:br/>
        <w:t>Contenu</w:t>
        <w:br/>
        <w:t>Nom de l’indicateur, cible et objectif</w:t>
        <w:br/>
        <w:t>Définition et justification</w:t>
        <w:br/>
        <w:t>Sources de données et méthode de collecte</w:t>
        <w:br/>
        <w:t>Méthode de calcul et autres considérations méthodologiques</w:t>
        <w:br/>
        <w:t>Désagrégation des données</w:t>
        <w:br/>
        <w:t>Références</w:t>
        <w:br/>
        <w:t>Organisation(s) internationale(s) de surveillance mondiale</w:t>
        <w:br/>
        <w:t xml:space="preserve"> Indicateur 3.b.2 : Aide publique au développement nette totale en faveur des secteurs de la recherche médicale et de la santé de base </w:t>
        <w:br/>
        <w:t xml:space="preserve">Cible 3.b : Soutenir la recherche et le développement de vaccins et de médicaments contre les maladies transmissibles et non transmissibles qui </w:t>
        <w:br/>
        <w:t xml:space="preserve">affectent principalement les pays en développement, fournissent un accès à des médicaments et des vaccins essentiels à un prix abordable, conformément à la Déclaration de Doha sur </w:t>
        <w:br/>
        <w:t xml:space="preserve">l'Accord sur les ADPIC et la santé publique, qui affirme le droit des pays en développement d'utiliser pleinement les dispositions de l'Accord sur les </w:t>
        <w:br/>
        <w:t xml:space="preserve">Aspects des droits de propriété intellectuelle qui touchent au commerce concernant les flexibilités visant à protéger la santé publique et, en particulier, à donner accès à </w:t>
        <w:br/>
        <w:t>des médicaments pour tous</w:t>
        <w:br/>
        <w:t>Objectif 3 : Garantir une vie saine et promouvoir le bien-être de tous à tout âge</w:t>
        <w:br/>
        <w:t xml:space="preserve">1.  </w:t>
        <w:br/>
        <w:t xml:space="preserve">2.  </w:t>
        <w:br/>
        <w:t>Définition :</w:t>
        <w:br/>
        <w:t xml:space="preserve">Cet indicateur est défini comme le montant total des décaissements bruts d'aide publique au développement (APD) de tous les donateurs en faveur de la recherche médicale. </w:t>
        <w:br/>
        <w:t xml:space="preserve">et les secteurs de la santé de base. </w:t>
        <w:br/>
        <w:t>Concepts :</w:t>
        <w:br/>
        <w:t xml:space="preserve">L’APD est définie comme les flux vers les pays et territoires figurant sur la liste des bénéficiaires de l’APD du Comité d’aide au développement (CAD) et vers </w:t>
        <w:br/>
        <w:t>institutions multilatérales qui sont</w:t>
        <w:br/>
        <w:t>(1)    Fournis par des agences officielles, y compris les gouvernements nationaux et locaux, ou par les agences exécutives ; et</w:t>
        <w:br/>
        <w:t>(2)    Chaque transaction :</w:t>
        <w:br/>
        <w:t>est administré avec la promotion du développement économique et du bien-être des pays en développement comme objectif principal ; et</w:t>
        <w:br/>
        <w:t xml:space="preserve">a un caractère concessionnel et comporte un élément de don d'au moins 25 % (calculé avec un taux d'actualisation de 10 %). </w:t>
        <w:br/>
        <w:t xml:space="preserve">L’APD pour la recherche médicale et les secteurs de la santé de base i est calculée comme la somme de toutes les activités du Système de notification des pays créanciers (CRS) de l’OCDE. </w:t>
        <w:br/>
        <w:t xml:space="preserve">en utilisant les codes de la série 122 (santé de base) et le code CRS 12182 (recherche médicale). </w:t>
        <w:br/>
        <w:t>Justification et interprétation :</w:t>
        <w:br/>
        <w:t xml:space="preserve">Le suivi des flux totaux d'APD vers les pays en développement permet de quantifier l'effort public que les donateurs fournissent aux pays en développement en matière de soins médicaux. </w:t>
        <w:br/>
        <w:t xml:space="preserve">recherche et santé fondamentale. </w:t>
        <w:br/>
        <w:t xml:space="preserve">Les données sont communiquées par les donateurs selon la méthodologie décrite par les normes de financement du développement de l’OCDE. </w:t>
        <w:br/>
        <w:t xml:space="preserve">Un rapporteur statistique est responsable de la collecte des statistiques du CAD dans chaque pays/agence fournisseur. Ce journaliste se trouve généralement dans le </w:t>
        <w:br/>
        <w:t>agence nationale d'aide, ministère des Affaires étrangères ou des Finances, etc.</w:t>
      </w:r>
    </w:p>
    <w:p>
      <w:pPr>
        <w:pStyle w:val="Heading2"/>
      </w:pPr>
      <w:r>
        <w:t>Page 105</w:t>
      </w:r>
    </w:p>
    <w:p>
      <w:r>
        <w:t>Texte d'en-tête</w:t>
        <w:br/>
        <w:t>Texte de pied de page</w:t>
        <w:br/>
        <w:t>Désagrégation des données</w:t>
        <w:br/>
        <w:t>Références</w:t>
        <w:br/>
        <w:t>Organisation(s) internationale(s) de surveillance mondiale</w:t>
        <w:br/>
        <w:t>Méthode de calcul :</w:t>
        <w:br/>
        <w:t xml:space="preserve">Cet indicateur est calculé comme la somme de tous les flux d'APD de tous les donateurs vers les pays en développement dans le CRS pour la recherche médicale et la santé de base, </w:t>
        <w:br/>
        <w:t xml:space="preserve">comme l’ont indiqué les pays donateurs. </w:t>
        <w:br/>
        <w:t>Commentaires et limites :</w:t>
        <w:br/>
        <w:t xml:space="preserve">Les données du Système de notification des créanciers sont disponibles depuis 1973. Toutefois, la couverture des données est considérée comme complète à partir de 1995 pour les engagements. </w:t>
        <w:br/>
        <w:t xml:space="preserve">au niveau des activités et 2002 pour les décaissements. </w:t>
        <w:br/>
        <w:t>Indicateurs proxy, alternatifs et supplémentaires : N/A</w:t>
        <w:br/>
        <w:t xml:space="preserve">Les données sont disponibles au niveau des activités et peuvent donc être ventilées par donateur, bénéficiaire, type de flux, type d'aide, secteur, etc. Le secteur </w:t>
        <w:br/>
        <w:t>les données peuvent également être décomposées en niveaux plus granulaires (voir http://www.oecd.org/dac/financing-sustainable-development/development-</w:t>
        <w:br/>
        <w:t>)finance-standards/Purposecodessectorclassification.htm</w:t>
        <w:br/>
        <w:t>URL officielle des métadonnées ODD</w:t>
        <w:br/>
        <w:t xml:space="preserve">https://unstats.un.org/sdgs/metadata/files/Metadata-03-0B-02.pdf  </w:t>
        <w:br/>
        <w:t>Méthodologie reconnue au niveau international et URL des lignes directrices</w:t>
        <w:br/>
        <w:t xml:space="preserve">http://www.oecd.org/dac/financing-sustainable-development/development-finance-standards/  </w:t>
        <w:br/>
        <w:t>Autres références</w:t>
        <w:br/>
        <w:t>OCDE. Paris. Site Internet : Financement du développement durable. http://www.oecd.org/dac/financing-sustainable-development/</w:t>
        <w:br/>
        <w:t xml:space="preserve">Exemples de pays </w:t>
        <w:br/>
        <w:t>N/D</w:t>
        <w:br/>
        <w:t>Ce document a été préparé sur la base des contributions de l'Organisation de coopération et de développement économiques (OCDE).</w:t>
        <w:br/>
        <w:t>Pour obtenir des informations sur les points focaux pour cet indicateur, veuillez visiter https://unstats.un.org/sdgs/dataContacts/</w:t>
      </w:r>
    </w:p>
    <w:p>
      <w:pPr>
        <w:pStyle w:val="Heading2"/>
      </w:pPr>
      <w:r>
        <w:t>Page 106</w:t>
      </w:r>
    </w:p>
    <w:p>
      <w:r>
        <w:t>Texte d'en-tête</w:t>
        <w:br/>
        <w:t>Texte de pied de page</w:t>
        <w:br/>
        <w:t>Indicateur 3.c.1</w:t>
        <w:br/>
        <w:t>Page d'accueil du manuel électronique</w:t>
        <w:br/>
        <w:t xml:space="preserve"> </w:t>
        <w:br/>
        <w:t>Nom de l’indicateur, cible et objectif</w:t>
        <w:br/>
        <w:t>Définition et justification</w:t>
        <w:br/>
        <w:t>Sources de données et méthode de collecte</w:t>
        <w:br/>
        <w:t>Contenu</w:t>
        <w:br/>
        <w:t>Nom de l’indicateur, cible et objectif</w:t>
        <w:br/>
        <w:t>Définition et justification</w:t>
        <w:br/>
        <w:t>Sources de données et méthode de collecte</w:t>
        <w:br/>
        <w:t>Méthode de calcul et autres considérations méthodologiques</w:t>
        <w:br/>
        <w:t>Désagrégation des données</w:t>
        <w:br/>
        <w:t>Références</w:t>
        <w:br/>
        <w:t>Organisation(s) internationale(s) de surveillance mondiale</w:t>
        <w:br/>
        <w:t xml:space="preserve"> Indicateur 3.c.1 : Densité et répartition des agents de santé </w:t>
        <w:br/>
        <w:t xml:space="preserve">Cible 3.c : Augmenter considérablement le financement de la santé ainsi que le recrutement, le développement, la formation et la rétention du personnel de santé dans les pays en développement. </w:t>
        <w:br/>
        <w:t>pays, en particulier les pays les moins avancés et les petits États insulaires en développement</w:t>
        <w:br/>
        <w:t>Objectif 3 : Garantir une vie saine et promouvoir le bien-être de tous à tout âge</w:t>
        <w:br/>
        <w:t>Définition :</w:t>
        <w:br/>
        <w:t xml:space="preserve">Cet indicateur est composé de 4 sous-indicateurs. </w:t>
        <w:br/>
        <w:t xml:space="preserve">Densité de médecins : La densité de médecins est définie comme le nombre de médecins, y compris les généralistes et les médecins spécialistes. </w:t>
        <w:br/>
        <w:t>praticiens pour 1 000 habitants dans la zone nationale et/ou infranationale donnée.</w:t>
        <w:br/>
        <w:t xml:space="preserve">Densité du personnel infirmier et obstétrical : La densité du personnel infirmier et obstétrical est définie comme le nombre d'infirmiers et de sages-femmes. </w:t>
        <w:br/>
        <w:t>personnel sage-femme pour 1 000 habitants dans la zone nationale et/ou infranationale donnée.</w:t>
        <w:br/>
        <w:t xml:space="preserve">Densité du personnel dentaire : La densité du personnel dentaire est définie comme le nombre de dentistes, de prothésistes/assistants dentaires et autres </w:t>
        <w:br/>
        <w:t>personnel professionnel pour 1 000 habitants dans la zone nationale et/ou infranationale donnée.</w:t>
        <w:br/>
        <w:t xml:space="preserve">Densité du personnel pharmaceutique : La densité du personnel pharmaceutique est définie comme le nombre de pharmaciens, pharmaceutiques, </w:t>
        <w:br/>
        <w:t>techniciens/assistants et personnel professionnel associé pour 1 000 habitants dans la zone nationale et/ou infranationale donnée.</w:t>
        <w:br/>
        <w:t>Concepts :</w:t>
        <w:br/>
        <w:t xml:space="preserve">Médecins est la profession classée dans les codes CITP-08 221, 2211 et 2212. </w:t>
        <w:br/>
        <w:t xml:space="preserve">Le personnel infirmier et obstétrical est la profession classée dans les codes CITP-08 2221, 2222, 3221 et 3222. </w:t>
        <w:br/>
        <w:t xml:space="preserve">Le personnel dentaire est la profession classée dans les codes ISCO-08 2261, 3214 (à l'exclusion des techniciens en prothèses médicales) et 3251. </w:t>
        <w:br/>
        <w:t xml:space="preserve">Le personnel pharmaceutique est la profession classée dans les codes CITP-08 2262 et 3213. </w:t>
        <w:br/>
        <w:t xml:space="preserve">Agents de santé actifs qui fournissent des services aux patients et aux communautés (agent de santé en exercice) ou dont la formation médicale est un prérequis </w:t>
        <w:br/>
        <w:t xml:space="preserve">pour l'exécution du travail (par exemple, éducation, recherche, administration publique) même si l'agent de santé ne fournit pas directement de services </w:t>
        <w:br/>
        <w:t xml:space="preserve">(agent de santé professionnellement actif). Si les données ne sont pas disponibles pour les agents de santé en exercice ou professionnellement actifs, les données avec la définition la plus proche </w:t>
        <w:br/>
        <w:t xml:space="preserve">peut être utilisé, comme « agent de santé autorisé à exercer ». Pour plus d'informations, reportez-vous au manuel NHWA. </w:t>
        <w:br/>
        <w:t xml:space="preserve">Les professions de santé doivent être déclarées séparément. </w:t>
        <w:br/>
        <w:t>Justification et interprétation :</w:t>
        <w:br/>
        <w:t xml:space="preserve">La densité des agents de santé, pour chaque profession, donne une idée du niveau de personnel de santé disponible dans une zone donnée, de telle sorte que </w:t>
        <w:br/>
        <w:t>des efforts visant à accroître le recrutement, le développement, la formation et la rétention de cette main-d’œuvre peuvent être entrepris là où cela est nécessaire.</w:t>
      </w:r>
    </w:p>
    <w:p>
      <w:pPr>
        <w:pStyle w:val="Heading2"/>
      </w:pPr>
      <w:r>
        <w:t>Page 107</w:t>
      </w:r>
    </w:p>
    <w:p>
      <w:r>
        <w:t>Texte d'en-tête</w:t>
        <w:br/>
        <w:t>Texte de pied de page</w:t>
        <w:br/>
        <w:t>Méthode de calcul et autres considérations méthodologiques</w:t>
        <w:br/>
        <w:t>Désagrégation des données</w:t>
        <w:br/>
        <w:t>Références</w:t>
        <w:br/>
        <w:t xml:space="preserve">Les données sont compilées à partir de systèmes d'informations administratives de routine (y compris des rapports sur le personnel et la paie ainsi que sur la formation professionnelle, </w:t>
        <w:br/>
        <w:t xml:space="preserve">l'enregistrement et l'autorisation d'exercer), les recensements de la population, les enquêtes sur la main-d'œuvre et l'emploi et les évaluations des établissements de santé. La plupart des données de </w:t>
        <w:br/>
        <w:t xml:space="preserve">les sources administratives proviennent d’études nationales publiées sur le secteur de la santé et/ou de rapports officiels des pays adressés aux bureaux de l’OMS. </w:t>
        <w:br/>
        <w:t xml:space="preserve">Suite à l'adoption de la Stratégie mondiale sur les ressources humaines pour la santé : effectifs à l'horizon 2030 et de la résolution (WHA 69.19) visant à aborder la question des ressources humaines </w:t>
        <w:br/>
        <w:t xml:space="preserve">ressources pour la santé (RHS) lors de la 69ème Assemblée mondiale de la Santé, en mai 2016, les États membres sont appelés à consolider un ensemble de base de </w:t>
        <w:br/>
        <w:t xml:space="preserve">ressources humaines pour les données de santé avec un reporting annuel à l'Observatoire mondial de la santé, ainsi qu'une mise en œuvre progressive des </w:t>
        <w:br/>
        <w:t xml:space="preserve">Comptes des personnels de santé (NHWA), pour soutenir la politique et la planification nationales ainsi que le cadre de suivi et de responsabilisation de la Stratégie mondiale. </w:t>
        <w:br/>
        <w:t xml:space="preserve">Depuis son lancement en novembre 2017, les États membres sont appelés à utiliser la plateforme de données NHWA pour communiquer les données sur le personnel de santé. Pour plus </w:t>
        <w:br/>
        <w:t>informations, contactez  hrhstatistics@who.int</w:t>
        <w:br/>
        <w:t>Pour consulter les dernières données disponibles : http://www.who.int/hrh/statistics/nhwa/en/</w:t>
        <w:br/>
        <w:t>Méthode de calcul :</w:t>
        <w:br/>
        <w:t>Les pays sont encouragés à fournir le nombre d’agents de santé actifs, ventilé par profession.</w:t>
        <w:br/>
        <w:t>Actuellement, cela est déclaré séparément – ​​la densité de chaque profession de santé est déclarée séparément.</w:t>
        <w:br/>
        <w:t xml:space="preserve">La densité des agents de santé pour la profession dans la zone peut être calculée à l'aide de la formule suivante :i a </w:t>
        <w:br/>
        <w:t>Pour une profession de santé donnée i, dans le pays</w:t>
        <w:br/>
        <w:t>où,</w:t>
        <w:br/>
        <w:t>HWi est le nombre d'agents de santé de la profession ; et moi</w:t>
        <w:br/>
        <w:t xml:space="preserve">POP est la population totale du pays. </w:t>
        <w:br/>
        <w:t>Commentaires et limites :</w:t>
        <w:br/>
        <w:t xml:space="preserve">Auparavant, cet indicateur était estimé à partir de 2 mesures : la densité de médecins et la densité de personnel infirmier et obstétrical. Mais dans le </w:t>
        <w:br/>
        <w:t xml:space="preserve">Dans le contexte des ODD, l’ensemble de données a été élargi pour inclure les médecins, le personnel infirmier, le personnel obstétrical, le personnel dentaire et </w:t>
        <w:br/>
        <w:t xml:space="preserve">personnel pharmaceutique. Il est prévu que l’ensemble de données s’étende progressivement pour couvrir tous les cadres de santé. </w:t>
        <w:br/>
        <w:t xml:space="preserve">Les données sur les agents de santé ont tendance à être plus complètes pour le secteur public et peuvent sous-estimer la main-d'œuvre active dans le secteur privé, militaire, </w:t>
        <w:br/>
        <w:t xml:space="preserve">organisations non gouvernementales et secteurs de la santé confessionnels. </w:t>
        <w:br/>
        <w:t xml:space="preserve">Selon la nature de la source de données originale, les chiffres relatifs aux médecins peuvent inclure uniquement les médecins en exercice ou tous les médecins enregistrés. </w:t>
        <w:br/>
        <w:t xml:space="preserve">Les professionnels de la médecine traditionnelle et complémentaire (ISCO 2230) ne sont pas inclus ici. </w:t>
        <w:br/>
        <w:t xml:space="preserve">Les chiffres relatifs au nombre d'infirmières et de sages-femmes incluent le personnel infirmier et le personnel obstétrical, lorsqu'ils sont disponibles. Dans de nombreux pays, </w:t>
        <w:br/>
        <w:t xml:space="preserve">les infirmières formées aux compétences de sage-femme sont comptées et déclarées comme infirmières. Cela fait la distinction entre le personnel infirmier et les sages-femmes. </w:t>
        <w:br/>
        <w:t xml:space="preserve">personnel difficile à recruter. </w:t>
        <w:br/>
        <w:t xml:space="preserve">Les chiffres relatifs au nombre de personnels dentaires comprennent les dentistes, les techniciens/assistants dentaires et les professions connexes. En raison de la variabilité des données </w:t>
        <w:br/>
        <w:t xml:space="preserve">Selon certaines sources, il n’est pas toujours possible de distinguer les professions de niveau professionnel et celles de niveau associé. </w:t>
        <w:br/>
        <w:t xml:space="preserve">Les chiffres relatifs au nombre de personnels pharmaceutiques comprennent les pharmaciens, les techniciens/assistants pharmaceutiques et les professions connexes. En raison de </w:t>
        <w:br/>
        <w:t xml:space="preserve">En raison de la variabilité des sources de données, il n'est pas toujours possible de distinguer les professions de niveau professionnel et celles d'associé. </w:t>
        <w:br/>
        <w:t xml:space="preserve">En raison des différences dans les sources de données, une variabilité considérable subsiste d’un pays à l’autre en termes de couverture, de périodicité, de qualité et d’exhaustivité des données. </w:t>
        <w:br/>
        <w:t xml:space="preserve">les données originales. </w:t>
        <w:br/>
        <w:t>Indicateurs proxy, alternatifs et supplémentaires : N/A</w:t>
        <w:br/>
        <w:t>Cet indicateur peut être ventilé par profession et par zone géographique.</w:t>
      </w:r>
    </w:p>
    <w:p>
      <w:pPr>
        <w:pStyle w:val="Heading2"/>
      </w:pPr>
      <w:r>
        <w:t>Page 108</w:t>
      </w:r>
    </w:p>
    <w:p>
      <w:r>
        <w:t>Texte d'en-tête</w:t>
        <w:br/>
        <w:t>Texte de pied de page</w:t>
        <w:br/>
        <w:t>Organisation(s) internationale(s) de surveillance mondiale</w:t>
        <w:br/>
        <w:t>URL officielle des métadonnées ODD</w:t>
        <w:br/>
        <w:t xml:space="preserve">https://unstats.un.org/sdgs/metadata/files/Metadata-03-0C-01.pdf  </w:t>
        <w:br/>
        <w:t>Méthodologie reconnue au niveau international et URL des lignes directrices</w:t>
        <w:br/>
        <w:t xml:space="preserve">http://www.who.int/hrh/documents/brief_nhwa_handbook/en/  </w:t>
        <w:br/>
        <w:t>Autres références</w:t>
        <w:br/>
        <w:t>Soixante-Neuvième Assemblée mondiale de la Santé (2016). Point 16.1 de l’ordre du jour. Disponible sur : Stratégie mondiale sur les ressources humaines pour la santé : Workforce 2030. http:/</w:t>
        <w:br/>
        <w:t>/apps.who.int/gb/ebwha/pdf_files/WHA69/A69_R19-en.pdf</w:t>
        <w:br/>
        <w:t>OMS (2014). Genève. Disponible sur : Stratégie mondiale sur les ressources humaines pour la santé : Workforce 2030. http://who.int/hrh/resources</w:t>
        <w:br/>
        <w:t>/pub_globstrathrh-2030/fr/</w:t>
        <w:br/>
        <w:t>OMS (2018). . Disponible sur : Statistiques mondiales de l'OMS sur les personnels de santé http://www.who.int/hrh/statistics/hwfstats/en</w:t>
        <w:br/>
        <w:t>OMS (2018). . Disponible sur : Statistiques mondiales sur les personnels de santé http://apps.who.int/gho/data/node.main.A1444?lang=en&amp;showonly=HWF</w:t>
        <w:br/>
        <w:t>OMS (2018).  Disponible sur : Comptes nationaux des personnels de santé : un manuel, s.d. http://www.who.int/hrh/statistics/nhwa/en/</w:t>
        <w:br/>
        <w:t xml:space="preserve">Exemples de pays </w:t>
        <w:br/>
        <w:t>N/D</w:t>
        <w:br/>
        <w:t>Ce document a été préparé sur la base des contributions de l'Organisation mondiale de la santé (OMS).</w:t>
        <w:br/>
        <w:t>Pour obtenir des informations sur les points focaux pour cet indicateur, veuillez visiter https://unstats.un.org/sdgs/dataContacts/</w:t>
      </w:r>
    </w:p>
    <w:p>
      <w:pPr>
        <w:pStyle w:val="Heading2"/>
      </w:pPr>
      <w:r>
        <w:t>Page 109</w:t>
      </w:r>
    </w:p>
    <w:p>
      <w:r>
        <w:t>Texte d'en-tête</w:t>
        <w:br/>
        <w:t>Texte de pied de page</w:t>
        <w:br/>
        <w:t>Objectif 4</w:t>
        <w:br/>
        <w:t xml:space="preserve">Garantir une éducation inclusive et équitable de qualité et promouvoir </w:t>
        <w:br/>
        <w:t>des opportunités d’apprentissage tout au long de la vie pour tous</w:t>
        <w:br/>
        <w:t>Page d'accueil du manuel électronique</w:t>
        <w:br/>
        <w:t>Dans cet objectif :</w:t>
        <w:br/>
        <w:t xml:space="preserve">La Division de statistique des Nations Unies (DSNU) a travaillé en consultation avec l'agence(s) dépositaire(s) de chaque indicateur pour préparer ces chapitres. Pour </w:t>
        <w:br/>
        <w:t>les indicateurs qui n’ont pas encore de chapitre ici, sont en cours de préparation et seront téléchargés ici dès qu’ils seront disponibles.</w:t>
        <w:br/>
        <w:t>Si vous avez des questions sur le manuel électronique, n'hésitez pas à contacter M. Yuxi Zhang ( yuxi.zhang@un.org) avec copie à M. Ze Yar Min (min@</w:t>
        <w:br/>
        <w:t>.un.org)</w:t>
      </w:r>
    </w:p>
    <w:p>
      <w:pPr>
        <w:pStyle w:val="Heading2"/>
      </w:pPr>
      <w:r>
        <w:t>Page 110</w:t>
      </w:r>
    </w:p>
    <w:p>
      <w:r>
        <w:t>Texte d'en-tête</w:t>
        <w:br/>
        <w:t>Texte de pied de page</w:t>
        <w:br/>
        <w:t>Indicateur 4.1.1</w:t>
        <w:br/>
        <w:t xml:space="preserve"> Page d'accueil du manuel électronique</w:t>
        <w:br/>
        <w:t>Nom de l’indicateur, cible et objectif</w:t>
        <w:br/>
        <w:t>Définition et justification</w:t>
        <w:br/>
        <w:t>Sources de données et méthode de collecte</w:t>
        <w:br/>
        <w:t>Méthode de calcul et autres considérations méthodologiques</w:t>
        <w:br/>
        <w:t>Contenu</w:t>
        <w:br/>
        <w:t>Nom de l’indicateur, cible et objectif</w:t>
        <w:br/>
        <w:t>Définition et justification</w:t>
        <w:br/>
        <w:t>Sources de données et méthode de collecte</w:t>
        <w:br/>
        <w:t>Méthode de calcul et autres considérations méthodologiques</w:t>
        <w:br/>
        <w:t>Désagrégation des données</w:t>
        <w:br/>
        <w:t>Références</w:t>
        <w:br/>
        <w:t>Organisation(s) internationale(s) de surveillance mondiale</w:t>
        <w:br/>
        <w:t xml:space="preserve"> Indicateur 4.1.1 : Proportion d'enfants et de jeunes (a) en 2e/3e année ; (b) à la fin du primaire ; et (c) à la fin du premier cycle du secondaire </w:t>
        <w:br/>
        <w:t>atteindre au moins un niveau minimum de compétence en (i) lecture et (ii) mathématiques, par sexe</w:t>
        <w:br/>
        <w:t xml:space="preserve">Cible 4.1 : D’ici 2030, veiller à ce que toutes les filles et tous les garçons achèvent un enseignement primaire et secondaire gratuit, équitable et de qualité, menant à des études pertinentes et </w:t>
        <w:br/>
        <w:t>des résultats d'apprentissage efficaces</w:t>
        <w:br/>
        <w:t>Objectif 4 : Garantir une éducation de qualité inclusive et équitable et promouvoir les opportunités d’apprentissage tout au long de la vie pour tous</w:t>
        <w:br/>
        <w:t>Définition :</w:t>
        <w:br/>
        <w:t xml:space="preserve">Cet indicateur est défini comme le pourcentage d’enfants et de jeunes ayant atteint un niveau minimum de compétence en (i) lecture et (ii) </w:t>
        <w:br/>
        <w:t xml:space="preserve">mathématiques pendant le primaire (2e ou 3e année) et à la fin du primaire et du premier cycle du secondaire. </w:t>
        <w:br/>
        <w:t>Concepts :</w:t>
        <w:br/>
        <w:t xml:space="preserve">Le niveau minimum de compétence correspond à l'ensemble minimum de compétences ou de connaissances requises pour une matière donnée telle que la lecture ou </w:t>
        <w:br/>
        <w:t xml:space="preserve">mathématiques.  Les évaluations des apprentissages sont conçues pour mesurer une gamme de niveaux de compétences définis lors de la conception de l’évaluation. Comme </w:t>
        <w:br/>
        <w:t xml:space="preserve">la conception de l'évaluation peut varier entre les évaluations nationales et entre les évaluations internationales. Idéalement, ces critères devraient être </w:t>
        <w:br/>
        <w:t xml:space="preserve">alignés. Les niveaux de compétence minimaux pour les évaluations transnationales de l’apprentissage existantes ont été provisoirement adoptés par l’organisme international. </w:t>
        <w:br/>
        <w:t xml:space="preserve">communauté pour les rapports intermédiaires, mais afin d’élargir la couverture nationale, il est nécessaire de parvenir à une comparabilité entre les pays et les pays. </w:t>
        <w:br/>
        <w:t xml:space="preserve">évaluations internationales. </w:t>
        <w:br/>
        <w:t>Justification et interprétation :</w:t>
        <w:br/>
        <w:t xml:space="preserve">L'indicateur est une mesure directe des acquis d'apprentissage minimaux obtenus en lecture et en mathématiques pendant ou à la fin du cursus concerné. </w:t>
        <w:br/>
        <w:t xml:space="preserve">étapes de l’éducation. </w:t>
        <w:br/>
        <w:t xml:space="preserve">Pour créer des données comparables à l’échelle internationale, il faudra élaborer et adopter une référence internationale en matière de compétences minimales pour répondre aux </w:t>
        <w:br/>
        <w:t xml:space="preserve">la variation des niveaux de performance entre les évaluations nationales et transnationales. Ce référentiel divisera les apprenants entre ceux qui n'ont pas </w:t>
        <w:br/>
        <w:t xml:space="preserve">atteindre la compétence minimale et ceux qui l'ont atteint. Une valeur égale ou supérieure au score de compétence minimum défini indique que les apprenants ont </w:t>
        <w:br/>
        <w:t>atteint des niveaux de compétence minimaux dans le domaine requis.</w:t>
        <w:br/>
        <w:t xml:space="preserve">Évaluations régionales et internationales des apprentissages scolaires à grande échelle, telles que le Programme d'analyse des systèmes éducatifs de la </w:t>
        <w:br/>
        <w:t xml:space="preserve">CONFEMEN (PASEC), le Progress in International Reading Literacy Study (PIRLS), le Programme international d'évaluation des étudiants </w:t>
        <w:br/>
        <w:t xml:space="preserve">(PISA), le Consortium d'Afrique australe et orientale pour le suivi de la qualité de l'éducation (SACMEQ), le Tercer Estudio Regional Comparativo y </w:t>
        <w:br/>
        <w:t xml:space="preserve">Explicativo (TERCE) et Trends in International Mathematics and Science Study (TIMSS) sont de bonnes sources de données pour cet indicateur. </w:t>
        <w:br/>
        <w:t xml:space="preserve">Les évaluations nationales des apprentissages constituent une autre source potentielle. </w:t>
        <w:br/>
        <w:t xml:space="preserve">Afin d'étendre la couverture aux enfants et aux jeunes non scolarisés, l'ISU développe une stratégie pour travailler avec des enquêtes auprès des ménages, </w:t>
        <w:br/>
        <w:t xml:space="preserve">y compris des évaluations citoyennes. Cela nécessitera de cartographier le contenu évalué dans un cadre commun et de garantir un minimum </w:t>
        <w:br/>
        <w:t>les normes techniques sont respectées dans ces enquêtes.</w:t>
      </w:r>
    </w:p>
    <w:p>
      <w:pPr>
        <w:pStyle w:val="Heading2"/>
      </w:pPr>
      <w:r>
        <w:t>Page 111</w:t>
      </w:r>
    </w:p>
    <w:p>
      <w:r>
        <w:t>Texte d'en-tête</w:t>
        <w:br/>
        <w:t>Texte de pied de page</w:t>
        <w:br/>
        <w:t>Désagrégation des données</w:t>
        <w:br/>
        <w:t>Références</w:t>
        <w:br/>
        <w:t>Méthode de calcul :</w:t>
        <w:br/>
        <w:t>Divisez le nombre total d'enfants et de jeunes dans un niveau d'éducation donné qui ont atteint le niveau minimum de compétence dans un n donné</w:t>
        <w:br/>
        <w:t xml:space="preserve">matière (mathématiques ou lecture) par la population totale du niveau d'éducation donné ou du groupe d'âge concerné et multiplié par 100. s </w:t>
        <w:br/>
        <w:t xml:space="preserve">La formule est : </w:t>
        <w:br/>
        <w:t>où,</w:t>
        <w:br/>
        <w:t>MPt,n,s est le nombre d'enfants et de jeunes au stade de l'éducation qui ont atteint ou dépassé le niveau de compétence minimum n.</w:t>
        <w:br/>
        <w:t>dans la matière au cours de l'année scolaire ;s t</w:t>
        <w:br/>
        <w:t>Pt,est la population totale au stade d'éducation au cours de l'année scolaire ;n t</w:t>
        <w:br/>
        <w:t>n désigne la classe ou le niveau d'éducation qui a été évalué ; et</w:t>
        <w:br/>
        <w:t xml:space="preserve">s désigne le sujet (mathématiques ou lecture). </w:t>
        <w:br/>
        <w:t>Commentaires et limites :</w:t>
        <w:br/>
        <w:t xml:space="preserve">Les pays fixent leurs propres normes, de sorte que les niveaux de performance ne sont pas toujours directement comparables. En outre, la plupart des évaluations sont généralement </w:t>
        <w:br/>
        <w:t xml:space="preserve">administrés au sein des systèmes scolaires. Les indicateurs actuels couvrent uniquement les individus scolarisés. La taille relative de la cible scolaire </w:t>
        <w:br/>
        <w:t xml:space="preserve">Les populations varient d’un pays à l’autre en raison des différences dans les populations non scolarisées. </w:t>
        <w:br/>
        <w:t xml:space="preserve">Évaluer les compétences des enfants et des jeunes non scolarisés nécessiterait des enquêtes auprès des ménages, ce qui pourrait être très coûteux. </w:t>
        <w:br/>
        <w:t xml:space="preserve">et difficile à administrer. Il est peu probable que de telles enquêtes soient disponibles à l’échelle nécessaire dans les 3 à 5 prochaines années. Pour cette raison, l’accent initial est </w:t>
        <w:br/>
        <w:t xml:space="preserve">sur l’évaluation des enfants scolarisés. L’élaboration de plans de mise en œuvre plus cohérents pour évaluer les enfants non scolarisés nécessitera </w:t>
        <w:br/>
        <w:t xml:space="preserve">plus de temps. </w:t>
        <w:br/>
        <w:t xml:space="preserve">Il n’existe qu’un seul seuil qui divise les enfants et les jeunes à différents stades de l’éducation entre ceux qui sont inférieurs au minimum ou ceux qui sont égaux ou supérieurs au minimum. </w:t>
        <w:br/>
        <w:t>niveaux de compétence :</w:t>
        <w:br/>
        <w:t xml:space="preserve">(1) En dessous du niveau minimum se trouve la proportion d’enfants et de jeunes qui n’atteignent pas le niveau minimum établi par les pays ; </w:t>
        <w:br/>
        <w:t>et</w:t>
        <w:br/>
        <w:t xml:space="preserve">(2) Au niveau minimum ou au-dessus correspond la proportion d’enfants et de jeunes qui ont atteint au moins le niveau minimum. </w:t>
        <w:br/>
        <w:t xml:space="preserve">En raison de la variation des seuils de performance d’un pays à l’autre, les niveaux de performance nationaux devront être mappés à un niveau mondial. </w:t>
        <w:br/>
        <w:t xml:space="preserve">niveau de compétence minimum défini. Cette cartographie permettra des comparaisons significatives des performances entre les pays. </w:t>
        <w:br/>
        <w:t>Indicateurs proxy, alternatifs et supplémentaires : N/A</w:t>
        <w:br/>
        <w:t xml:space="preserve">Cet indicateur doit être ventilé par sexe et par niveau ou stade d’éducation. Il peut également être ventilé par âge ou groupe d'âge, lieu, </w:t>
        <w:br/>
        <w:t>statut socio-économique, statut de migrant, origine ethnique et statut de handicap.</w:t>
      </w:r>
    </w:p>
    <w:p>
      <w:pPr>
        <w:pStyle w:val="Heading2"/>
      </w:pPr>
      <w:r>
        <w:t>Page 112</w:t>
      </w:r>
    </w:p>
    <w:p>
      <w:r>
        <w:t>Texte d'en-tête</w:t>
        <w:br/>
        <w:t>Texte de pied de page</w:t>
        <w:br/>
        <w:t>Organisation(s) internationale(s) de surveillance mondiale</w:t>
        <w:br/>
        <w:t>URL officielle des métadonnées ODD</w:t>
        <w:br/>
        <w:t xml:space="preserve">https://unstats.un.org/sdgs/metadata/files/Metadata-04-01-01.pdf  </w:t>
        <w:br/>
        <w:t>Méthodologie reconnue au niveau international et URL des lignes directrices</w:t>
        <w:br/>
        <w:t xml:space="preserve">http://uis.unesco.org/sites/default/files/documents/unesco-infopaper-sdg_data_gaps-01.pdf </w:t>
        <w:br/>
        <w:t>Autres références</w:t>
        <w:br/>
        <w:t>PASEC. Site Internet : Programme d'analyse des systèmes éducatifs de la conférence. http://www.pasec.confemen.org/</w:t>
        <w:br/>
        <w:t>AIE. ^ "Progrès de l'étude internationale sur la maîtrise de la lecture (PIRLS)". http://www.iea.nl/pirls</w:t>
        <w:br/>
        <w:t>OCDE. Site Internet : Programme international pour le suivi des acquis des étudiants (PISA). https://www.oecd.org/pisa/aboutpisa/</w:t>
        <w:br/>
        <w:t>Le Consortium d'Afrique australe et orientale pour le suivi de la qualité de l'éducation (SACMEQ). Site Internet : http://www.sacmeq.org/?q=sacmeq-</w:t>
        <w:br/>
        <w:t>projets/sacmeq-iv</w:t>
        <w:br/>
        <w:t>UNESCO. Site Internet : Tercer Estudio Regional Comparativo y Explicativo (TERCE). http://www.unesco.org/new/es/santiago/education</w:t>
        <w:br/>
        <w:t>/evaluation-education-llece/terce/</w:t>
        <w:br/>
        <w:t xml:space="preserve">AIE. Site Internet : Tendances des études internationales sur les mathématiques et les sciences (TIMSS). http://www.iea.nl/timss_2015.html </w:t>
        <w:br/>
        <w:t>Exemples de pays</w:t>
        <w:br/>
        <w:t>Pour consulter les dernières données disponibles : http://data.uis.unesco.org</w:t>
        <w:br/>
        <w:t xml:space="preserve">Ce document a été préparé sur la base des contributions de l'Institut pour l'éducation, la science et la culture de l'Organisation des Nations Unies pour l'éducation, la science et la culture (UNESCO). </w:t>
        <w:br/>
        <w:t>Statistiques (ISU).</w:t>
        <w:br/>
        <w:t>Pour obtenir des informations sur les points focaux pour cet indicateur, veuillez visiter https://unstats.un.org/sdgs/dataContacts/</w:t>
      </w:r>
    </w:p>
    <w:p>
      <w:pPr>
        <w:pStyle w:val="Heading2"/>
      </w:pPr>
      <w:r>
        <w:t>Page 113</w:t>
      </w:r>
    </w:p>
    <w:p>
      <w:r>
        <w:t>Texte d'en-tête</w:t>
        <w:br/>
        <w:t>Texte de pied de page</w:t>
        <w:br/>
        <w:t>Indicateur 4.2.2</w:t>
        <w:br/>
        <w:t>Page d'accueil du manuel électronique</w:t>
        <w:br/>
        <w:t xml:space="preserve"> </w:t>
        <w:br/>
        <w:t>Nom de l’indicateur, cible et objectif</w:t>
        <w:br/>
        <w:t>Définition et justification</w:t>
        <w:br/>
        <w:t>Sources de données et méthode de collecte</w:t>
        <w:br/>
        <w:t>Méthode de calcul et autres considérations méthodologiques</w:t>
        <w:br/>
        <w:t>Contenu</w:t>
        <w:br/>
        <w:t>Nom de l’indicateur, cible et objectif</w:t>
        <w:br/>
        <w:t>Définition et justification</w:t>
        <w:br/>
        <w:t>Sources de données et méthode de collecte</w:t>
        <w:br/>
        <w:t>Méthode de calcul et autres considérations méthodologiques</w:t>
        <w:br/>
        <w:t>Désagrégation des données</w:t>
        <w:br/>
        <w:t>Références</w:t>
        <w:br/>
        <w:t>Organisation(s) internationale(s) de surveillance mondiale</w:t>
        <w:br/>
        <w:t xml:space="preserve"> Indicateur 4.2.2 : Taux de participation à l'apprentissage organisé (un an avant l'âge officiel d'entrée dans le primaire), par sexe</w:t>
        <w:br/>
        <w:t xml:space="preserve">Cible 4.2 : D’ici 2030, veiller à ce que toutes les filles et tous les garçons aient accès à des services de développement, de garde et d’éducation préscolaire de qualité afin que </w:t>
        <w:br/>
        <w:t>ils sont prêts pour l'enseignement primaire</w:t>
        <w:br/>
        <w:t>Objectif 4 : Garantir une éducation de qualité inclusive et équitable et promouvoir les opportunités d’apprentissage tout au long de la vie pour tous</w:t>
        <w:br/>
        <w:t>Définition :</w:t>
        <w:br/>
        <w:t xml:space="preserve">Cet indicateur est défini comme le pourcentage d'enfants âgés d'un an de moins que l'âge officiel d'entrée à l'enseignement primaire qui participent à l'enseignement primaire. </w:t>
        <w:br/>
        <w:t xml:space="preserve">un ou plusieurs programmes d’apprentissage organisés, y compris des programmes offrant une combinaison d’éducation et de soins. Les participants sont arrivés tôt </w:t>
        <w:br/>
        <w:t xml:space="preserve">l’éducation de la petite enfance et l’enseignement primaire sont tous deux inclus. L'âge considéré variera selon les pays en fonction de l'âge officiel d'entrée pour </w:t>
        <w:br/>
        <w:t xml:space="preserve">l'enseignement primaire. </w:t>
        <w:br/>
        <w:t>Concepts :</w:t>
        <w:br/>
        <w:t>Un programme est un programme qui consiste en un ensemble ou une séquence cohérente d'activités éducatives conçues dans l'intention d'un apprentissage organisé.</w:t>
        <w:br/>
        <w:t xml:space="preserve">atteindre des résultats d’apprentissage prédéterminés ou accomplir un ensemble spécifique de tâches éducatives. Petite enfance et enseignement primaire </w:t>
        <w:br/>
        <w:t xml:space="preserve">Les programmes sont des exemples de programmes d’apprentissage organisés.  </w:t>
        <w:br/>
        <w:t>La petite enfance et l'enseignement primaire sont définis dans la (CITE 2011). Révision 2011 de la Classification internationale type de l'éducation Ea</w:t>
        <w:br/>
        <w:t xml:space="preserve"> est généralement conçu avec une approche holistique pour soutenir l’éducation cognitive, physique, sociale et émotionnelle des enfants dès la petite enfance.</w:t>
        <w:br/>
        <w:t>développement et d’initier les jeunes enfants à un enseignement organisé en dehors du contexte familial.  propose un apprentissage et un enseignement primaire</w:t>
        <w:br/>
        <w:t xml:space="preserve">des activités éducatives conçues pour fournir aux élèves des compétences fondamentales en lecture, écriture et mathématiques, et établir une base solide </w:t>
        <w:br/>
        <w:t xml:space="preserve">pour apprendre et comprendre les domaines fondamentaux de connaissance et de développement personnel. Il se concentre sur l'apprentissage à un niveau de complexité de base avec peu, </w:t>
        <w:br/>
        <w:t xml:space="preserve">le cas échéant, spécialisation.  </w:t>
        <w:br/>
        <w:t>Il s'agit de l'âge auquel les enfants sont censés commencer l'enseignement primaire conformément à la législation ou aux politiques nationales. âge officiel d'entrée à l'école primaire</w:t>
        <w:br/>
        <w:t xml:space="preserve">Lorsque plusieurs âges sont spécifiés, par exemple dans différentes parties d'un pays, l'âge officiel d'entrée le plus courant (c'est-à-dire l'âge auquel </w:t>
        <w:br/>
        <w:t xml:space="preserve">la plupart des enfants du pays devraient commencer l'école primaire) est utilisée pour le calcul de cet indicateur. </w:t>
        <w:br/>
        <w:t>Justification et interprétation :</w:t>
        <w:br/>
        <w:t xml:space="preserve">L’indicateur mesure l’exposition des enfants à des activités d’apprentissage organisées au cours de l’année précédant le début de l’école primaire, en tant que représentation de </w:t>
        <w:br/>
        <w:t xml:space="preserve">accès à un développement, des soins et une éducation préscolaire de qualité pour la petite enfance. </w:t>
        <w:br/>
        <w:t xml:space="preserve">Une valeur élevée de l'indicateur montre un degré élevé de participation à l'apprentissage organisé juste avant l'âge officiel d'entrée à l'école primaire. </w:t>
        <w:br/>
        <w:t>l'éducation.</w:t>
        <w:br/>
        <w:t xml:space="preserve">Cet indicateur peut être calculé à l'aide de données administratives provenant d'écoles et d'autres centres d'apprentissage organisé combinées à une seule année d'âge. </w:t>
        <w:br/>
        <w:t xml:space="preserve">estimations démographiques issues des recensements et enquêtes de population. Les données peuvent également être obtenues à partir d’enquêtes auprès des ménages représentatives au niveau national. </w:t>
        <w:br/>
        <w:t>Les ministères de l’Éducation ou les offices nationaux de statistique sont des sources typiques de ces données.</w:t>
      </w:r>
    </w:p>
    <w:p>
      <w:pPr>
        <w:pStyle w:val="Heading2"/>
      </w:pPr>
      <w:r>
        <w:t>Page 114</w:t>
      </w:r>
    </w:p>
    <w:p>
      <w:r>
        <w:t>Texte d'en-tête</w:t>
        <w:br/>
        <w:t>Texte de pied de page</w:t>
        <w:br/>
        <w:t>Désagrégation des données</w:t>
        <w:br/>
        <w:t>Références</w:t>
        <w:br/>
        <w:t>Méthode de calcul :</w:t>
        <w:br/>
        <w:t xml:space="preserve">Cet indicateur peut être calculé en divisant le nombre d'enfants participant à un programme d'apprentissage organisé qui ont un an de moins </w:t>
        <w:br/>
        <w:t xml:space="preserve">supérieur à l'âge officiel d'entrée à l'enseignement primaire par la population du même groupe d'âge et en multipliant le résultat par 100. </w:t>
        <w:br/>
        <w:t>Le taux de participation,   de la tranche d'âge a-1, est calculé comme suit :</w:t>
        <w:br/>
        <w:t xml:space="preserve"> </w:t>
        <w:br/>
        <w:t>où</w:t>
        <w:br/>
        <w:t xml:space="preserve">est le nombre d'enfants participant à l'enseignement préscolaire ou primaire (niveaux 0 ou 1 de la CITE) et âgés d'un an en dessous du </w:t>
        <w:br/>
        <w:t>âge officiel d'entrée à l'enseignement primaire au cours de l'année de référence à t</w:t>
        <w:br/>
        <w:t xml:space="preserve"> est la population qui a un an de moins que l'âge officiel d'entrée à l'enseignement primaire au cours de l'année de référence à t </w:t>
        <w:br/>
        <w:t>Commentaires et limites :</w:t>
        <w:br/>
        <w:t xml:space="preserve">La participation à des programmes d'apprentissage dans les premières années n'est pas à temps plein pour de nombreux enfants, ce qui signifie que l'exposition à des environnements d'apprentissage extérieurs </w:t>
        <w:br/>
        <w:t xml:space="preserve">de la maison variera en intensité. L'indicateur mesure le pourcentage d'enfants exposés à un apprentissage organisé mais pas l'intensité </w:t>
        <w:br/>
        <w:t xml:space="preserve">ou la qualité du programme. Des travaux supplémentaires sont nécessaires pour garantir que la définition des programmes d'apprentissage est cohérente dans les différentes enquêtes et </w:t>
        <w:br/>
        <w:t xml:space="preserve">défini d'une manière facilement compréhensible par les répondants à l'enquête, idéalement avec des informations complémentaires collectées sur la durée </w:t>
        <w:br/>
        <w:t xml:space="preserve">les enfants dépensent dans des programmes d’apprentissage. </w:t>
        <w:br/>
        <w:t xml:space="preserve">Les chiffres publiés au niveau national peuvent différer des chiffres internationaux en raison des différences entre les systèmes éducatifs nationaux et les </w:t>
        <w:br/>
        <w:t xml:space="preserve">Classification internationale type de l'éducation (CITE), différences de couverture (c'est-à-dire dans quelle mesure différents types d'éducation – par ex. </w:t>
        <w:br/>
        <w:t xml:space="preserve">l’enseignement privé ou spécialisé – sont inclus dans l’un plutôt que dans l’autre) et/ou entre le niveau national et la Division de la population des Nations Unies </w:t>
        <w:br/>
        <w:t xml:space="preserve">estimations de la population. </w:t>
        <w:br/>
        <w:t>Indicateurs proxy, alternatifs et complémentaires :</w:t>
        <w:br/>
        <w:t>D'autres indicateurs mesurant la participation à l'apprentissage organisé dès le plus jeune âge comprennent les taux nets et bruts de scolarisation dans la petite enfance, avant l'apprentissage.</w:t>
        <w:br/>
        <w:t xml:space="preserve">enseignement primaire et primaire et taux de scolarisation par âge. </w:t>
        <w:br/>
        <w:t>Cet indicateur doit être ventilé par sexe. Il peut également être ventilé par sexe, lieu, revenu et statut de handicap.</w:t>
        <w:br/>
        <w:t>URL officielle des métadonnées ODD</w:t>
        <w:br/>
        <w:t xml:space="preserve">https://unstats.un.org/sdgs/metadata/files/Metadata-04-02-02.pdf </w:t>
        <w:br/>
        <w:t>Méthodologie reconnue au niveau international et URL des lignes directrices</w:t>
        <w:br/>
        <w:t xml:space="preserve">Institut de statistique de l'UNESCO. (2017a). Métadonnées pour les indicateurs globaux et thématiques pour le suivi et l'examen de l'ODD 4 et de l'Éducation </w:t>
        <w:br/>
        <w:t>. Accessible à : 2030 http://uis.unesco.org/sites/default/files/documents/metadata-global-thematic-indicators-sdg4-education2030-2017-en_1.pdf</w:t>
        <w:br/>
        <w:t>Institut de statistique de l'UNESCO (ISU) (2017). Montréal : ISU. Accessible à : Manuel d’instructions : Enquête sur l’éducation formelle. http://uis.unesco.org</w:t>
        <w:br/>
        <w:t>/sites/default/files/documents/instruction-manual-survey-formal-education-2017-en.pdf</w:t>
        <w:br/>
        <w:t>Institut de statistique de l'UNESCO (ISU) (2016).  Montréal : ISU. Accessible sur : Questionnaire de l'ISU sur les étudiants et les enseignants (CITE 0-4).  http://uis.</w:t>
        <w:br/>
        <w:t xml:space="preserve"> unesco.org/fr/uis-questionnaires  </w:t>
        <w:br/>
        <w:t>Institut de statistique de l'UNESCO (ISU) (2012a).  Montréal : ISU. Accessible à : Classification internationale type de l'éducation (CITE) 2011. http</w:t>
        <w:br/>
        <w:t>http://uis.unesco.org/sites/default/files/documents/international-standard-classification-of-education-isced-2011-en.pdf</w:t>
        <w:br/>
        <w:t>Institut de statistique de l'UNESCO (ISU) (2018). Glossaire. Accessible sur : http://uis.unesco.org/fr/glossaire</w:t>
        <w:br/>
        <w:t>Autres références</w:t>
        <w:br/>
        <w:t xml:space="preserve">Aucun. </w:t>
        <w:br/>
        <w:t>Exemples de pays</w:t>
        <w:br/>
        <w:t>Pour consulter les dernières données disponibles : http://data.uis.unesco.org</w:t>
      </w:r>
    </w:p>
    <w:p>
      <w:pPr>
        <w:pStyle w:val="Heading2"/>
      </w:pPr>
      <w:r>
        <w:t>Page 115</w:t>
      </w:r>
    </w:p>
    <w:p>
      <w:r>
        <w:t>Texte d'en-tête</w:t>
        <w:br/>
        <w:t>Texte de pied de page</w:t>
        <w:br/>
        <w:t>Organisation(s) internationale(s) de surveillance mondiale</w:t>
        <w:br/>
        <w:t xml:space="preserve">Ce document a été préparé sur la base des contributions de l'Institut pour l'éducation, la science et la culture de l'Organisation des Nations Unies pour l'éducation, la science et la culture (UNESCO). </w:t>
        <w:br/>
        <w:t>Statistiques (ISU).</w:t>
        <w:br/>
        <w:t>Pour obtenir des informations sur les points focaux pour cet indicateur, veuillez visiter https://unstats.un.org/sdgs/dataContacts/</w:t>
      </w:r>
    </w:p>
    <w:p>
      <w:pPr>
        <w:pStyle w:val="Heading2"/>
      </w:pPr>
      <w:r>
        <w:t>Page 116</w:t>
      </w:r>
    </w:p>
    <w:p>
      <w:r>
        <w:t>Texte d'en-tête</w:t>
        <w:br/>
        <w:t>Texte de pied de page</w:t>
        <w:br/>
        <w:t>Indicateur 4.3.1</w:t>
        <w:br/>
        <w:t>Page d'accueil du manuel électronique</w:t>
        <w:br/>
        <w:t xml:space="preserve"> </w:t>
        <w:br/>
        <w:t>Nom de l’indicateur, cible et objectif</w:t>
        <w:br/>
        <w:t>Définition et justification</w:t>
        <w:br/>
        <w:t>Sources de données et méthode de collecte</w:t>
        <w:br/>
        <w:t>Contenu</w:t>
        <w:br/>
        <w:t>Nom de l’indicateur, cible et objectif</w:t>
        <w:br/>
        <w:t>Définition et justification</w:t>
        <w:br/>
        <w:t>Sources de données et méthode de collecte</w:t>
        <w:br/>
        <w:t>Méthode de calcul et autres considérations méthodologiques</w:t>
        <w:br/>
        <w:t>Désagrégation des données</w:t>
        <w:br/>
        <w:t>Références</w:t>
        <w:br/>
        <w:t>Organisation(s) internationale(s) de surveillance mondiale</w:t>
        <w:br/>
        <w:t>Indicateur 4.3.1 : Taux de participation des jeunes et des adultes à l'éducation et à la formation formelles et non formelles au cours des 12 mois précédents, par sexe</w:t>
        <w:br/>
        <w:t xml:space="preserve">Cible 4.3 : D’ici 2030, garantir l’égalité d’accès de tous les hommes et femmes à un enseignement technique, professionnel et supérieur de qualité et d’un coût abordable, y compris </w:t>
        <w:br/>
        <w:t>université</w:t>
        <w:br/>
        <w:t>Objectif 4 : Garantir une éducation de qualité inclusive et équitable et promouvoir les opportunités d’apprentissage tout au long de la vie pour tous</w:t>
        <w:br/>
        <w:t>Définition :</w:t>
        <w:br/>
        <w:t xml:space="preserve">Cet indicateur est défini comme le pourcentage de jeunes et d'adultes dans une tranche d'âge donnée (par exemple 15-24 ans, 25-64 ans, etc.) participant à des activités formelles ou </w:t>
        <w:br/>
        <w:t xml:space="preserve">éducation ou formation non formelle au cours d'une période donnée (par exemple, les 12 derniers mois) </w:t>
        <w:br/>
        <w:t>Concepts :</w:t>
        <w:br/>
        <w:t xml:space="preserve">L'éducation et la formation formelles sont définies comme l'éducation dispensée par le système d'écoles, de collèges, d'universités et d'autres établissements d'enseignement formel. </w:t>
        <w:br/>
        <w:t xml:space="preserve">établissements qui constituent normalement une « échelle » continue d’enseignement à temps plein pour les enfants et les jeunes, commençant généralement à l’âge de 5 ans </w:t>
        <w:br/>
        <w:t xml:space="preserve">à 7 ans et continue jusqu'à 20 ou 25 ans. Dans certains pays, les parties supérieures de cette « échelle » sont des programmes organisés de stages conjoints à temps partiel. </w:t>
        <w:br/>
        <w:t xml:space="preserve">l’emploi et la participation à temps partiel au système scolaire et universitaire ordinaire. </w:t>
        <w:br/>
        <w:t xml:space="preserve">L'éducation et la formation non formelles sont définies comme toute activité d'apprentissage organisée et soutenue qui ne correspond pas exactement à ce qui précède. </w:t>
        <w:br/>
        <w:t xml:space="preserve">définition de l’éducation formelle. L'éducation non formelle peut donc avoir lieu à la fois à l'intérieur et à l'extérieur des établissements d'enseignement et s'adresser aux personnes </w:t>
        <w:br/>
        <w:t xml:space="preserve">de tous âges. Selon les contextes nationaux, il peut s'agir de programmes éducatifs destinés à transmettre aux adultes des compétences d'alphabétisation, des compétences de vie, des compétences professionnelles et des connaissances générales. </w:t>
        <w:br/>
        <w:t xml:space="preserve">culturelle. </w:t>
        <w:br/>
        <w:t>Justification et interprétation :</w:t>
        <w:br/>
        <w:t xml:space="preserve">Cet indicateur montre le niveau de participation des jeunes et des adultes à l'éducation et à la formation de tous types, en tant que représentation de l'accès à des services abordables. </w:t>
        <w:br/>
        <w:t xml:space="preserve">et une formation de qualité. </w:t>
        <w:br/>
        <w:t xml:space="preserve">Une valeur élevée indique qu'une grande partie de la population du groupe d'âge concerné a accès et participe à l'éducation formelle et non formelle. </w:t>
        <w:br/>
        <w:t>et la formation.</w:t>
      </w:r>
    </w:p>
    <w:p>
      <w:pPr>
        <w:pStyle w:val="Heading2"/>
      </w:pPr>
      <w:r>
        <w:t>Page 117</w:t>
      </w:r>
    </w:p>
    <w:p>
      <w:r>
        <w:t>Texte d'en-tête</w:t>
        <w:br/>
        <w:t>Texte de pied de page</w:t>
        <w:br/>
        <w:t>Méthode de calcul et autres considérations méthodologiques</w:t>
        <w:br/>
        <w:t>Désagrégation des données</w:t>
        <w:br/>
        <w:t>Références</w:t>
        <w:br/>
        <w:t xml:space="preserve">Cet indicateur peut être calculé à partir de données administratives des écoles et autres lieux d'enseignement et de formation ou de données provenant des ménages ou des </w:t>
        <w:br/>
        <w:t>d'autres enquêtes par sondage sur les participants à l'éducation et à la formation formelles et non formelles par année d'âge ou par tranches d'âge plus larges (par exemple 5 ou 10 ans)</w:t>
        <w:br/>
        <w:t xml:space="preserve">tranches d'âge de 1 an); les recensements et enquêtes de population sont des sources d'estimations de population par année d'âge ou par groupe d'âge (si vous utilisez </w:t>
        <w:br/>
        <w:t xml:space="preserve">données administratives sur la participation). Les ministères de l’Éducation ou les offices nationaux de statistique sont des sources typiques de ces données. </w:t>
        <w:br/>
        <w:t xml:space="preserve">L’Enquête sur l’éducation des adultes (AES) d’Eurostat et l’Enquête sur les compétences des adultes de l’OCDE dans le cadre de son Programme pour l’évaluation internationale des compétences des adultes. </w:t>
        <w:br/>
        <w:t xml:space="preserve">Les compétences (PIAAC), qui sont toutes deux des enquêtes auprès des ménages, sont de bonnes sources de données pour cet indicateur. Programme de formation professionnelle continue d'Eurostat </w:t>
        <w:br/>
        <w:t xml:space="preserve">L’Enquête sur la Formation (CVTS) collecte des données sur la participation des entreprises à l’éducation et à la formation liées au travail. </w:t>
        <w:br/>
        <w:t xml:space="preserve">Les enquêtes sur la population active (EPA) peuvent également servir de source de données sur la participation à l'éducation et à la formation, même si la période de référence en </w:t>
        <w:br/>
        <w:t xml:space="preserve">la période de participation à déclarer est de quatre semaines au lieu de 12 mois. </w:t>
        <w:br/>
        <w:t xml:space="preserve">Des travaux supplémentaires sont en cours pour examiner les enquêtes nationales existantes auprès des ménages afin de voir si elles peuvent constituer des sources appropriées pour cet indicateur. Un possible </w:t>
        <w:br/>
        <w:t xml:space="preserve">Un module à inclure dans les enquêtes nationales par sondage est en cours d’élaboration par le Groupe de travail sur le développement d’indicateurs du Département technique de l’UNESCO. </w:t>
        <w:br/>
        <w:t>. Groupe de coopération sur les indicateurs ODD-Éducation 2030</w:t>
        <w:br/>
        <w:t xml:space="preserve">Les autorités nationales qui développent déjà de nouvelles enquêtes ou modules pour collecter ces données peuvent se référer à l’enquête sur l’éducation des adultes d’Eurostat. </w:t>
        <w:br/>
        <w:t>ou l’Enquête sur les compétences des adultes de l’OCDE comme modèles possibles.</w:t>
        <w:br/>
        <w:t xml:space="preserve">Méthode de calcul : </w:t>
        <w:br/>
        <w:t xml:space="preserve">Cet indicateur est calculé en divisant le nombre total de personnes dans un groupe d'âge donné, a, qui ont participé à l'éducation formelle et non formelle </w:t>
        <w:br/>
        <w:t xml:space="preserve">et la formation au cours de la période de référence donnée par la population du même groupe d'âge et en multipliant le résultat par 100. </w:t>
        <w:br/>
        <w:t xml:space="preserve">Le taux de participation,   de la tranche d'âge a au cours de l'année t, est calculé comme suit : </w:t>
        <w:br/>
        <w:t>où</w:t>
        <w:br/>
        <w:t xml:space="preserve">       est le nombre de personnes du groupe d'âge qui ont participé à une éducation et une formation formelles et non formelles dans la référence donnée </w:t>
        <w:br/>
        <w:t>un</w:t>
        <w:br/>
        <w:t>période de l'année t</w:t>
        <w:br/>
        <w:t xml:space="preserve">      est la population par tranche d'âge dans l'année  </w:t>
        <w:br/>
        <w:t>un t</w:t>
        <w:br/>
        <w:t>Commentaires et limites :</w:t>
        <w:br/>
        <w:t xml:space="preserve">L'éducation et la formation formelles et non formelles peuvent être proposées dans divers contextes, notamment les écoles et universités, les environnements de travail. </w:t>
        <w:br/>
        <w:t xml:space="preserve">et autres, et peuvent avoir des durées variées. Les données administratives ne capturent souvent que l’offre dans des contextes formels tels que les écoles et </w:t>
        <w:br/>
        <w:t xml:space="preserve">universités. Les taux de participation ne rendent pas compte de l'intensité ou de la qualité de l'offre, ni des résultats de l'éducation et de la formation proposées. </w:t>
        <w:br/>
        <w:t>Indicateurs proxy, alternatifs et complémentaires :</w:t>
        <w:br/>
        <w:t xml:space="preserve">Bien que la période de référence privilégiée pour cet indicateur soit l’éducation et la formation entreprises sur une période de 12 mois, de nombreuses enquêtes sont disponibles </w:t>
        <w:br/>
        <w:t>qui capturent des données pour une période plus courte. De telles sources, dûment notées en bas de page, peuvent être utilisées lorsque l’indicateur préféré n’est pas disponible.</w:t>
        <w:br/>
        <w:t xml:space="preserve">Cet indicateur doit être ventilé par sexe. Il peut également être ventilé par âge, lieu, revenu et statut de handicap. Il se peut aussi que ce soit </w:t>
        <w:br/>
        <w:t>ventilées par type d’enseignement ou de formation.</w:t>
      </w:r>
    </w:p>
    <w:p>
      <w:pPr>
        <w:pStyle w:val="Heading2"/>
      </w:pPr>
      <w:r>
        <w:t>Page 118</w:t>
      </w:r>
    </w:p>
    <w:p>
      <w:r>
        <w:t>Texte d'en-tête</w:t>
        <w:br/>
        <w:t>Texte de pied de page</w:t>
        <w:br/>
        <w:t>Organisation(s) internationale(s) de surveillance mondiale</w:t>
        <w:br/>
        <w:t>URL officielle des métadonnées ODD</w:t>
        <w:br/>
        <w:t xml:space="preserve">https://unstats.un.org/sdgs/metadata/files/Metadata-04-03-01.pdf  </w:t>
        <w:br/>
        <w:t>Méthodologie reconnue au niveau international et URL des lignes directrices</w:t>
        <w:br/>
        <w:t xml:space="preserve">Institut de statistique de l'UNESCO. (2017). Métadonnées pour les indicateurs globaux et thématiques pour le suivi et l'examen de l'ODD 4 et de l'Éducation </w:t>
        <w:br/>
        <w:t>2030. Accessible à : http://uis.unesco.org/sites/default/files/documents/metadata-global-thematic-indicators-sdg4-education2030-2017-en_1.pdf</w:t>
        <w:br/>
        <w:t>Autres références</w:t>
        <w:br/>
        <w:t>Eurostat. . Site Internet. Disponible sur : Enquête sur l'éducation des adultes http://ec.europa.eu/eurostat/statistics-explained/index.php/Adult_Education_Survey_</w:t>
        <w:br/>
        <w:t>(AES)_méthodologie</w:t>
        <w:br/>
        <w:t>Eurostat.  Site Internet. Disponible sur : Enquête européenne sur la formation professionnelle continue. http://ec.europa.eu/eurostat/statistics-explained/index.php</w:t>
        <w:br/>
        <w:t xml:space="preserve"> /Continuing_Vocational_Training_Survey_(CVTS)_méthodologie</w:t>
        <w:br/>
        <w:t>Eurostat.  Site Internet. Disponible sur : Enquête européenne sur les forces de travail. http://ec.europa.eu/eurostat/statistics-explained/index.php</w:t>
        <w:br/>
        <w:t xml:space="preserve"> /EU_labour_force_survey_-_methodology http://ec.europa.eu/eurostat/cache/metadata/en/trng_lfs_4w0_esms.htm</w:t>
        <w:br/>
        <w:t>OIT. Enquêtes sur la population active. Accessible sur : http://www.ilo.org/dyn/lfsurvey/lfsurvey.home</w:t>
        <w:br/>
        <w:t>OCDE ). Accessible à : . Enquête sur les compétences des adultes (PIAAC http://www.oecd.org/skills/piaac/</w:t>
        <w:br/>
        <w:t>Exemples de pays</w:t>
        <w:br/>
        <w:t>Pour consulter les dernières données disponibles : http://data.uis.unesco.org</w:t>
        <w:br/>
        <w:t xml:space="preserve">Ce document a été préparé sur la base des contributions de l'Institut pour l'éducation, la science et la culture de l'Organisation des Nations Unies pour l'éducation, la science et la culture (UNESCO). </w:t>
        <w:br/>
        <w:t>Statistiques (ISU).</w:t>
        <w:br/>
        <w:t>Pour obtenir des informations sur les points focaux pour cet indicateur, veuillez visiter https://unstats.un.org/sdgs/dataContacts/</w:t>
      </w:r>
    </w:p>
    <w:p>
      <w:pPr>
        <w:pStyle w:val="Heading2"/>
      </w:pPr>
      <w:r>
        <w:t>Page 119</w:t>
      </w:r>
    </w:p>
    <w:p>
      <w:r>
        <w:t>Texte d'en-tête</w:t>
        <w:br/>
        <w:t>Texte de pied de page</w:t>
        <w:br/>
        <w:t>Indicateur 4.4.1</w:t>
        <w:br/>
        <w:t>Page d'accueil du manuel électronique</w:t>
        <w:br/>
        <w:t>Nom de l’indicateur, cible et objectif</w:t>
        <w:br/>
        <w:t>Définition et justification</w:t>
        <w:br/>
        <w:t>Sources de données et méthode de collecte</w:t>
        <w:br/>
        <w:t>Méthode de calcul et autres considérations méthodologiques</w:t>
        <w:br/>
        <w:t>Contenu</w:t>
        <w:br/>
        <w:t>Nom de l’indicateur, cible et objectif</w:t>
        <w:br/>
        <w:t>Définition et justification</w:t>
        <w:br/>
        <w:t>Sources de données et méthode de collecte</w:t>
        <w:br/>
        <w:t>Méthode de calcul et autres considérations méthodologiques</w:t>
        <w:br/>
        <w:t>Désagrégation des données</w:t>
        <w:br/>
        <w:t>Références</w:t>
        <w:br/>
        <w:t>Organisation(s) internationale(s) de surveillance mondiale</w:t>
        <w:br/>
        <w:t xml:space="preserve"> Indicateur 4.4.1 : Proportion de jeunes et d'adultes possédant des compétences en technologies de l'information et des communications (TIC), par type de compétence</w:t>
        <w:br/>
        <w:t xml:space="preserve">Cible 4.4 : D’ici 2030, augmenter considérablement le nombre de jeunes et d’adultes possédant les compétences pertinentes, notamment techniques et professionnelles, pour </w:t>
        <w:br/>
        <w:t>emploi, emplois décents et entrepreneuriat</w:t>
        <w:br/>
        <w:t>Objectif 4 : Garantir une éducation de qualité inclusive et équitable et promouvoir les opportunités d’apprentissage tout au long de la vie pour tous</w:t>
        <w:br/>
        <w:t xml:space="preserve">1.  </w:t>
        <w:br/>
        <w:t xml:space="preserve">2.  </w:t>
        <w:br/>
        <w:t xml:space="preserve">3.  </w:t>
        <w:br/>
        <w:t xml:space="preserve">4.  </w:t>
        <w:br/>
        <w:t xml:space="preserve">5.  </w:t>
        <w:br/>
        <w:t xml:space="preserve">6.  </w:t>
        <w:br/>
        <w:t xml:space="preserve">7.  </w:t>
        <w:br/>
        <w:t xml:space="preserve">8.  </w:t>
        <w:br/>
        <w:t xml:space="preserve">9.  </w:t>
        <w:br/>
        <w:t>Définition :</w:t>
        <w:br/>
        <w:t xml:space="preserve">Cet indicateur est défini comme le pourcentage de jeunes (âgés de 15 à 24 ans) et d'adultes (âgés de 15 ans et plus) qui ont entrepris certains </w:t>
        <w:br/>
        <w:t xml:space="preserve">activités liées à l’informatique au cours d’une période donnée (par exemple les trois derniers mois). </w:t>
        <w:br/>
        <w:t>Concepts :</w:t>
        <w:br/>
        <w:t>Les activités liées à l'informatique pour mesurer les compétences en TIC comprennent :</w:t>
        <w:br/>
        <w:t>Copier ou déplacer un fichier ou un dossier</w:t>
        <w:br/>
        <w:t>Utilisation des outils de copier-coller pour dupliquer ou déplacer des informations dans un document</w:t>
        <w:br/>
        <w:t>Envoi d'e-mails avec des fichiers joints (par exemple un document, une photo et une vidéo)</w:t>
        <w:br/>
        <w:t>Utiliser des formules arithmétiques de base dans une feuille de calcul</w:t>
        <w:br/>
        <w:t>Connexion et installation de nouveaux appareils (par exemple modem, appareil photo, imprimante)</w:t>
        <w:br/>
        <w:t>Recherche, téléchargement, installation et configuration de logiciels</w:t>
        <w:br/>
        <w:t>Création de présentations électroniques avec un logiciel de présentation (y compris du texte, des images, du son, des vidéos ou des graphiques)</w:t>
        <w:br/>
        <w:t>Transférer des fichiers entre un ordinateur et d'autres appareils</w:t>
        <w:br/>
        <w:t xml:space="preserve">Écrire un programme informatique à l'aide d'un langage de programmation spécialisé </w:t>
        <w:br/>
        <w:t>A fait référence à un ordinateur de bureau, un ordinateur portable (portable) ou une tablette (ou un ordinateur de poche similaire). Il n'inclut pas l'équipement informatique</w:t>
        <w:br/>
        <w:t xml:space="preserve">avec certaines capacités informatiques intégrées, telles que les téléviseurs intelligents ou les téléphones portables. </w:t>
        <w:br/>
        <w:t>Justification et interprétation :</w:t>
        <w:br/>
        <w:t xml:space="preserve">Les compétences en TIC déterminent l’utilisation efficace des technologies de l’information et de la communication. Le manque de telles compétences continue d’être l’une des principales </w:t>
        <w:br/>
        <w:t xml:space="preserve">les obstacles qui empêchent les individus, en particulier les femmes, de bénéficier pleinement du potentiel des technologies de l’information et de la communication. Ceci </w:t>
        <w:br/>
        <w:t xml:space="preserve">Cet indicateur fait le lien entre l'utilisation des TIC et leur impact et aide à mesurer et à suivre le niveau de compétence des utilisateurs. Une valeur élevée indique que </w:t>
        <w:br/>
        <w:t>une grande partie de la population de référence possède les compétences en TIC mesurées.</w:t>
        <w:br/>
        <w:t xml:space="preserve">Le ministère de l'Éducation, les bureaux nationaux de statistique et d'autres fournisseurs de données seraient tenus de mener des enquêtes auprès des ménages ou une évaluation des apprentissages. </w:t>
        <w:br/>
        <w:t xml:space="preserve">telles que les enquêtes en grappes à indicateurs multiples (MICS), pour collecter des informations pour le calcul de cet indicateur. Dans certains cas, enquêter auprès des écoles </w:t>
        <w:br/>
        <w:t xml:space="preserve">qui conservent des données administratives sur les compétences en TIC des étudiants peuvent également constituer une source valable. À des fins transnationales, les fournisseurs de données incluent </w:t>
        <w:br/>
        <w:t>Eurostat et l'Union internationale des télécommunications (UIT).</w:t>
      </w:r>
    </w:p>
    <w:p>
      <w:pPr>
        <w:pStyle w:val="Heading2"/>
      </w:pPr>
      <w:r>
        <w:t>Page 120</w:t>
      </w:r>
    </w:p>
    <w:p>
      <w:r>
        <w:t>Texte d'en-tête</w:t>
        <w:br/>
        <w:t>Texte de pied de page</w:t>
        <w:br/>
        <w:t>Désagrégation des données</w:t>
        <w:br/>
        <w:t>Références</w:t>
        <w:br/>
        <w:t>Organisation(s) internationale(s) de surveillance mondiale</w:t>
        <w:br/>
        <w:t>Méthode de calcul :</w:t>
        <w:br/>
        <w:t>L'indicateur  ,est calculé comme suit :</w:t>
        <w:br/>
        <w:t xml:space="preserve"> </w:t>
        <w:br/>
        <w:t>où,</w:t>
        <w:br/>
        <w:t>PICTS est le pourcentage de personnes d'un groupe d'âge possédant des compétences en TIC.</w:t>
        <w:br/>
        <w:t>ICTa,est le nombre de personnes dans le groupe d'âge qui possèdent des compétences en TIC ;a s</w:t>
        <w:br/>
        <w:t>Répartir la population par tranche d'âge ; et une</w:t>
        <w:br/>
        <w:t xml:space="preserve">s désigne l’une des 9 compétences TIC répertoriées. </w:t>
        <w:br/>
        <w:t xml:space="preserve">L'indicateur est calculé comme le pourcentage de personnes dans une population donnée qui ont répondu « oui » à un nombre sélectionné de variables, par ex. le </w:t>
        <w:br/>
        <w:t xml:space="preserve">l'utilisation des compétences en TIC dans diverses matières ou domaines d'apprentissage, l'utilisation des compétences en TIC à l'intérieur ou à l'extérieur de l'école et/ou du lieu de travail, le minimum </w:t>
        <w:br/>
        <w:t>le temps passé à utiliser les compétences en TIC à l'intérieur et à l'extérieur de l'école et/ou du lieu de travail, la disponibilité d'un accès Internet à l'intérieur ou à l'extérieur de l'école et</w:t>
        <w:br/>
        <w:t xml:space="preserve">/ou lieu de travail, etc. </w:t>
        <w:br/>
        <w:t>Commentaires et limites :</w:t>
        <w:br/>
        <w:t xml:space="preserve">L'indicateur est basé sur les réponses fournies par les personnes interrogées concernant certaines activités informatiques qu'elles ont exercées dans un </w:t>
        <w:br/>
        <w:t>période de référence. Cependant, il ne s’agit pas d’une évaluation directe des compétences ni de l’efficacité de la manière dont ces activités ont été menées.</w:t>
        <w:br/>
        <w:t xml:space="preserve">Cet indicateur est relativement nouveau mais repose sur une définition et une méthodologie convenues au niveau international, qui ont été développées dans le cadre du </w:t>
        <w:br/>
        <w:t xml:space="preserve">coordination de l'Union internationale des télécommunications (UIT), par l'intermédiaire de ses groupes d'experts et à la suite d'un vaste processus de consultation avec </w:t>
        <w:br/>
        <w:t xml:space="preserve">pays. Il fait également partie de la liste d’indicateurs de base du Partenariat sur la mesure des TIC au service du développement, qui a été approuvée par le Bureau de statistique des Nations Unies. </w:t>
        <w:br/>
        <w:t xml:space="preserve">Commission en 2014. </w:t>
        <w:br/>
        <w:t>Indicateurs proxy, alternatifs et supplémentaires : N/A</w:t>
        <w:br/>
        <w:t xml:space="preserve">Cet indicateur doit être ventilé par type de compétence.  Par conséquent, cet indicateur doit être calculé séparément pour chacune des 9 compétences en TIC. </w:t>
        <w:br/>
        <w:t>en utilisant le nombre de répondants qui ont répondu « oui » aux questions sur chaque compétence. Cet indicateur peut également être ventilé par âge ou par âge.</w:t>
        <w:br/>
        <w:t>groupe d’étudiants, sexe, lieu et statut socio-économique s’ils sont collectés dans l’enquête pertinente.</w:t>
        <w:br/>
        <w:t xml:space="preserve">URL officielle des métadonnées ODD </w:t>
        <w:br/>
        <w:t xml:space="preserve">https://unstats.un.org/sdgs/metadata/files/Metadata-04-04-01.pdf  </w:t>
        <w:br/>
        <w:t>Indicateurs mondiaux et thématiques de l’ODD 4 URL des métadonnées</w:t>
        <w:br/>
        <w:t xml:space="preserve">http://sdg4monitoring.uis.unesco.org/metadata-global-thematic-indicators-follow-up-review-sdg4-education2030-2017.pdf </w:t>
        <w:br/>
        <w:t>Autres références</w:t>
        <w:br/>
        <w:t>Union internationale des télécommunications (2014). Disponible à : Manuel pour mesurer l'accès et l'utilisation des TIC par les ménages et les individus. https://</w:t>
        <w:br/>
        <w:t>www.itu.int/dms_pub/itu-d/opb/ind/D-IND-ITCMEAS-2014-PDF-E.pdf</w:t>
        <w:br/>
        <w:t>Eurostat (2015). Disponible sur : Manuel méthodologique pour les statistiques sur la société de l'information. https://circabc.europa.eu/sd/a/50760cae-348b-</w:t>
        <w:br/>
        <w:t xml:space="preserve"> 4a8a-9569-a96a6704fb70/Methodological_Manual_2015_ISS.zip</w:t>
        <w:br/>
        <w:t>Exemples de pays</w:t>
        <w:br/>
        <w:t>N/D</w:t>
        <w:br/>
        <w:t xml:space="preserve">Ce document a été préparé sur la base des contributions de l'Institut pour l'éducation, la science et la culture de l'Organisation des Nations Unies pour l'éducation, la science et la culture (UNESCO). </w:t>
        <w:br/>
        <w:t>Statistiques (ISU) et Union internationale des télécommunications (UIT).</w:t>
        <w:br/>
        <w:t>Pour obtenir des informations sur les points focaux pour cet indicateur, veuillez visiter https://unstats.un.org/sdgs/dataContacts/</w:t>
      </w:r>
    </w:p>
    <w:p>
      <w:pPr>
        <w:pStyle w:val="Heading2"/>
      </w:pPr>
      <w:r>
        <w:t>Page 121</w:t>
      </w:r>
    </w:p>
    <w:p>
      <w:r>
        <w:t>Texte d'en-tête</w:t>
        <w:br/>
        <w:t>Texte de pied de page</w:t>
        <w:br/>
        <w:t>Indicateur 4.5.1</w:t>
        <w:br/>
        <w:t>Page d'accueil du manuel électronique</w:t>
        <w:br/>
        <w:t xml:space="preserve"> </w:t>
        <w:br/>
        <w:t>Nom de l’indicateur, cible et objectif</w:t>
        <w:br/>
        <w:t>Définition et justification</w:t>
        <w:br/>
        <w:t>Sources de données et méthode de collecte</w:t>
        <w:br/>
        <w:t>Méthode de calcul et autres considérations méthodologiques</w:t>
        <w:br/>
        <w:t>Contenu</w:t>
        <w:br/>
        <w:t>Nom de l’indicateur, cible et objectif</w:t>
        <w:br/>
        <w:t>Définition et justification</w:t>
        <w:br/>
        <w:t>Sources de données et méthode de collecte</w:t>
        <w:br/>
        <w:t>Méthode de calcul et autres considérations méthodologiques</w:t>
        <w:br/>
        <w:t>Désagrégation des données</w:t>
        <w:br/>
        <w:t>Références</w:t>
        <w:br/>
        <w:t>Organisation(s) internationale(s) de surveillance mondiale</w:t>
        <w:br/>
        <w:t xml:space="preserve"> Indicateur 4.5.1 : Indices de parité (femmes/hommes, rural/urbain, quintile de richesse inférieur/supérieur et autres tels que le statut de handicap, les peuples autochtones et </w:t>
        <w:br/>
        <w:t>touchées par un conflit, à mesure que les données deviennent disponibles) pour tous les indicateurs de l'éducation de cette liste qui peuvent être désagrégés</w:t>
        <w:br/>
        <w:t xml:space="preserve">Cible 4.5 : D’ici 2030, éliminer les disparités entre les sexes dans l’éducation et garantir l’égalité d’accès à tous les niveaux d’éducation et de formation professionnelle pour les </w:t>
        <w:br/>
        <w:t>vulnérables, notamment les personnes handicapées, les peuples autochtones et les enfants en situation vulnérable</w:t>
        <w:br/>
        <w:t>Objectif 4 : Garantir une éducation de qualité inclusive et équitable et promouvoir les opportunités d’apprentissage tout au long de la vie pour tous</w:t>
        <w:br/>
        <w:t>Définition :</w:t>
        <w:br/>
        <w:t xml:space="preserve">Cet indicateur est défini comme le rapport de la valeur de l'indicateur sous-jacent (par exemple 4.1.1) pour un sous-groupe à celle d'un autre. Généralement, la valeur </w:t>
        <w:br/>
        <w:t xml:space="preserve">pour le groupe probablement le plus défavorisé, c’est le numérateur. Une valeur exactement de 1 indique une parité entre les deux groupes bien que, pour des raisons analytiques, </w:t>
        <w:br/>
        <w:t xml:space="preserve">À ces fins, les valeurs comprises entre 0,97 et 1,03 sont généralement considérées comme étant à parité. </w:t>
        <w:br/>
        <w:t>Des indices de parité peuvent être calculés pour les indicateurs mondiaux suivants de l’ODD 4 :</w:t>
        <w:br/>
        <w:t>4.1.1</w:t>
        <w:br/>
        <w:t>4.2.1</w:t>
        <w:br/>
        <w:t>4.2.2</w:t>
        <w:br/>
        <w:t>4.3.1</w:t>
        <w:br/>
        <w:t>4.4.1</w:t>
        <w:br/>
        <w:t>4.6.1</w:t>
        <w:br/>
        <w:t xml:space="preserve">4.c.1 </w:t>
        <w:br/>
        <w:t>Concepts :</w:t>
        <w:br/>
        <w:t xml:space="preserve">Voir les métadonnées pour l'indicateur sous-jacent pertinent. </w:t>
        <w:br/>
        <w:t>Justification et interprétation :</w:t>
        <w:br/>
        <w:t>Les indices de parité sont utilisés pour mesurer la disparité relative entre deux sous-populations d’intérêt par rapport à un indicateur donné.</w:t>
        <w:br/>
        <w:t xml:space="preserve">Dans le contexte de cet indicateur, les indices mettent en évidence les différences relatives entre deux sous-groupes de population d'intérêt. Par exemple, une parité </w:t>
        <w:br/>
        <w:t xml:space="preserve">L’indice pour l’indicateur 4.4.1 pourrait donner un aperçu des différences entre les hommes et les femmes (ou toute autre dimension intéressante) en matière de compétences en TIC. </w:t>
        <w:br/>
        <w:t>Plus l’indice de parité s’éloigne de la fourchette 0,97 et 1,03, plus la disparité entre les deux groupes d’intérêt est grande.</w:t>
        <w:br/>
        <w:t>La source des données est la même que l'indicateur sous-jacent pour lequel cette mesure de parité est calculée.</w:t>
      </w:r>
    </w:p>
    <w:p>
      <w:pPr>
        <w:pStyle w:val="Heading2"/>
      </w:pPr>
      <w:r>
        <w:t>Page 122</w:t>
      </w:r>
    </w:p>
    <w:p>
      <w:r>
        <w:t>Texte d'en-tête</w:t>
        <w:br/>
        <w:t>Texte de pied de page</w:t>
        <w:br/>
        <w:t>Désagrégation des données</w:t>
        <w:br/>
        <w:t>Références</w:t>
        <w:br/>
        <w:t>Organisation(s) internationale(s) de surveillance mondiale</w:t>
        <w:br/>
        <w:t>Méthode de calcul :</w:t>
        <w:br/>
        <w:t xml:space="preserve">Cet indicateur peut être calculé en divisant un indicateur donné pour la dimension d'intérêt (sexe, richesse, localisation, etc.) par la probabilité la plus élevée. </w:t>
        <w:br/>
        <w:t>groupe défavorisé (femmes, quintile le plus pauvre, rural, etc.), par la valeur du groupe probablement le plus avantagé (hommes, quintile le plus riche, urbain, INDi,d</w:t>
        <w:br/>
        <w:t>etc.), . INDi,a</w:t>
        <w:br/>
        <w:t xml:space="preserve">L'indice de parité pour une dimension donnée (sexe, richesse, localisation, etc.), pour tout indicateur est donné comme suit : DPI, </w:t>
        <w:br/>
        <w:t xml:space="preserve">où </w:t>
        <w:br/>
        <w:t xml:space="preserve">IND c’est l’indicateur Éducation 2030 (ODD 4) pour lequel une mesure d’équité est nécessaire ;i </w:t>
        <w:br/>
        <w:t>d est le groupe probablement le plus défavorisé (par exemple les femmes, les plus pauvres, les zones rurales, etc.) ; et</w:t>
        <w:br/>
        <w:t xml:space="preserve">a est le groupe probablement le plus avantagé (par exemple, les hommes, les plus riches, les urbains, etc.). </w:t>
        <w:br/>
        <w:t>Commentaires et limites :</w:t>
        <w:br/>
        <w:t xml:space="preserve">L'indicateur peut être ajusté pour être symétrique autour de 1 et limité à une plage comprise entre 0 et 2 par une simple transformation par inversion </w:t>
        <w:br/>
        <w:t xml:space="preserve">ratios supérieurs à 1 et en les soustrayant de 2. </w:t>
        <w:br/>
        <w:t>Indicateurs proxy, alternatifs et supplémentaires : N/A</w:t>
        <w:br/>
        <w:t xml:space="preserve">Les indices de parité peuvent être calculés pour tout sous-groupe d'intérêt pour lequel des données suffisantes sont disponibles, en tenant compte de la taille des échantillons et des normes. </w:t>
        <w:br/>
        <w:t xml:space="preserve">erreurs. </w:t>
        <w:br/>
        <w:t>URL officielle des métadonnées ODD</w:t>
        <w:br/>
        <w:t xml:space="preserve">https://unstats.un.org/sdgs/metadata/files/Metadata-04-05-01.pdf  </w:t>
        <w:br/>
        <w:t>Méthodologie reconnue au niveau international et URL des lignes directrices</w:t>
        <w:br/>
        <w:t xml:space="preserve">Institut de statistique de l'UNESCO. (2017a). Métadonnées pour les indicateurs globaux et thématiques pour le suivi et l'examen de l'ODD 4 et de l'Éducation </w:t>
        <w:br/>
        <w:t>. Accessible à : 2030 http://uis.unesco.org/sites/default/files/documents/metadata-global-thematic-indicators-sdg4-education2030-2017-en_1.pdf</w:t>
        <w:br/>
        <w:t>Autres références :</w:t>
        <w:br/>
        <w:t>Des informations sur les indicateurs et le calcul des indices de parité sont disponibles sur :</w:t>
        <w:br/>
        <w:t>Institut de statistique de l'UNESCO (ISU) (2018). Glossaire. Accessible sur : http://uis.unesco.org/fr/glossaire</w:t>
        <w:br/>
        <w:t>Exemples de pays :</w:t>
        <w:br/>
        <w:t>Pour consulter les dernières données disponibles : http://data.uis.unesco.org</w:t>
        <w:br/>
        <w:t xml:space="preserve">Ce document a été préparé sur la base des contributions de l'Institut pour l'éducation, la science et la culture de l'Organisation des Nations Unies pour l'éducation, la science et la culture (UNESCO). </w:t>
        <w:br/>
        <w:t>Statistiques (ISU).</w:t>
        <w:br/>
        <w:t>Pour obtenir des informations sur les points focaux pour cet indicateur, veuillez visiter https://unstats.un.org/sdgs/dataContacts/</w:t>
      </w:r>
    </w:p>
    <w:p>
      <w:pPr>
        <w:pStyle w:val="Heading2"/>
      </w:pPr>
      <w:r>
        <w:t>Page 123</w:t>
      </w:r>
    </w:p>
    <w:p>
      <w:r>
        <w:t>Texte d'en-tête</w:t>
        <w:br/>
        <w:t>Texte de pied de page</w:t>
        <w:br/>
        <w:t>Indicateur 4.6.1</w:t>
        <w:br/>
        <w:t>Page d'accueil du manuel électronique</w:t>
        <w:br/>
        <w:t xml:space="preserve"> </w:t>
        <w:br/>
        <w:t>Nom de l’indicateur, cible et objectif</w:t>
        <w:br/>
        <w:t>Définition et justification</w:t>
        <w:br/>
        <w:t>Sources de données et méthode de collecte</w:t>
        <w:br/>
        <w:t>Contenu</w:t>
        <w:br/>
        <w:t>Nom de l’indicateur, cible et objectif</w:t>
        <w:br/>
        <w:t>Définition et justification</w:t>
        <w:br/>
        <w:t>Sources de données et méthode de collecte</w:t>
        <w:br/>
        <w:t>Méthode de calcul et autres considérations méthodologiques</w:t>
        <w:br/>
        <w:t>Désagrégation des données</w:t>
        <w:br/>
        <w:t>Références</w:t>
        <w:br/>
        <w:t>Organisation(s) internationale(s) de surveillance mondiale</w:t>
        <w:br/>
        <w:t xml:space="preserve"> Indicateur 4.6.1 : Proportion de la population dans un groupe d'âge donné atteignant au moins un niveau fixe de compétence en alphabétisation fonctionnelle (a) et (b) </w:t>
        <w:br/>
        <w:t>compétences en calcul, par sexe</w:t>
        <w:br/>
        <w:t>Cible 4.6 : D’ici 2030, veiller à ce que tous les jeunes et une proportion importante d’adultes, hommes et femmes, acquièrent les connaissances nécessaires en matière d’alphabétisation et de calcul.</w:t>
        <w:br/>
        <w:t>Objectif 4 : Garantir une éducation de qualité inclusive et équitable et promouvoir les opportunités d’apprentissage tout au long de la vie pour tous</w:t>
        <w:br/>
        <w:t>Définition :</w:t>
        <w:br/>
        <w:t xml:space="preserve">Cet indicateur est défini comme la proportion de jeunes (âgés de 15 à 24 ans) et d'adultes (âgés de 15 ans et plus) qui ont atteint ou dépassé </w:t>
        <w:br/>
        <w:t xml:space="preserve">un niveau donné de compétence en (a) littératie et (b) numératie. Le niveau fixe ou minimum de compétence est mesuré par rapport à l'alphabétisation et </w:t>
        <w:br/>
        <w:t xml:space="preserve">échelles de calcul définies en fonction d’évaluations nationales, régionales et internationales des apprentissages. </w:t>
        <w:br/>
        <w:t>Concepts :</w:t>
        <w:br/>
        <w:t xml:space="preserve">Il s'agit de la référence des connaissances de base dans un domaine (alphabétisation ou numératie) mesurées au moyen d'évaluations des apprentissages. niveau de compétence fixe </w:t>
        <w:br/>
        <w:t xml:space="preserve">Actuellement, il n'existe pas de normes communes permettant de déterminer le niveau fixe de compétence qui aient été validées par la communauté internationale ou </w:t>
        <w:br/>
        <w:t xml:space="preserve">pays. </w:t>
        <w:br/>
        <w:t>Les concepts de sont basés sur la définition de l'UNESCO qui couvre un continuum de niveaux de compétence plutôt que l'alphabétisation et la numératie fonctionnelles.</w:t>
        <w:br/>
        <w:t>une dichotomie. Une personne est capable de s'engager dans toutes les activités dans lesquelles l'alphabétisation est nécessaire au fonctionnement efficace de ses capacités fonctionnelles.</w:t>
        <w:br/>
        <w:t xml:space="preserve">groupe et communauté et aussi pour leur permettre de continuer à utiliser la lecture, l’écriture et le calcul pour eux-mêmes et pour ceux de la communauté. </w:t>
        <w:br/>
        <w:t xml:space="preserve">développement. L'évaluation de l'alphabétisation et de la numératie fonctionnelles doit couvrir différents niveaux de compétence allant d'un niveau faible à la maîtrise. </w:t>
        <w:br/>
        <w:t xml:space="preserve">du domaine requis. </w:t>
        <w:br/>
        <w:t xml:space="preserve">Justification et interprétation : </w:t>
        <w:br/>
        <w:t xml:space="preserve">L'indicateur est une mesure directe des compétences fonctionnelles des jeunes et des adultes en lecture, écriture et calcul, qui divise les jeunes et les adultes en </w:t>
        <w:br/>
        <w:t xml:space="preserve">ceux qui ont atteint le niveau de compétence fixé requis et ceux qui ne l’ont pas atteint. </w:t>
        <w:br/>
        <w:t xml:space="preserve">(1) En dessous du niveau de compétence fixé se trouve la proportion de jeunes et d’adultes qui n’ont pas atteint le niveau de compétence minimum établi par </w:t>
        <w:br/>
        <w:t xml:space="preserve">pays selon le cadre mondial de compétences ou d’aptitudes. </w:t>
        <w:br/>
        <w:t>(2) Au niveau ou au-dessus du niveau de compétence fixe correspond la proportion de jeunes et d'adultes qui ont atteint au moins le niveau de compétence minimum.</w:t>
        <w:br/>
        <w:t xml:space="preserve">En raison de l'hétérogénéité des niveaux de performance fixés par les évaluations nationales et transnationales, ces niveaux de performance seront basés sur un </w:t>
        <w:br/>
        <w:t xml:space="preserve">cadre global de compétences ou d’aptitudes. Une fois les niveaux de performance établis, la communauté éducative mondiale sera en mesure d'identifier </w:t>
        <w:br/>
        <w:t>chaque pays, la proportion de jeunes et d’adultes ayant atteint au moins le niveau de compétence minimum.</w:t>
        <w:br/>
        <w:t xml:space="preserve">Cet indicateur est collecté via des enquêtes d’évaluation des compétences auprès des populations jeunes et adultes. L’Enquête de l’OCDE sur les compétences des adultes dans son Programme pour </w:t>
        <w:br/>
        <w:t xml:space="preserve">l’Évaluation internationale des compétences des adultes (PIAAC), le programme Compétences pour l’emploi et la productivité (STEP) de la Banque mondiale </w:t>
        <w:br/>
        <w:t xml:space="preserve">Le programme de mesure de l’alphabétisation et le Programme d’évaluation et de suivi de l’alphabétisation (LAMP) de l’ISU, qui sont tous des enquêtes auprès des ménages, sont de bons résultats. </w:t>
        <w:br/>
        <w:t xml:space="preserve">sources de données pour cet indicateur.  Une nouvelle enquête courte sur l'alphabétisation (SLS) basée sur LAMP a été récemment développée pour offrir une méthode moins coûteuse et moins coûteuse. </w:t>
        <w:br/>
        <w:t xml:space="preserve">option techniquement exigeante pour les pays. Les enquêtes nationales sur les compétences des adultes en matière d'alphabétisation et de calcul peuvent constituer des sources supplémentaires. </w:t>
        <w:br/>
        <w:t xml:space="preserve">Seul le PIAAC mesure à la fois les compétences en lecture, écriture et calcul. STEP et le nouveau SLS mesurent uniquement l’alphabétisation. Le PIAAC et le STEP peuvent </w:t>
        <w:br/>
        <w:t>être mis sur une échelle commune car ils sont liés psychométriquement par conception.</w:t>
      </w:r>
    </w:p>
    <w:p>
      <w:pPr>
        <w:pStyle w:val="Heading2"/>
      </w:pPr>
      <w:r>
        <w:t>Page 124</w:t>
      </w:r>
    </w:p>
    <w:p>
      <w:r>
        <w:t>Texte d'en-tête</w:t>
        <w:br/>
        <w:t>Texte de pied de page</w:t>
        <w:br/>
        <w:t>Méthode de calcul et autres considérations méthodologiques</w:t>
        <w:br/>
        <w:t>Désagrégation des données</w:t>
        <w:br/>
        <w:t>Références</w:t>
        <w:br/>
        <w:t>Organisation(s) internationale(s) de surveillance mondiale</w:t>
        <w:br/>
        <w:t>Méthode de calcul :</w:t>
        <w:br/>
        <w:t xml:space="preserve">Cet indicateur peut être calculé en divisant le nombre de personnes âgées de 15 à 24 ans ou de 15 ans et plus atteignant au moins le minimum fixé </w:t>
        <w:br/>
        <w:t xml:space="preserve">niveau de compétence dans une enquête d'évaluation représentative à grande échelle sur l'alphabétisation et/ou la numératie, par le nombre total de participants à l'enquête </w:t>
        <w:br/>
        <w:t xml:space="preserve">même groupe d’âge qui a participé à l’évaluation. </w:t>
        <w:br/>
        <w:t>La proportion de jeunes et d'adultes ayant atteint un niveau de compétence, du groupe d'âge en référence au moins au seuil minimum PMINt</w:t>
        <w:br/>
        <w:t xml:space="preserve">un, c'est un </w:t>
        <w:br/>
        <w:t>année , est calculé comme suit : t</w:t>
        <w:br/>
        <w:t>où</w:t>
        <w:br/>
        <w:t>P t</w:t>
        <w:br/>
        <w:t>a,s est le nombre de jeunes ou d'adultes du groupe d'âge qui ont atteint au moins le niveau de compétence minimum dans le domaine au cours de l'année de référence  a s t</w:t>
        <w:br/>
        <w:t>POPt</w:t>
        <w:br/>
        <w:t>a,s est le nombre total de jeunes ou d'adultes du groupe d'âge qui ont participé à l'évaluation du domaine au cours de l'année de référence a s t</w:t>
        <w:br/>
        <w:t xml:space="preserve">s désigne le domaine, qu'il s'agisse d'alphabétisation ou de calcul.   </w:t>
        <w:br/>
        <w:t>Commentaires et limites :</w:t>
        <w:br/>
        <w:t xml:space="preserve">La mesure des compétences des jeunes et des adultes en matière de lecture, d'écriture et de calcul nécessite une certaine forme d'évaluation directe. Utiliser les enquêtes auprès des ménages </w:t>
        <w:br/>
        <w:t xml:space="preserve">mesurer l’apprentissage peut être coûteux et difficile à administrer et peut sous-estimer l’apprentissage dans des domaines essentiels à la vie quotidienne mais plus difficiles à gérer. </w:t>
        <w:br/>
        <w:t xml:space="preserve">évaluer selon des approches standardisées. Il peut en résulter des représentations inexactes de ce que les jeunes et les adultes savent et peuvent faire, particulièrement dans </w:t>
        <w:br/>
        <w:t xml:space="preserve">relation avec l’application de compétences qui peuvent varier selon les contextes. </w:t>
        <w:br/>
        <w:t>Indicateurs proxy, alternatifs et supplémentaires : N/A</w:t>
        <w:br/>
        <w:t>Cet indicateur doit être ventilé par sexe. Il peut également être ventilé par tranche d’âge, lieu, revenu et statut de handicap.</w:t>
        <w:br/>
        <w:t>URL officielle des métadonnées ODD</w:t>
        <w:br/>
        <w:t xml:space="preserve">https://unstats.un.org/sdgs/metadata/files/Metadata-04-06-01.pdf  </w:t>
        <w:br/>
        <w:t>Méthodologie reconnue au niveau international et URL des lignes directrices</w:t>
        <w:br/>
        <w:t xml:space="preserve">Institut de statistique de l'UNESCO. (2017a). Métadonnées pour les indicateurs globaux et thématiques pour le suivi et l'examen de l'ODD 4 et de l'Éducation </w:t>
        <w:br/>
        <w:t>. Accessible à : 2030 http://uis.unesco.org/sites/default/files/documents/metadata-global-thematic-indicators-sdg4-education2030-2017-en_1.pdf</w:t>
        <w:br/>
        <w:t>Institut de statistique de l'UNESCO (ISU) (2018). Glossaire. Accessible sur : http://uis.unesco.org/fr/glossaire</w:t>
        <w:br/>
        <w:t>Autres références</w:t>
        <w:br/>
        <w:t xml:space="preserve">Organisation de coopération et de développement économiques (OCDE). Programme pour l'évaluation internationale des compétences des adultes </w:t>
        <w:br/>
        <w:t>Site Internet : (PIAAC). http://www.oecd.org/site/piaac/</w:t>
        <w:br/>
        <w:t>La Banque mondiale (BM). Site Internet : Programme de mesure des compétences STEP. http://microdata.worldbank.org/index.php/catalog/step/about</w:t>
        <w:br/>
        <w:t>Exemples de pays</w:t>
        <w:br/>
        <w:t>Pour consulter les dernières données disponibles : http://data.uis.unesco.org</w:t>
        <w:br/>
        <w:t xml:space="preserve">Ce document a été préparé sur la base des contributions de l'Institut pour l'éducation, la science et la culture de l'Organisation des Nations Unies pour l'éducation, la science et la culture (UNESCO). </w:t>
        <w:br/>
        <w:t>Statistiques (ISU).</w:t>
        <w:br/>
        <w:t>Pour obtenir des informations sur les points focaux pour cet indicateur, veuillez visiter https://unstats.un.org/sdgs/dataContacts/</w:t>
      </w:r>
    </w:p>
    <w:p>
      <w:pPr>
        <w:pStyle w:val="Heading2"/>
      </w:pPr>
      <w:r>
        <w:t>Page 125</w:t>
      </w:r>
    </w:p>
    <w:p>
      <w:r>
        <w:t>Texte d'en-tête</w:t>
        <w:br/>
        <w:t>Texte de pied de page</w:t>
        <w:br/>
        <w:t>Indicateur 4.a.1</w:t>
        <w:br/>
        <w:t>Page d'accueil du manuel électronique</w:t>
        <w:br/>
        <w:t>Nom de l’indicateur, cible et objectif</w:t>
        <w:br/>
        <w:t>Définition et justification</w:t>
        <w:br/>
        <w:t>Contenu</w:t>
        <w:br/>
        <w:t>Nom de l’indicateur, cible et objectif</w:t>
        <w:br/>
        <w:t>Définition et justification</w:t>
        <w:br/>
        <w:t>Sources de données et méthode de collecte</w:t>
        <w:br/>
        <w:t>Méthode de calcul et autres considérations méthodologiques</w:t>
        <w:br/>
        <w:t>Désagrégation des données</w:t>
        <w:br/>
        <w:t>Références</w:t>
        <w:br/>
        <w:t>Organisation(s) internationale(s) de surveillance mondiale</w:t>
        <w:br/>
        <w:t xml:space="preserve"> Indicateur 4.a.1 : Proportion Proportion d'écoles offrant des services de base, par type de service</w:t>
        <w:br/>
        <w:t xml:space="preserve">Cible 4.a : Construire et moderniser des établissements d'enseignement qui soient sensibles aux enfants, aux handicaps et au genre et qui offrent des services sûrs, non violents, inclusifs et </w:t>
        <w:br/>
        <w:t>des environnements d'apprentissage efficaces pour tous</w:t>
        <w:br/>
        <w:t>Objectif 4 : Garantir une éducation de qualité inclusive et équitable et promouvoir les opportunités d’apprentissage tout au long de la vie pour tous</w:t>
      </w:r>
    </w:p>
    <w:p>
      <w:pPr>
        <w:pStyle w:val="Heading2"/>
      </w:pPr>
      <w:r>
        <w:t>Page 126</w:t>
      </w:r>
    </w:p>
    <w:p>
      <w:r>
        <w:t>Texte d'en-tête</w:t>
        <w:br/>
        <w:t>Texte de pied de page</w:t>
        <w:br/>
        <w:t>Sources de données et méthode de collecte</w:t>
        <w:br/>
        <w:t>Méthode de calcul et autres considérations méthodologiques</w:t>
        <w:br/>
        <w:t>Définition :</w:t>
        <w:br/>
        <w:t xml:space="preserve">L’indicateur est défini comme le pourcentage d’écoles par niveau d’enseignement (enseignement primaire, secondaire inférieur et secondaire supérieur) ayant </w:t>
        <w:br/>
        <w:t xml:space="preserve">accès aux installations suivantes : </w:t>
        <w:br/>
        <w:t xml:space="preserve">a) Électricité; (b) Internet à des fins pédagogiques ; (c) les ordinateurs à des fins pédagogiques ; (d) des infrastructures et du matériel adaptés pour </w:t>
        <w:br/>
        <w:t xml:space="preserve">les étudiants handicapés; (e) eau potable de base ; f) des installations sanitaires de base non mixtes ; et (g) des installations de base pour le lavage des mains. </w:t>
        <w:br/>
        <w:t xml:space="preserve">Concepts : </w:t>
        <w:br/>
        <w:t xml:space="preserve">L'électricité désigne des sources d'énergie régulièrement et facilement disponibles (par exemple, connexion au réseau/au secteur, générateur éolien, hydraulique, solaire et alimenté au carburant, </w:t>
        <w:br/>
        <w:t xml:space="preserve">etc.) qui permettent une utilisation adéquate et durable des infrastructures TIC à des fins éducatives. </w:t>
        <w:br/>
        <w:t xml:space="preserve">L'accès à Internet fait référence à l'utilisation d'Internet pour fournir du matériel pédagogique sur un ordinateur ou via un autre outil à des fins pédagogiques. </w:t>
        <w:br/>
        <w:t xml:space="preserve">dispositifs, en fonction des besoins pédagogiques des apprenants. L'accès implique qu'Internet soit disponible pour améliorer l'enseignement et l'apprentissage et qu'il soit </w:t>
        <w:br/>
        <w:t xml:space="preserve">accessible aux élèves. Internet est défini comme un réseau informatique mondial interconnecté, qui permet aux élèves d'accéder à un certain nombre d'informations. </w:t>
        <w:br/>
        <w:t>services de communication, y compris le World Wide Web, et transporte des fichiers de courrier électronique, d'actualités, de divertissement et de données, quel que soit l'appareil utilisé (c.</w:t>
        <w:br/>
        <w:t xml:space="preserve">e. n'est pas censé se faire uniquement via un ordinateur et est donc également accessible via un téléphone portable, une tablette, un PDA, une console de jeux, une télévision numérique, etc.). </w:t>
        <w:br/>
        <w:t xml:space="preserve">L'accès peut se faire via un réseau fixe à bande étroite, fixe à large bande ou via un réseau mobile. </w:t>
        <w:br/>
        <w:t xml:space="preserve">Les ordinateurs à des fins pédagogiques impliquent l’utilisation d’ordinateurs pour répondre aux besoins de cours ou d’enseignement et d’apprentissage indépendants. Ceci </w:t>
        <w:br/>
        <w:t xml:space="preserve">peut inclure des activités utilisant des ordinateurs pour répondre aux besoins d'information à des fins de recherche, élaborer des présentations, effectuer des exercices pratiques et </w:t>
        <w:br/>
        <w:t xml:space="preserve">expériences, partager des informations et participer à des forums de discussion en ligne à des fins éducatives. Il comprend un ordinateur de bureau, un ordinateur portable </w:t>
        <w:br/>
        <w:t xml:space="preserve">ordinateur et une tablette. </w:t>
        <w:br/>
        <w:t xml:space="preserve">Une infrastructure adaptée est définie comme tout environnement bâti lié aux installations éducatives qui est accessible à tous les utilisateurs, y compris ceux </w:t>
        <w:br/>
        <w:t xml:space="preserve">différents types de handicap, pour pouvoir accéder à leur utilisation et en sortir. L'accessibilité comprend la facilité d'approche indépendante, d'entrée, </w:t>
        <w:br/>
        <w:t xml:space="preserve">l'évacuation et/ou l'utilisation d'un bâtiment et de ses services et installations (tels que l'eau et l'assainissement), par tous les utilisateurs potentiels du bâtiment avec un </w:t>
        <w:br/>
        <w:t xml:space="preserve">l'assurance de la santé, de la sécurité et du bien-être des individus au cours de ces activités. </w:t>
        <w:br/>
        <w:t xml:space="preserve">Le matériel adapté comprend du matériel d'apprentissage et des produits d'assistance qui permettent aux étudiants et aux enseignants handicapés/limités de fonctionner de </w:t>
        <w:br/>
        <w:t xml:space="preserve">accéder à l’apprentissage et participer pleinement à l’environnement scolaire. </w:t>
        <w:br/>
        <w:t xml:space="preserve">Le matériel d'apprentissage accessible comprend les manuels scolaires, le matériel pédagogique, les évaluations et autres matériels disponibles et fournis dans </w:t>
        <w:br/>
        <w:t>des formats appropriés tels que l'audio, le braille, la langue des signes et des formats simplifiés pouvant être utilisés par les élèves et les enseignants handicapés</w:t>
        <w:br/>
        <w:t xml:space="preserve">/limitations de fonctionnement. </w:t>
        <w:br/>
        <w:t xml:space="preserve">L’eau potable de base est définie comme une source d’eau potable fonctionnelle (catégories « améliorées » des OMD) située sur ou à proximité des locaux et des points d’eau. </w:t>
        <w:br/>
        <w:t xml:space="preserve">accessible à tous les usagers pendant les heures de cours. </w:t>
        <w:br/>
        <w:t xml:space="preserve">Les installations sanitaires de base non mixtes sont définies comme des installations sanitaires fonctionnelles (catégories « améliorées » des OMD) séparées pour les hommes et les femmes. </w:t>
        <w:br/>
        <w:t xml:space="preserve">sur place ou à proximité. </w:t>
        <w:br/>
        <w:t xml:space="preserve">Les installations de base pour le lavage des mains sont définies comme des installations fonctionnelles pour le lavage des mains, avec de l'eau et du savon à la disposition de toutes les filles et de tous les garçons. </w:t>
        <w:br/>
        <w:t>Justification et interprétation :</w:t>
        <w:br/>
        <w:t xml:space="preserve">Cet indicateur reflète le niveau d'accès dans les écoles aux services et installations de base essentiels qui sont nécessaires pour garantir un apprentissage sûr et efficace. </w:t>
        <w:br/>
        <w:t xml:space="preserve">environnement pour tous les étudiants. </w:t>
        <w:br/>
        <w:t xml:space="preserve">Une valeur élevée indique que les écoles ont un bon accès aux services et installations appropriés. Idéalement, chaque école devrait avoir accès à tous ces </w:t>
        <w:br/>
        <w:t xml:space="preserve">servir glaces et installations. </w:t>
        <w:br/>
        <w:t xml:space="preserve">Les données nécessaires au calcul de cet indicateur sont disponibles dans les dossiers administratifs des écoles et d'autres prestataires d'enseignement et </w:t>
        <w:br/>
        <w:t xml:space="preserve">formation. </w:t>
        <w:br/>
        <w:t>Les ministères de l’Éducation ou les offices nationaux de statistique sont des sources typiques de ces données.</w:t>
      </w:r>
    </w:p>
    <w:p>
      <w:pPr>
        <w:pStyle w:val="Heading2"/>
      </w:pPr>
      <w:r>
        <w:t>Page 127</w:t>
      </w:r>
    </w:p>
    <w:p>
      <w:r>
        <w:t>Texte d'en-tête</w:t>
        <w:br/>
        <w:t>Texte de pied de page</w:t>
        <w:br/>
        <w:t>Désagrégation des données</w:t>
        <w:br/>
        <w:t>Références</w:t>
        <w:br/>
        <w:t>Organisation(s) internationale(s) de surveillance mondiale</w:t>
        <w:br/>
        <w:t xml:space="preserve">Méthode de calcul : </w:t>
        <w:br/>
        <w:t xml:space="preserve">Divisez le nombre d'écoles ayant accès à l'établissement concerné dans chaque niveau d'enseignement par le nombre total d'écoles pour le même niveau d'enseignement. </w:t>
        <w:br/>
        <w:t xml:space="preserve">éducation et multipliez le résultat par 100. </w:t>
        <w:br/>
        <w:t>L’indicateur, au niveau d’enseignement avec accès aux installations, est défini comme suit : PSn,f n f</w:t>
        <w:br/>
        <w:t xml:space="preserve">ici </w:t>
        <w:br/>
        <w:t>S est le nombre d'écoles au niveau d'enseignement ayant accès aux installations au cours de l'année de référence</w:t>
        <w:br/>
        <w:t>n,f nft</w:t>
        <w:br/>
        <w:t>St.</w:t>
        <w:br/>
        <w:t>ns le nombre total d'écoles au niveau d'enseignement au cours de l'année de référence  n t</w:t>
        <w:br/>
        <w:t>Commentaires et limites :</w:t>
        <w:br/>
        <w:t xml:space="preserve">Les chiffres publiés au niveau national peuvent différer des chiffres internationaux en raison des différences entre les systèmes éducatifs nationaux et les </w:t>
        <w:br/>
        <w:t xml:space="preserve">Classification internationale type de l'éducation (CITE), ou différences dans la couverture (c'est-à-dire dans quelle mesure différents types d'éducation – par ex. </w:t>
        <w:br/>
        <w:t xml:space="preserve">enseignement privé ou spécialisé – sont inclus dans l’un plutôt que dans l’autre). </w:t>
        <w:br/>
        <w:t xml:space="preserve">L'indicateur mesure l'existence dans les écoles d'un service ou d'une installation donnée mais pas sa qualité ou son état de fonctionnement. </w:t>
        <w:br/>
        <w:t>Indicateurs proxy, alternatifs et supplémentaires : N/A</w:t>
        <w:br/>
        <w:t>Cet indicateur peut être ventilé par niveau d’éducation et par localisation.</w:t>
        <w:br/>
        <w:t>URL officielle des métadonnées ODD</w:t>
        <w:br/>
        <w:t>https://unstats.un.org/sdgs/metadata/files/Metadata-04-0A-01.pdf</w:t>
        <w:br/>
        <w:t xml:space="preserve">Institut de statistique de l'UNESCO. (2017a). Métadonnées pour les indicateurs globaux et thématiques pour le suivi et l'examen de l'ODD 4 et de l'Éducation </w:t>
        <w:br/>
        <w:t xml:space="preserve">. Accessible à : 2030 http://uis.unesco.org/sites/default/files/documents/metadata-global-thematic-indicators-sdg4-education2030-2017-en_1.pdf </w:t>
        <w:br/>
        <w:t>Méthodologie reconnue au niveau international et URL des lignes directrices</w:t>
        <w:br/>
        <w:t>Institut de statistique de l'UNESCO (ISU) (2009). . Montréal : ISU. Guide pour mesurer les technologies de l’information et de la communication dans l’éducation</w:t>
        <w:br/>
        <w:t>Accessible sur : http://unesdoc.unesco.org/images/0018/001865/186547e.pdf</w:t>
        <w:br/>
        <w:t>Institut de statistique de l'UNESCO (ISU) (2012).  Montréal : ISU. Accessible sur : Classification internationale type de l'éducation (CITE) 2011. http:/</w:t>
        <w:br/>
        <w:t>/uis.unesco.org/sites/default/files/documents/international-standard-classification-of-education-isced-2011-en.pdf</w:t>
        <w:br/>
        <w:t>Institut de statistique de l'UNESCO (ISU) (2016).  Montréal : ISU. Accessible sur : Questionnaire de l'ISU sur les étudiants et les enseignants (CITE 0-4).  http://uis.</w:t>
        <w:br/>
        <w:t xml:space="preserve"> unesco.org/fr/uis-questionnaires  </w:t>
        <w:br/>
        <w:t>Institut de statistique de l'UNESCO (ISU) (2017). Montréal : ISU. Accessible à : Manuel d’instructions : Enquête sur l’éducation formelle. http://uis.unesco.org</w:t>
        <w:br/>
        <w:t>/sites/default/files/documents/instruction-manual-survey-formal-education-2017-en.pdf</w:t>
        <w:br/>
        <w:t>Institut de statistique de l'UNESCO (ISU) (2018). Glossaire. Accessible sur : http://uis.unesco.org/fr/glossaire</w:t>
        <w:br/>
        <w:t>OMS-UNICEF (2015). Disponible sur : Objectifs et indicateurs de lavage post-2015. http://www.unicef.org/wash/files</w:t>
        <w:br/>
        <w:t xml:space="preserve"> /4_WSSCC_JMP_Fact_Sheets_4_UK_LoRes.pdf</w:t>
        <w:br/>
        <w:t>Autres références</w:t>
        <w:br/>
        <w:t>UNESCO (2009). , Document technique de l'ISU n° 2. Objet : Le Guide pour mesurer les technologies de l'information et de la communication (TIC) dans l'éducation</w:t>
        <w:br/>
        <w:t xml:space="preserve">proportion d’écoles ayant accès à l’électricité, à Internet à des fins pédagogiques et à des ordinateurs à des fins pédagogiques. Paris. Disponible </w:t>
        <w:br/>
        <w:t>sur : http://unesdoc.unesco.org/images/0018/001865/186547e.pdf</w:t>
        <w:br/>
        <w:t>Exemples de pays</w:t>
        <w:br/>
        <w:t>Pour consulter les dernières données disponibles : http://data.uis.unesco.org</w:t>
      </w:r>
    </w:p>
    <w:p>
      <w:pPr>
        <w:pStyle w:val="Heading2"/>
      </w:pPr>
      <w:r>
        <w:t>Page 128</w:t>
      </w:r>
    </w:p>
    <w:p>
      <w:r>
        <w:t>Texte d'en-tête</w:t>
        <w:br/>
        <w:t>Texte de pied de page</w:t>
        <w:br/>
        <w:t xml:space="preserve">Ce document a été préparé sur la base des contributions de l'Institut pour l'éducation, la science et la culture de l'Organisation des Nations Unies pour l'éducation, la science et la culture (UNESCO). </w:t>
        <w:br/>
        <w:t>Statistiques (ISU).</w:t>
        <w:br/>
        <w:t>Pour obtenir des informations sur les points focaux pour cet indicateur, veuillez visiter https://unstats.un.org/sdgs/dataContacts/</w:t>
      </w:r>
    </w:p>
    <w:p>
      <w:pPr>
        <w:pStyle w:val="Heading2"/>
      </w:pPr>
      <w:r>
        <w:t>Page 129</w:t>
      </w:r>
    </w:p>
    <w:p>
      <w:r>
        <w:t>Texte d'en-tête</w:t>
        <w:br/>
        <w:t>Texte de pied de page</w:t>
        <w:br/>
        <w:t>Indicateur 4.b.1</w:t>
        <w:br/>
        <w:t>Page d'accueil du manuel électronique</w:t>
        <w:br/>
        <w:t xml:space="preserve"> </w:t>
        <w:br/>
        <w:t>Nom de l’indicateur, cible et objectif</w:t>
        <w:br/>
        <w:t>Définition et justification</w:t>
        <w:br/>
        <w:t>Sources de données et méthode de collecte</w:t>
        <w:br/>
        <w:t>Méthode de calcul et autres considérations méthodologiques</w:t>
        <w:br/>
        <w:t>Contenu</w:t>
        <w:br/>
        <w:t>Nom de l’indicateur, cible et objectif</w:t>
        <w:br/>
        <w:t>Définition et justification</w:t>
        <w:br/>
        <w:t>Sources de données et méthode de collecte</w:t>
        <w:br/>
        <w:t>Méthode de calcul et autres considérations méthodologiques</w:t>
        <w:br/>
        <w:t>Désagrégation des données</w:t>
        <w:br/>
        <w:t>Références</w:t>
        <w:br/>
        <w:t>Organisation(s) internationale(s) de surveillance mondiale</w:t>
        <w:br/>
        <w:t xml:space="preserve"> Indicateur 4.b.1 : Volume des flux d'aide publique au développement pour les bourses par secteur et type d'études</w:t>
        <w:br/>
        <w:t xml:space="preserve">Cible 4.b : D’ici 2020, augmenter considérablement à l’échelle mondiale le nombre de bourses disponibles pour les pays en développement, en particulier les moins avancés. </w:t>
        <w:br/>
        <w:t xml:space="preserve">pays, petits États insulaires en développement et pays africains, pour l’inscription dans l’enseignement supérieur, y compris la formation professionnelle et l’information. </w:t>
        <w:br/>
        <w:t>et technologies des communications, programmes techniques, d'ingénierie et scientifiques, dans les pays développés et autres pays en développement</w:t>
        <w:br/>
        <w:t>Objectif 4 : Garantir une éducation de qualité inclusive et équitable et promouvoir les opportunités d’apprentissage tout au long de la vie pour tous</w:t>
        <w:br/>
        <w:t>Définition :</w:t>
        <w:br/>
        <w:t>L’indicateur est défini comme les décaissements bruts de l’aide publique au développement (APD) totale de tous les donateurs pour les bourses.</w:t>
        <w:br/>
        <w:t>Concepts :</w:t>
        <w:br/>
        <w:t xml:space="preserve">Le Comité d'aide au développement (CAD) définit comme étant les flux vers les pays et territoires figurant sur la liste du CAD des bénéficiaires de l'APD et l'APD. </w:t>
        <w:br/>
        <w:t>les institutions multilatérales qui sont :</w:t>
        <w:br/>
        <w:t>(1)    Fournis par des agences officielles, y compris les gouvernements des États et locaux, ou par leurs agences exécutives ; et</w:t>
        <w:br/>
        <w:t>(2)    Chaque transaction dont :</w:t>
        <w:br/>
        <w:t>une. est administré avec la promotion du développement économique et du bien-être des pays en développement comme objectif principal ; et</w:t>
        <w:br/>
        <w:t xml:space="preserve">b. a un caractère concessionnel et comporte un élément de don d'au moins 25 pour cent (calculé à un taux d'actualisation de 10 pour cent). </w:t>
        <w:br/>
        <w:t xml:space="preserve">Les bourses sont des aides financières accordées à des étudiants individuels et des contributions aux stagiaires. Les étudiants et stagiaires bénéficiaires sont des ressortissants de </w:t>
        <w:br/>
        <w:t xml:space="preserve">pays en développement. Les aides financières comprennent des subventions bilatérales accordées aux étudiants inscrits à un enseignement systématique dans des établissements privés ou publics. </w:t>
        <w:br/>
        <w:t xml:space="preserve">de l'enseignement supérieur pour suivre des études ou des formations à temps plein dans le pays donateur. Estimation des frais de scolarité des étudiants fréquentant les écoles </w:t>
        <w:br/>
        <w:t xml:space="preserve">financés par le bailleur mais ne bénéficiant pas de bourses individuelles ne sont pas inclus ici, mais au poste coûts étudiants imputés (aide de type CRS E01). </w:t>
        <w:br/>
        <w:t xml:space="preserve">Les coûts de formation concernent les contributions des stagiaires des pays en développement recevant principalement une formation non académique, pratique ou professionnelle dans le domaine </w:t>
        <w:br/>
        <w:t xml:space="preserve">pays donateur. </w:t>
        <w:br/>
        <w:t>Justification et interprétation :</w:t>
        <w:br/>
        <w:t>Les flux totaux d’APD vers les pays en développement quantifient l’effort public mondial que les donateurs fournissent aux pays en développement sous forme de bourses d’études.</w:t>
        <w:br/>
        <w:t xml:space="preserve">Le CAD/OCDE a collecté des données sur les flux de ressources publiques et privées depuis 1960 au niveau agrégé et 1973 au niveau des activités. </w:t>
        <w:br/>
        <w:t xml:space="preserve">via le SNPC (les données du SNPC sont considérées comme complètes à partir de 1995 pour les engagements au niveau des activités et de 2002 pour les décaissements). </w:t>
        <w:br/>
        <w:t xml:space="preserve">Un rapporteur statistique est responsable de la collecte des statistiques du CAD dans chaque pays/agence fournisseur. Ce journaliste se trouve généralement dans le </w:t>
        <w:br/>
        <w:t>agence d'aide nationale, ministère des Affaires étrangères ou des Finances, etc.</w:t>
      </w:r>
    </w:p>
    <w:p>
      <w:pPr>
        <w:pStyle w:val="Heading2"/>
      </w:pPr>
      <w:r>
        <w:t>Page 130</w:t>
      </w:r>
    </w:p>
    <w:p>
      <w:r>
        <w:t>Texte d'en-tête</w:t>
        <w:br/>
        <w:t>Texte de pied de page</w:t>
        <w:br/>
        <w:t>Désagrégation des données</w:t>
        <w:br/>
        <w:t>Références</w:t>
        <w:br/>
        <w:t>Organisation(s) internationale(s) de surveillance mondiale</w:t>
        <w:br/>
        <w:t>Méthode de calcul :</w:t>
        <w:br/>
        <w:t xml:space="preserve">Cet indicateur est calculé comme la somme de tous les flux d'APD de tous les donateurs vers les pays en développement sous forme de bourses, tels que rapportés au </w:t>
        <w:br/>
        <w:t xml:space="preserve">Système de déclaration des créanciers (CRS) de l’OCDE par pays donateurs.   </w:t>
        <w:br/>
        <w:t>Commentaires et limites :</w:t>
        <w:br/>
        <w:t xml:space="preserve">Les statistiques du CAD sont standardisées sur une base d’année civile pour tous les donateurs et peuvent différer des données de l’année fiscale disponibles dans les documents budgétaires pour </w:t>
        <w:br/>
        <w:t xml:space="preserve">certains pays. </w:t>
        <w:br/>
        <w:t xml:space="preserve">Les données du Système de notification des créanciers sont disponibles depuis 1973. Toutefois, la couverture des données est considérée comme complète à partir de 1995 pour les engagements. </w:t>
        <w:br/>
        <w:t xml:space="preserve">au niveau des activités et 2002 pour les décaissements. Les données sur les bourses ne sont disponibles que depuis 2010, date à laquelle la nouvelle typologie des aides a été introduite. </w:t>
        <w:br/>
        <w:t xml:space="preserve">dans les statistiques du CAD. </w:t>
        <w:br/>
        <w:t>Indicateurs proxy, alternatifs et supplémentaires : N/A</w:t>
        <w:br/>
        <w:t>Les données sont disponibles au niveau des activités et peuvent donc être ventilées par donateur, bénéficiaire, type de flux, secteur, etc. (voir http://www.oecd.</w:t>
        <w:br/>
        <w:t>).org/dac/financing-sustainable-development/development-finance-standards/dacandcrscodelists.htm</w:t>
        <w:br/>
        <w:t>URL officielle des métadonnées ODD</w:t>
        <w:br/>
        <w:t xml:space="preserve">https://unstats.un.org/sdgs/metadata/files/Metadata-04-0B-01.pdf  </w:t>
        <w:br/>
        <w:t>Méthodologie reconnue au niveau international et URL des lignes directrices</w:t>
        <w:br/>
        <w:t xml:space="preserve">http://www.oecd.org/dac/stats/methodology.htm  </w:t>
        <w:br/>
        <w:t xml:space="preserve">Autres références </w:t>
        <w:br/>
        <w:t xml:space="preserve">N/D </w:t>
        <w:br/>
        <w:t xml:space="preserve">Exemples de pays </w:t>
        <w:br/>
        <w:t>N/D</w:t>
        <w:br/>
        <w:t>Ce document a été préparé sur la base des contributions de l'Organisation de coopération et de développement économiques (OCDE)</w:t>
        <w:br/>
        <w:t>Pour obtenir des informations sur les points focaux pour cet indicateur, veuillez visiter https://unstats.un.org/sdgs/dataContacts/</w:t>
      </w:r>
    </w:p>
    <w:p>
      <w:pPr>
        <w:pStyle w:val="Heading2"/>
      </w:pPr>
      <w:r>
        <w:t>Page 131</w:t>
      </w:r>
    </w:p>
    <w:p>
      <w:r>
        <w:t>Texte d'en-tête</w:t>
        <w:br/>
        <w:t>Texte de pied de page</w:t>
        <w:br/>
        <w:t>Indicateur 4.c.1</w:t>
        <w:br/>
        <w:t>Page d'accueil du manuel électronique</w:t>
        <w:br/>
        <w:t xml:space="preserve"> </w:t>
        <w:br/>
        <w:t>Nom de l’indicateur, cible et objectif</w:t>
        <w:br/>
        <w:t>Définition et justification</w:t>
        <w:br/>
        <w:t>Sources de données et méthode de collecte</w:t>
        <w:br/>
        <w:t>Méthode de calcul et autres considérations méthodologiques</w:t>
        <w:br/>
        <w:t>Contenu</w:t>
        <w:br/>
        <w:t>Nom de l’indicateur, cible et objectif</w:t>
        <w:br/>
        <w:t>Définition et justification</w:t>
        <w:br/>
        <w:t>Sources de données et méthode de collecte</w:t>
        <w:br/>
        <w:t>Méthode de calcul et autres considérations méthodologiques</w:t>
        <w:br/>
        <w:t>Désagrégation des données</w:t>
        <w:br/>
        <w:t>Références</w:t>
        <w:br/>
        <w:t>Organisation(s) internationale(s) de surveillance mondiale</w:t>
        <w:br/>
        <w:t xml:space="preserve"> Indicateur 4.c.1 : Proportion d'enseignants dans : (a) le préscolaire ; (b) primaire ; (c) premier cycle du secondaire ; et (d) l'enseignement secondaire supérieur qui ont </w:t>
        <w:br/>
        <w:t xml:space="preserve">reçu au moins la formation minimale organisée d'enseignant (par exemple, formation pédagogique) préalable ou continue requise pour enseigner dans l'établissement concerné </w:t>
        <w:br/>
        <w:t>niveau dans un pays donné</w:t>
        <w:br/>
        <w:t xml:space="preserve">Cible 4.c : D’ici 2030, augmenter considérablement l’offre d’enseignants qualifiés, notamment grâce à la coopération internationale pour la formation des enseignants en </w:t>
        <w:br/>
        <w:t>pays en développement, en particulier les pays les moins avancés et les petits États insulaires en développement</w:t>
        <w:br/>
        <w:t xml:space="preserve">Objectif 4 : Garantir une éducation de qualité inclusive et équitable et promouvoir les opportunités d’apprentissage tout au long de la vie pour tous </w:t>
        <w:br/>
        <w:t>Définition :</w:t>
        <w:br/>
        <w:t xml:space="preserve">Cet indicateur est défini comme le pourcentage d'enseignants par niveau d'enseignement enseigné (préprimaire, primaire, secondaire inférieur et secondaire supérieur). </w:t>
        <w:br/>
        <w:t xml:space="preserve">éducation) qui ont reçu au moins la formation pédagogique organisée minimale préalable et continue requise pour enseigner au niveau </w:t>
        <w:br/>
        <w:t xml:space="preserve">niveau pertinent dans un pays donné. </w:t>
        <w:br/>
        <w:t>Concepts :</w:t>
        <w:br/>
        <w:t>Un enseignant est considéré comme s'il a reçu au moins la formation pédagogique organisée minimale avant et en cours d'emploi requise pour les enseignants formés.</w:t>
        <w:br/>
        <w:t xml:space="preserve">l'enseignement au niveau approprié dans chaque pays. </w:t>
        <w:br/>
        <w:t>Justification et interprétation :</w:t>
        <w:br/>
        <w:t xml:space="preserve">Les enseignants jouent un rôle clé en garantissant la qualité de l’éducation dispensée. Idéalement, tous les enseignants devraient recevoir des informations adéquates, appropriées et pertinentes. </w:t>
        <w:br/>
        <w:t xml:space="preserve">formation pédagogique pour enseigner au niveau d'enseignement choisi et être académiquement qualifié dans la ou les matières qu'ils sont censés enseigner. </w:t>
        <w:br/>
        <w:t xml:space="preserve">Cet indicateur mesure la part du personnel enseignant qui est pédagogiquement bien formé. </w:t>
        <w:br/>
        <w:t>Une valeur élevée indique que la plupart des élèves sont enseignés par des enseignants pédagogiquement bien formés pour enseigner.</w:t>
        <w:br/>
        <w:t xml:space="preserve">Les données pour cet indicateur proviennent de données administratives des écoles et autres centres d'apprentissage organisés. </w:t>
        <w:br/>
        <w:t>Les ministères de l’Éducation et les offices nationaux de statistique sont des sources typiques de ces données.</w:t>
      </w:r>
    </w:p>
    <w:p>
      <w:pPr>
        <w:pStyle w:val="Heading2"/>
      </w:pPr>
      <w:r>
        <w:t>Page 132</w:t>
      </w:r>
    </w:p>
    <w:p>
      <w:r>
        <w:t>Texte d'en-tête</w:t>
        <w:br/>
        <w:t>Texte de pied de page</w:t>
        <w:br/>
        <w:t>Désagrégation des données</w:t>
        <w:br/>
        <w:t>Références</w:t>
        <w:br/>
        <w:t>Organisation(s) internationale(s) de surveillance mondiale</w:t>
        <w:br/>
        <w:t>Méthode de calcul :</w:t>
        <w:br/>
        <w:t xml:space="preserve">Cet indicateur est calculé en divisant le nombre d'enseignants formés à chaque niveau d'enseignement par le nombre total d'enseignants au même niveau. </w:t>
        <w:br/>
        <w:t xml:space="preserve">et en multipliant le résultat par 100. </w:t>
        <w:br/>
        <w:t>Le pourcentage d'enseignants formés pour chaque niveau d'enseignement, qui sont formés ou disposent d'un niveau minimum de formation organisée pour les enseignants, est(n) PTTn</w:t>
        <w:br/>
        <w:t xml:space="preserve">calculé comme suit : </w:t>
        <w:br/>
        <w:t xml:space="preserve">où </w:t>
        <w:br/>
        <w:t xml:space="preserve">           TTt</w:t>
        <w:br/>
        <w:t>n est le nombre d’enseignants formés au niveau d’enseignement au cours de l’année de référence n t</w:t>
        <w:br/>
        <w:t xml:space="preserve">          est le nombre total d'enseignants au niveau d'enseignement au cours de l'année de référence Tt</w:t>
        <w:br/>
        <w:t xml:space="preserve">nn t </w:t>
        <w:br/>
        <w:t>Commentaires et limites :</w:t>
        <w:br/>
        <w:t xml:space="preserve">Les exigences nationales minimales en matière de formation peuvent varier considérablement d’un pays à l’autre. Cette variabilité entre les pays diminue l'utilité </w:t>
        <w:br/>
        <w:t xml:space="preserve">de suivi mondial car l'indicateur montrerait uniquement le pourcentage atteignant les normes nationales, et non si les enseignants des différents pays </w:t>
        <w:br/>
        <w:t xml:space="preserve">ont des niveaux de formation similaires. Des travaux supplémentaires seraient nécessaires si l’on voulait appliquer une norme commune pour la formation des enseignants dans tous les pays. </w:t>
        <w:br/>
        <w:t>Indicateurs proxy, alternatifs et supplémentaires : N/A</w:t>
        <w:br/>
        <w:t>Cet indicateur peut être ventilé par sexe, niveau d'éducation, type d'établissement (public/privé) et par localisation (urbain/rural).</w:t>
        <w:br/>
        <w:t>URL officielle des métadonnées ODD</w:t>
        <w:br/>
        <w:t>https://unstats.un.org/sdgs/metadata/files/Metadata-04-0C-01.pdf</w:t>
        <w:br/>
        <w:t xml:space="preserve">Institut de statistique de l'UNESCO. (2017a). Métadonnées pour les indicateurs globaux et thématiques pour le suivi et l'examen de l'ODD 4 et de l'Éducation </w:t>
        <w:br/>
        <w:t xml:space="preserve">. Accessible à : 2030 http://uis.unesco.org/sites/default/files/documents/metadata-global-thematic-indicators-sdg4-education2030-2017-en_1.pdf </w:t>
        <w:br/>
        <w:t>Méthodologie reconnue au niveau international et URL des lignes directrices</w:t>
        <w:br/>
        <w:t>http://uis.unesco.org/sites/default/files/documents/uis_ed_m_2016_0.pdf</w:t>
        <w:br/>
        <w:t>Institut de statistique de l'UNESCO (ISU) (2017). Montréal : ISU. Accessible à : Manuel d’instructions : Enquête sur l’éducation formelle. http://uis.unesco.org</w:t>
        <w:br/>
        <w:t>/sites/default/files/documents/instruction-manual-survey-formal-education-2017-en.pdf</w:t>
        <w:br/>
        <w:t>Institut de statistique de l'UNESCO (ISU) (2016).  Montréal : ISU. Accessible sur : Questionnaire de l'ISU sur les étudiants et les enseignants (CITE 0-4).  http://uis.</w:t>
        <w:br/>
        <w:t xml:space="preserve"> unesco.org/fr/uis-questionnaires  </w:t>
        <w:br/>
        <w:t>Institut de statistique de l'UNESCO (ISU) (2012a).  Montréal : ISU. Accessible à : Classification internationale type de l'éducation (CITE) 2011. http</w:t>
        <w:br/>
        <w:t>http://uis.unesco.org/sites/default/files/documents/international-standard-classification-of-education-isced-2011-en.pdf</w:t>
        <w:br/>
        <w:t>Institut de statistique de l'UNESCO (ISU) (2018). Glossaire. Accessible sur : http://uis.unesco.org/fr/glossaire</w:t>
        <w:br/>
        <w:t>Autres références</w:t>
        <w:br/>
        <w:t>Aucun.</w:t>
        <w:br/>
        <w:t>Exemples de pays</w:t>
        <w:br/>
        <w:t>Pour consulter les dernières données disponibles : http://data.uis.unesco.org</w:t>
        <w:br/>
        <w:t xml:space="preserve">Ce document a été préparé sur la base des contributions de l'Institut pour l'éducation, la science et la culture de l'Organisation des Nations Unies pour l'éducation, la science et la culture (UNESCO). </w:t>
        <w:br/>
        <w:t>Statistiques (ISU).</w:t>
        <w:br/>
        <w:t>Pour obtenir des informations sur les points focaux pour cet indicateur, veuillez visiter https://unstats.un.org/sdgs/dataContacts/</w:t>
      </w:r>
    </w:p>
    <w:p>
      <w:pPr>
        <w:pStyle w:val="Heading2"/>
      </w:pPr>
      <w:r>
        <w:t>Page 133</w:t>
      </w:r>
    </w:p>
    <w:p>
      <w:r>
        <w:t>Texte d'en-tête</w:t>
        <w:br/>
        <w:t>Texte de pied de page</w:t>
        <w:br/>
        <w:t>Objectif 5</w:t>
        <w:br/>
        <w:t>Parvenir à l’égalité des sexes et autonomiser toutes les femmes et les filles</w:t>
        <w:br/>
        <w:t xml:space="preserve"> Page d'accueil du manuel électronique</w:t>
        <w:br/>
        <w:t>Dans cet objectif :</w:t>
        <w:br/>
        <w:t xml:space="preserve">La Division de statistique des Nations Unies (DSNU) a travaillé en consultation avec l'agence(s) dépositaire(s) de chaque indicateur pour préparer ces chapitres. Pour </w:t>
        <w:br/>
        <w:t>les indicateurs qui n’ont pas encore de chapitre ici, sont en cours de préparation et seront téléchargés ici dès qu’ils seront disponibles.</w:t>
        <w:br/>
        <w:t>Si vous avez des questions sur le manuel électronique, n'hésitez pas à contacter M. Yuxi Zhang ( yuxi.zhang@un.org) avec copie à M. Ze Yar Min (min@</w:t>
        <w:br/>
        <w:t>.un.org)</w:t>
      </w:r>
    </w:p>
    <w:p>
      <w:pPr>
        <w:pStyle w:val="Heading2"/>
      </w:pPr>
      <w:r>
        <w:t>Page 134</w:t>
      </w:r>
    </w:p>
    <w:p>
      <w:r>
        <w:t>Texte d'en-tête</w:t>
        <w:br/>
        <w:t>Texte de pied de page</w:t>
        <w:br/>
        <w:t>Indicateur 5.1.1</w:t>
        <w:br/>
        <w:t>Page d'accueil du manuel électronique</w:t>
        <w:br/>
        <w:t xml:space="preserve"> </w:t>
        <w:br/>
        <w:t>Nom de l’indicateur, cible et objectif</w:t>
        <w:br/>
        <w:t>Définition et justification</w:t>
        <w:br/>
        <w:t>Contenu</w:t>
        <w:br/>
        <w:t>Nom de l’indicateur, cible et objectif</w:t>
        <w:br/>
        <w:t>Définition et justification</w:t>
        <w:br/>
        <w:t>Sources de données et méthode de collecte</w:t>
        <w:br/>
        <w:t>Méthode de calcul et autres considérations méthodologiques</w:t>
        <w:br/>
        <w:t>Désagrégation des données</w:t>
        <w:br/>
        <w:t>Références</w:t>
        <w:br/>
        <w:t>Organisation(s) internationale(s) de surveillance mondiale</w:t>
        <w:br/>
        <w:t xml:space="preserve"> Indicateur 5.1.1 : Si des cadres juridiques sont en place ou non pour promouvoir, appliquer et surveiller l'égalité et la non-discrimination fondée sur le sexe</w:t>
        <w:br/>
        <w:t>Cible : 5.1 Mettre fin à toutes les formes de discrimination à l'égard de toutes les femmes et filles partout dans le monde</w:t>
        <w:br/>
        <w:t>Objectif : 5 Atteindre l’égalité des sexes et autonomiser toutes les femmes et les filles</w:t>
        <w:br/>
        <w:t>Définition :</w:t>
        <w:br/>
        <w:t xml:space="preserve">Cet indicateur mesure les efforts du gouvernement pour mettre en place des cadres juridiques qui promeuvent, font respecter et surveillent l'égalité des sexes. Le juridique </w:t>
        <w:br/>
        <w:t xml:space="preserve">les cadres sont évalués à l’aide d’un questionnaire comprenant 44 questions binaires réparties dans quatre domaines : cadres juridiques généraux et vie publique ; </w:t>
        <w:br/>
        <w:t xml:space="preserve">la violence contre les femmes; emplois et avantages économiques; mariage et famille. </w:t>
        <w:br/>
        <w:t>Concepts :</w:t>
        <w:br/>
        <w:t xml:space="preserve">Le terme « cadres juridiques » est défini au sens large pour englober les lois, les mécanismes et les politiques/plans visant à promouvoir, appliquer et surveiller l'égalité des sexes. </w:t>
        <w:br/>
        <w:t xml:space="preserve">égalité. </w:t>
        <w:br/>
        <w:t xml:space="preserve">Questionnaire </w:t>
        <w:br/>
        <w:t>Domaine 1 : Cadres juridiques généraux et vie publique</w:t>
        <w:br/>
        <w:t>Promouvoir</w:t>
        <w:br/>
        <w:t xml:space="preserve">1. Si le droit coutumier est une source de droit valide en vertu de la constitution, est-il invalide s'il viole les dispositions constitutionnelles sur l'égalité ou </w:t>
        <w:br/>
        <w:t>non-discrimination ?</w:t>
        <w:br/>
        <w:t>2. Si le droit personnel est une source de droit valide en vertu de la Constitution, est-il invalide s'il viole les dispositions constitutionnelles sur l'égalité ou la non-discrimination ?</w:t>
        <w:br/>
        <w:t>3. Existe-t-il une loi sur la discrimination qui interdit la discrimination directe et indirecte à l'égard des femmes ?</w:t>
        <w:br/>
        <w:t>4. Les femmes et les hommes jouissent-ils de droits égaux et d'un accès à l'exercice de fonctions publiques et politiques (législatives, exécutives, judiciaires) ?</w:t>
        <w:br/>
        <w:t>5. Existe-t-il des quotas pour les femmes (sièges réservés) au parlement national ?</w:t>
        <w:br/>
        <w:t>6. Existe-t-il des quotas pour les femmes sur les listes de candidats au parlement national ?</w:t>
        <w:br/>
        <w:t>7. Les femmes et les hommes ont-ils les mêmes droits pour conférer la citoyenneté à leurs conjoints et à leurs enfants ?</w:t>
        <w:br/>
        <w:t>Appliquer et surveiller</w:t>
        <w:br/>
        <w:t xml:space="preserve">8. La loi crée-t-elle un organe indépendant spécialisé chargé de recevoir les plaintes pour discrimination fondée sur le sexe (par exemple, </w:t>
        <w:br/>
        <w:t>institution des droits de l’homme, commission des femmes, médiateur) ?</w:t>
        <w:br/>
        <w:t>9. L'aide juridique est-elle obligatoire en matière pénale ?</w:t>
        <w:br/>
        <w:t>10. L'aide juridique est-elle obligatoire en matière civile/familiale ?</w:t>
        <w:br/>
        <w:t>11. Le témoignage d’une femme a-t-il la même force probante devant le tribunal que celui d’un homme ?</w:t>
        <w:br/>
        <w:t>12. Existe-t-il des lois qui exigent explicitement la production et/ou la diffusion de statistiques sexospécifiques ?</w:t>
        <w:br/>
        <w:t xml:space="preserve">13. Existe-t-il des sanctions en cas de non-respect des quotas obligatoires pour les femmes ou des incitations à inclure des femmes sur les listes de candidats aux élections nationales ? </w:t>
        <w:br/>
        <w:t xml:space="preserve">élections parlementaires ? </w:t>
        <w:br/>
        <w:t>Domaine 2 : Violence contre les femmes</w:t>
      </w:r>
    </w:p>
    <w:p>
      <w:pPr>
        <w:pStyle w:val="Heading2"/>
      </w:pPr>
      <w:r>
        <w:t>Page 135</w:t>
      </w:r>
    </w:p>
    <w:p>
      <w:r>
        <w:t>Texte d'en-tête</w:t>
        <w:br/>
        <w:t>Texte de pied de page</w:t>
        <w:br/>
        <w:t>Promouvoir</w:t>
        <w:br/>
        <w:t>14. Existe-t-il une législation sur la violence domestique qui inclut la violence physique ?</w:t>
        <w:br/>
        <w:t>15. Existe-t-il une législation sur la violence domestique qui inclut la violence sexuelle ?</w:t>
        <w:br/>
        <w:t>16. Existe-t-il une législation sur la violence domestique qui inclut la violence psychologique/émotionnelle ?</w:t>
        <w:br/>
        <w:t>17. Existe-t-il une législation sur la violence domestique qui inclut la violence financière/économique ?</w:t>
        <w:br/>
        <w:t xml:space="preserve">18. Avoir des dispositions exemptant les auteurs de faire face à des accusations de viol s'ils épousent la victime après que le crime ait été supprimé, ou </w:t>
        <w:br/>
        <w:t>n'a jamais existé dans la législation ?</w:t>
        <w:br/>
        <w:t>19. Les dispositions réduisant les sanctions dans les cas de crimes d’honneur ont-elles été supprimées ou n’ont-elles jamais existé dans la législation ?</w:t>
        <w:br/>
        <w:t>20. Les lois sur le viol sont-elles fondées sur l'absence de consentement, sans exiger la preuve de la force physique ou de la pénétration ?</w:t>
        <w:br/>
        <w:t>21. La législation criminalise-t-elle explicitement le viol conjugal</w:t>
        <w:br/>
        <w:t>22. Existe-t-il une législation qui traite spécifiquement du harcèlement sexuel ?</w:t>
        <w:br/>
        <w:t>Appliquer et surveiller</w:t>
        <w:br/>
        <w:t xml:space="preserve">23. Existe-t-il des engagements budgétaires prévus par les entités gouvernementales pour la mise en œuvre de la législation relative à la violence contre </w:t>
        <w:br/>
        <w:t xml:space="preserve">femmes en créant une obligation pour le gouvernement de fournir un budget ou une allocation de fonds pour la mise en œuvre de programmes ou de programmes pertinents. </w:t>
        <w:br/>
        <w:t>des activités ?</w:t>
        <w:br/>
        <w:t xml:space="preserve">24. Existe-t-il des engagements budgétaires prévus par les entités gouvernementales pour la mise en œuvre de la législation relative à la violence contre </w:t>
        <w:br/>
        <w:t xml:space="preserve">femmes en allouant un budget, un financement et/ou des incitations spécifiques pour soutenir les organisations non gouvernementales dans leurs activités visant à lutter contre la violence. </w:t>
        <w:br/>
        <w:t>contre les femmes ?</w:t>
        <w:br/>
        <w:t xml:space="preserve">25. Existe-t-il un plan d'action ou une politique nationale pour lutter contre la violence à l'égard des femmes, supervisé par un mécanisme national ayant pour mandat de </w:t>
        <w:br/>
        <w:t xml:space="preserve">surveiller et examiner la mise en œuvre ? </w:t>
        <w:br/>
        <w:t>Domaine 3 : Emploi et avantages économiques</w:t>
        <w:br/>
        <w:t>Promouvoir</w:t>
        <w:br/>
        <w:t>26. La loi impose-t-elle la non-discrimination fondée sur le sexe dans l'emploi ?</w:t>
        <w:br/>
        <w:t>27. La loi impose-t-elle une rémunération égale pour un travail de valeur égale ?</w:t>
        <w:br/>
        <w:t>28. La loi autorise-t-elle les femmes à faire les mêmes travaux que les hommes ?</w:t>
        <w:br/>
        <w:t>29. La loi autorise-t-elle les femmes à travailler les mêmes heures de nuit que les hommes ?</w:t>
        <w:br/>
        <w:t>30. La loi prévoit-elle un congé de maternité ou parental accessible aux mères conformément aux normes de l'OIT ?</w:t>
        <w:br/>
        <w:t>31. La loi prévoit-elle un congé de paternité ou un congé parental payé pour les pères ou les partenaires ?</w:t>
        <w:br/>
        <w:t>Appliquer et surveiller</w:t>
        <w:br/>
        <w:t>32. Existe-t-il une entité publique qui peut recevoir des plaintes pour discrimination fondée sur le sexe dans l'emploi ?</w:t>
        <w:br/>
        <w:t xml:space="preserve">33. Les services de garde d'enfants sont-ils fournis ou subventionnés par l'État ? </w:t>
        <w:br/>
        <w:t>Domaine 4 : Mariage et famille</w:t>
        <w:br/>
        <w:t>Promouvoir</w:t>
        <w:br/>
        <w:t>34. L'âge minimum du mariage est-il d'au moins 18 ans, sans exception légale, pour les femmes et les hommes ?</w:t>
        <w:br/>
        <w:t>35. Les femmes et les hommes ont-ils les mêmes droits pour contracter mariage (c'est-à-dire consentir) et initier le divorce ?</w:t>
        <w:br/>
        <w:t>36. Les femmes et les hommes ont-ils les mêmes droits pour être les tuteurs légaux de leurs enfants pendant et après le mariage ?</w:t>
        <w:br/>
        <w:t>37. Les femmes et les hommes ont-ils les mêmes droits  pour être reconnus comme chef de famille ou chef de famille ?</w:t>
        <w:br/>
        <w:t>38. Les femmes et les hommes ont-ils les mêmes droits pour choisir où vivre ?</w:t>
        <w:br/>
        <w:t>39. Les femmes et les hommes ont-ils les mêmes droits pour choisir une profession ?</w:t>
        <w:br/>
        <w:t>40. Les femmes et les hommes ont-ils les mêmes droits pour obtenir une carte d'identité ?</w:t>
        <w:br/>
        <w:t>41. Les femmes et les hommes ont-ils les mêmes droits pour demander un passeport ?</w:t>
        <w:br/>
        <w:t>42. Les femmes et les hommes ont-ils des droits égaux pour posséder, accéder et contrôler les biens matrimoniaux, y compris en cas de divorce ?</w:t>
        <w:br/>
        <w:t>Appliquer et surveiller</w:t>
      </w:r>
    </w:p>
    <w:p>
      <w:pPr>
        <w:pStyle w:val="Heading2"/>
      </w:pPr>
      <w:r>
        <w:t>Page 136</w:t>
      </w:r>
    </w:p>
    <w:p>
      <w:r>
        <w:t>Texte d'en-tête</w:t>
        <w:br/>
        <w:t>Texte de pied de page</w:t>
        <w:br/>
        <w:t>Sources de données et méthode de collecte</w:t>
        <w:br/>
        <w:t>Méthode de calcul et autres considérations méthodologiques</w:t>
        <w:br/>
        <w:t>Désagrégation des données</w:t>
        <w:br/>
        <w:t>43. Le mariage avant l’âge légal est-il nul ou annulable ?</w:t>
        <w:br/>
        <w:t xml:space="preserve">44. Existe-t-il des tribunaux de la famille dédiés et spécialisés ? </w:t>
        <w:br/>
        <w:t>Justification et interprétation :</w:t>
        <w:br/>
        <w:t xml:space="preserve">L'égalité et la non-discrimination fondée sur le sexe sont des principes fondamentaux du cadre juridique et politique international, notamment le </w:t>
        <w:br/>
        <w:t xml:space="preserve">Convention sur l'élimination de toutes les formes de discrimination à l'égard des femmes (CEDAW), qui compte 189 États parties, et la Plateforme de Pékin </w:t>
        <w:br/>
        <w:t xml:space="preserve">pour agir. Ce cadre énonce les engagements des États à éliminer la discrimination à l'égard des femmes et à promouvoir l'égalité des sexes, notamment </w:t>
        <w:br/>
        <w:t xml:space="preserve">dans le domaine des cadres juridiques. </w:t>
        <w:br/>
        <w:t xml:space="preserve">Dans le Programme d’action de Pékin, les États se sont engagés à abroger toutes les lois discriminatoires fondées sur le sexe. L'examen quinquennal et </w:t>
        <w:br/>
        <w:t xml:space="preserve">évaluation du Programme d'action de Pékin (Beijing + 5) fixant 2005 comme date butoir pour l'abrogation des lois discriminatoires à l'égard des </w:t>
        <w:br/>
        <w:t xml:space="preserve">les femmes. Cette date limite est passée. Bien que des progrès aient été réalisés dans la réforme des lois visant à promouvoir l'égalité des sexes, la discrimination à l'égard des femmes </w:t>
        <w:br/>
        <w:t xml:space="preserve">la présence des femmes dans la loi se poursuit dans de nombreux pays. Même là où des réformes juridiques ont eu lieu, des lacunes dans leur mise en œuvre persistent. </w:t>
        <w:br/>
        <w:t xml:space="preserve">La suppression des lois discriminatoires et la mise en place de cadres juridiques favorisant l’égalité des sexes sont des conditions préalables pour mettre fin à la discrimination. </w:t>
        <w:br/>
        <w:t xml:space="preserve">à l’égard des femmes et parvenir à l’égalité des sexes (objectif 5, cible 5.1). L’indicateur 5.1.1 sera crucial pour accélérer les progrès dans la mise en œuvre </w:t>
        <w:br/>
        <w:t>de l’ODD 5 et de tous les autres engagements liés au genre dans le Programme de développement durable à l’horizon 2030.</w:t>
        <w:br/>
        <w:t xml:space="preserve">Les données de l'indicateur sont issues d'une évaluation des cadres juridiques utilisant des sources primaires/des documents officiels du gouvernement, en particulier </w:t>
        <w:br/>
        <w:t xml:space="preserve">lois, politiques/plans d’action. L'évaluation est réalisée par des homologues nationaux, notamment des offices nationaux de statistique (ONS) et/ou des organismes nationaux. </w:t>
        <w:br/>
        <w:t xml:space="preserve">Women’s Machinery (NWM) et des praticiens/chercheurs du droit sur l’égalité des sexes, en utilisant le questionnaire. </w:t>
        <w:br/>
        <w:t xml:space="preserve">Les pays sont invités à désigner un point focal pour entreprendre la coordination au niveau national nécessaire à la collecte et à la validation des données. </w:t>
        <w:br/>
        <w:t xml:space="preserve">données. La plupart des points focaux désignés se trouvent au sein des NWM, un certain nombre se trouvent au sein des NSO et certains à la fois au sein des NWM et des NSO. Après </w:t>
        <w:br/>
        <w:t xml:space="preserve">vérification, les données avec les lois, politiques et autres sources pertinentes incluses, sont envoyées aux points focaux désignés/homologues nationaux pour </w:t>
        <w:br/>
        <w:t>examiner et valider. Les réponses finales sont obtenues après le processus de validation avec les homologues nationaux.</w:t>
        <w:br/>
        <w:t>Méthode de calcul :</w:t>
        <w:br/>
        <w:t xml:space="preserve">Les réponses aux questions sont codées avec des réponses simples « Oui/Non » avec « 1 » pour « Oui » et « 0 » pour « Non ». Pour les questions 1 et 2 seulement, ils peuvent </w:t>
        <w:br/>
        <w:t xml:space="preserve">être noté « N/A » ainsi que « 1 » ou « 0 ». Dans les pays où le droit coutumier ou personnel ne s'applique pas, ces questions sont notées « N/A » et sont </w:t>
        <w:br/>
        <w:t xml:space="preserve">n’est pas inclus dans le calcul de la note globale pour le domaine « cadres juridiques généraux et vie publique ». </w:t>
        <w:br/>
        <w:t>La méthodologie de notation est la moyenne non pondérée des questions relevant des cadres juridiques calculée par : chaque domaine</w:t>
        <w:br/>
        <w:t>où  fait référence au domaine des cadres juridiques ; fait référence au nombre total de questions dans le domaine des cadres juridiques ; et = 1 si le Ai i m i i q i</w:t>
        <w:br/>
        <w:t>la réponse est "Oui" et = 0 si la réponse est "Non". qi</w:t>
        <w:br/>
        <w:t>Les résultats des quatre domaines sont présentés sous forme de pourcentages sous forme de tableau de bord : ?  ? . Le choix de présenter les quatre scores de domaine sans A , , , 1 A2 A3 A4</w:t>
        <w:br/>
        <w:t xml:space="preserve">une agrégation plus poussée est le résultat de l'adoption d'une position selon laquelle les valeurs élevées dans un domaine dans un pays donné ne doivent en aucun cas compenser les </w:t>
        <w:br/>
        <w:t xml:space="preserve">pays ayant de faibles valeurs dans un autre domaine, et qu'un examen complet de la valeur de ces quatre chiffres pour chaque pays est </w:t>
        <w:br/>
        <w:t xml:space="preserve">potentiellement plus informatif que d'essayer de résumer les quatre nombres dans un seul index. </w:t>
        <w:br/>
        <w:t xml:space="preserve">Le score pour chaque domaine (un nombre compris entre 0 et 100) représente le pourcentage de réussite dans ce domaine. pays dans cette région, dont 100 étant </w:t>
        <w:br/>
        <w:t>meilleures pratiques rencontrées sur toutes les questions dans le domaine.</w:t>
        <w:br/>
        <w:t>Commentaires et limites :</w:t>
        <w:br/>
        <w:t xml:space="preserve">Pour éviter les doubles emplois, l’indicateur ne couvre pas les domaines des cadres juridiques abordés dans l’indicateur 5.a.2, « Proportion de pays </w:t>
        <w:br/>
        <w:t xml:space="preserve">où le cadre juridique (y compris le droit coutumier) garantit l’égalité des droits des femmes à la propriété et/ou au contrôle foncier », et l’indicateur 5.6.2, </w:t>
        <w:br/>
        <w:t xml:space="preserve">« Nombre de pays dotés de lois et de réglementations garantissant un accès plein et égal aux femmes et aux hommes âgés de 15 ans et plus aux relations sexuelles et sexuelles. </w:t>
        <w:br/>
        <w:t xml:space="preserve">soins de santé reproductive, information et éducation ». L’indicateur 5.1.1 complète ces autres indicateurs. </w:t>
        <w:br/>
        <w:t>Indicateurs proxy, alternatifs et supplémentaires : N/A</w:t>
      </w:r>
    </w:p>
    <w:p>
      <w:pPr>
        <w:pStyle w:val="Heading2"/>
      </w:pPr>
      <w:r>
        <w:t>Page 137</w:t>
      </w:r>
    </w:p>
    <w:p>
      <w:r>
        <w:t>Texte d'en-tête</w:t>
        <w:br/>
        <w:t>Texte de pied de page</w:t>
        <w:br/>
        <w:t>Références</w:t>
        <w:br/>
        <w:t>Organisation(s) internationale(s) de surveillance mondiale</w:t>
        <w:br/>
        <w:t>N/D</w:t>
        <w:br/>
        <w:t>URL officielle des métadonnées ODD</w:t>
        <w:br/>
        <w:t xml:space="preserve">https://unstats.un.org/sdgs/metadata/files/Metadata-05-01-01.pdf </w:t>
        <w:br/>
        <w:t>Méthodologie reconnue au niveau international et URL des lignes directrices</w:t>
        <w:br/>
        <w:t>https://unstats.un.org/sdgs/files/meetings/iaeg-sdgs-meeting-07/Tier%20re-classification%20requests_web.zip (voir Demandes de reclassement de niveau</w:t>
        <w:br/>
        <w:t xml:space="preserve">/5.1.1) </w:t>
        <w:br/>
        <w:t>Autres références</w:t>
        <w:br/>
        <w:t>Groupe de la Banque mondiale : http://wbl.worldbank.org/</w:t>
        <w:br/>
        <w:t>Centre de développement de l'OCDE : http://www.genderindex.org/</w:t>
        <w:br/>
        <w:t>ONU-Femmes : http://data.unwomen.org/en</w:t>
        <w:br/>
        <w:t>Ce document a été préparé sur la base des contributions d'ONU-Femmes, de la Banque mondiale et du Centre de développement de l'OCDE.</w:t>
        <w:br/>
        <w:t>Pour obtenir des informations sur les points focaux pour cet indicateur, veuillez visiter  .https://unstats.un.org/sdgs/dataContacts/</w:t>
      </w:r>
    </w:p>
    <w:p>
      <w:pPr>
        <w:pStyle w:val="Heading2"/>
      </w:pPr>
      <w:r>
        <w:t>Page 138</w:t>
      </w:r>
    </w:p>
    <w:p>
      <w:r>
        <w:t>Texte d'en-tête</w:t>
        <w:br/>
        <w:t>Texte de pied de page</w:t>
        <w:br/>
        <w:t>Indicateur 5.2.1</w:t>
        <w:br/>
        <w:t>Page d'accueil du manuel électronique</w:t>
        <w:br/>
        <w:t xml:space="preserve"> </w:t>
        <w:br/>
        <w:t>Nom de l’indicateur, cible et objectif</w:t>
        <w:br/>
        <w:t>Définition et justification</w:t>
        <w:br/>
        <w:t>Sources de données et méthode de collecte</w:t>
        <w:br/>
        <w:t>Méthode de calcul et autres considérations méthodologiques</w:t>
        <w:br/>
        <w:t>Contenu</w:t>
        <w:br/>
        <w:t>Nom de l’indicateur, cible et objectif</w:t>
        <w:br/>
        <w:t>Définition et justification</w:t>
        <w:br/>
        <w:t>Sources de données et méthode de collecte</w:t>
        <w:br/>
        <w:t>Méthode de calcul et autres considérations méthodologiques</w:t>
        <w:br/>
        <w:t>Désagrégation des données</w:t>
        <w:br/>
        <w:t>Références</w:t>
        <w:br/>
        <w:t>Organisation(s) internationale(s) de surveillance mondiale</w:t>
        <w:br/>
        <w:t xml:space="preserve"> Indicateur 5.2.1 : Proportion de femmes et de filles âgées de 15 ans et plus ayant déjà été en couple et soumises à des violences physiques, sexuelles ou psychologiques de la part de </w:t>
        <w:br/>
        <w:t>un partenaire intime actuel ou ancien au cours des 12 mois précédents, par forme de violence et par âge</w:t>
        <w:br/>
        <w:t xml:space="preserve">Cible 5.2 : Éliminer toutes les formes de violence contre toutes les femmes et les filles dans les sphères publiques et privées, y compris la traite et les violences sexuelles et autres. </w:t>
        <w:br/>
        <w:t>types d'exploitation</w:t>
        <w:br/>
        <w:t>Objectif 5 : Parvenir à l’égalité des sexes et autonomiser toutes les femmes et les filles</w:t>
        <w:br/>
        <w:t>Définition :</w:t>
        <w:br/>
        <w:t xml:space="preserve">Cet indicateur est défini comme le pourcentage de femmes et de filles âgées de 15 ans et plus ayant déjà été en couple et ayant vécu des expériences physiques, sexuelles. </w:t>
        <w:br/>
        <w:t xml:space="preserve">ou violence psychologique de la part d'un partenaire intime actuel ou ancien, au cours des 12 derniers mois. </w:t>
        <w:br/>
        <w:t>Concepts :</w:t>
        <w:br/>
        <w:t xml:space="preserve">La violence physique consiste en des actes visant à blesser physiquement la victime. </w:t>
        <w:br/>
        <w:t xml:space="preserve">La violence sexuelle est définie comme toute sorte de comportement sexuel nuisible ou non désiré imposé à quelqu'un. </w:t>
        <w:br/>
        <w:t xml:space="preserve">La violence psychologique comprend une gamme de comportements qui englobent des actes de violence psychologique et. </w:t>
        <w:br/>
        <w:t xml:space="preserve">Par partenaire intime, on entend un partenaire actuel ou ancien dans le cadre d'un mariage, d'une cohabitation ou de toute autre union formelle ou informelle. </w:t>
        <w:br/>
        <w:t xml:space="preserve">Des définitions et des comportements plus détaillés pouvant être attribués à chacune des trois formes de violence susmentionnées peuvent être trouvés dans le </w:t>
        <w:br/>
        <w:t xml:space="preserve">Lignes directrices pour la production de statistiques sur la violence à l'égard des femmes – Enquêtes statistiques (ONU, 2014). </w:t>
        <w:br/>
        <w:t>Justification et interprétation :</w:t>
        <w:br/>
        <w:t xml:space="preserve">La violence contre les femmes et les filles est la forme la plus courante de violence sexiste. Cet indicateur fournit des données de prévalence nécessaires pour </w:t>
        <w:br/>
        <w:t xml:space="preserve">mesurer l'ampleur de ce problème, comprendre les différentes formes de violence et leurs conséquences, identifier les groupes à haut risque, explorer les </w:t>
        <w:br/>
        <w:t xml:space="preserve">les obstacles à la recherche d’aide et veiller à ce que des réponses appropriées soient fournies. Le suivi de cet indicateur dans le temps permet de surveiller </w:t>
        <w:br/>
        <w:t>changement et évaluer l’efficacité des interventions.</w:t>
        <w:br/>
        <w:t xml:space="preserve">La principale source de données pour cet indicateur sont des enquêtes nationales spécialisées dédiées à mesurer la violence à l'égard des femmes, et des enquêtes internationales. </w:t>
        <w:br/>
        <w:t xml:space="preserve">des enquêtes auprès des ménages qui incluent un module sur l'expérience de la violence par les femmes, comme l'Enquête Démographique et de Santé (EDS). Pour plus loin </w:t>
        <w:br/>
        <w:t xml:space="preserve">Pour plus d’informations sur les sources de données et les méthodes de collecte, voir : Lignes directrices des Nations Unies pour la production de statistiques sur la violence à l’égard des femmes – Statistiques. </w:t>
        <w:br/>
        <w:t xml:space="preserve">Le module doit être administré à toutes les femmes ayant déjà été en couple et pas seulement aux femmes actuellement en couple. Enquêtes (ONU, 2014). </w:t>
        <w:br/>
        <w:t xml:space="preserve">Il convient toutefois de noter que les données administratives de la santé, de la police, des tribunaux, de la justice et des services sociaux, etc. utilisées par les survivants de violences, peuvent </w:t>
        <w:br/>
        <w:t>fournissent des informations précieuses sur l’utilisation des services, ces données d’incidence sont insuffisantes pour produire des données de prévalence.</w:t>
      </w:r>
    </w:p>
    <w:p>
      <w:pPr>
        <w:pStyle w:val="Heading2"/>
      </w:pPr>
      <w:r>
        <w:t>Page 139</w:t>
      </w:r>
    </w:p>
    <w:p>
      <w:r>
        <w:t>Texte d'en-tête</w:t>
        <w:br/>
        <w:t>Texte de pied de page</w:t>
        <w:br/>
        <w:t>Désagrégation des données</w:t>
        <w:br/>
        <w:t>Références</w:t>
        <w:br/>
        <w:t>Méthode de calcul :</w:t>
        <w:br/>
        <w:t>Le pourcentage de femmes et de filles de ce groupe d'âge ayant déjà été en couple et ayant subi un ou plusieurs types de violence au cours des 12 derniers mois a (P )v,a</w:t>
        <w:br/>
        <w:t xml:space="preserve">peut être calculé à l’aide de la formule suivante : </w:t>
        <w:br/>
        <w:t>où,</w:t>
        <w:br/>
        <w:t>W ,v a est le nombre de femmes du même groupe d'âge ayant déjà été en couple et ayant subi un ou plusieurs types de violence au cours des 12 derniers moisa ;</w:t>
        <w:br/>
        <w:t>WTotal est le nombre total de femmes du groupe d'âge a ayant déjà été en couple dans le pays ; et</w:t>
        <w:br/>
        <w:t xml:space="preserve">v désigne la combinaison d’un ou plusieurs types de violence vécue par les femmes. </w:t>
        <w:br/>
        <w:t xml:space="preserve">Cet indicateur doit être calculé séparément pour (violence physique uniquement, violence sexuelle uniquement, violence psychologique uniquement, toute forme de v) </w:t>
        <w:br/>
        <w:t xml:space="preserve">les violences physiques et/ou sexuelles, ainsi que toute forme de violence physique, sexuelle et/ou psychologique. </w:t>
        <w:br/>
        <w:t>Commentaires et limites :</w:t>
        <w:br/>
        <w:t xml:space="preserve">La disponibilité de données comparables reste un défi dans ce domaine en raison des différences dans les méthodologies d'enquête, des différentes définitions du partenaire ou </w:t>
        <w:br/>
        <w:t xml:space="preserve">la violence conjugale et les différentes formes de violence, les différentes formulations des questions d'enquête et les différents groupes d'âge. Volonté de discuter </w:t>
        <w:br/>
        <w:t xml:space="preserve">les expériences de violence et la compréhension des concepts pertinents peuvent également différer selon le contexte culturel et conduire à une sous-déclaration </w:t>
        <w:br/>
        <w:t xml:space="preserve">des niveaux de prévalence. </w:t>
        <w:br/>
        <w:t xml:space="preserve">La collecte de données sur la violence à l'égard des femmes est coûteuse et prend du temps, qu'elles soient collectées au moyen d'enquêtes dédiées ou par le biais d'enquêtes supplémentaires. </w:t>
        <w:br/>
        <w:t xml:space="preserve">modules d’enquêtes ménages existantes. En outre, il est peu probable que la prévalence change à court terme sans des investissements majeurs à tous les niveaux. </w:t>
        <w:br/>
        <w:t xml:space="preserve">dans tous les secteurs. Par conséquent, la périodicité de cet indicateur ne doit pas nécessairement être tous les 5 ans, voire plus, si les ressources financières ne sont pas disponibles. </w:t>
        <w:br/>
        <w:t xml:space="preserve">Les enquêtes sur la violence à l'égard des femmes nécessitent une attention particulière aux dimensions de sécurité et d'éthique, notamment en veillant à ce que tous les entretiens soient menés. </w:t>
        <w:br/>
        <w:t xml:space="preserve">dans la vie privée, les données sont traitées de manière confidentielle et les femmes donnent leur consentement éclairé. Pour des informations plus détaillées, voir Mettre les femmes </w:t>
        <w:br/>
        <w:t xml:space="preserve">(OMS, 2001) d'abord. Recommandations éthiques et de sécurité pour la recherche sur la violence domestique à l'égard des femmes </w:t>
        <w:br/>
        <w:t>Indicateurs proxy, alternatifs et complémentaires :</w:t>
        <w:br/>
        <w:t xml:space="preserve">Le pourcentage de femmes âgées de 15 à 49 ans qui ont subi des violences physiques et/ou sexuelles de la part d'un partenaire intime actuel ou ancien, au cours des 12 dernières années. </w:t>
        <w:br/>
        <w:t xml:space="preserve">les mois peuvent être un indicateur indirect. En effet, des données comparables ne sont actuellement disponibles que pour un sous-ensemble de filles et de femmes âgées de 15 à 49 ans. </w:t>
        <w:br/>
        <w:t xml:space="preserve">années et le fait qu’il n’existe pas d’accord sur une définition opérationnelle standard de la violence psychologique. L'indicateur proxy, pour lequel </w:t>
        <w:br/>
        <w:t xml:space="preserve">des données comparables sont disponibles, est utilisée pendant que la définition de l’indicateur des ODD est en cours d’opérationnalisation. </w:t>
        <w:br/>
        <w:t xml:space="preserve">Cet indicateur doit être ventilé par type de violence et par âge. Il peut également être ventilé par revenu/richesse, éducation, </w:t>
        <w:br/>
        <w:t>l’origine ethnique (y compris le statut d’autochtone), le statut de handicap, la situation géographique et la fréquence de la violence.</w:t>
      </w:r>
    </w:p>
    <w:p>
      <w:pPr>
        <w:pStyle w:val="Heading2"/>
      </w:pPr>
      <w:r>
        <w:t>Page 140</w:t>
      </w:r>
    </w:p>
    <w:p>
      <w:r>
        <w:t>Texte d'en-tête</w:t>
        <w:br/>
        <w:t>Texte de pied de page</w:t>
        <w:br/>
        <w:t>Organisation(s) internationale(s) de surveillance mondiale</w:t>
        <w:br/>
        <w:t>URL officielle des métadonnées ODD</w:t>
        <w:br/>
        <w:t xml:space="preserve">https://unstats.un.org/sdgs/metadata/files/Metadata-05-02-01.pdf  </w:t>
        <w:br/>
        <w:t>Méthodologie reconnue au niveau international et URL des lignes directrices</w:t>
        <w:br/>
        <w:t>Nations Unies (2014). New York. Lignes directrices pour la production de statistiques sur la violence à l'égard des femmes – Enquêtes statistiques. https://unstats.un.org</w:t>
        <w:br/>
        <w:t xml:space="preserve"> /unsd/gender/docs/Guidelines_Statistics_VAW.pdf </w:t>
        <w:br/>
        <w:t>Autres références</w:t>
        <w:br/>
        <w:t>:Notes d'information de l'UNICEF sur les indicateurs des ODD</w:t>
        <w:br/>
        <w:t>UNICEF. Disponible sur Notes d’information sur les indicateurs mondiaux des ODD liés aux enfants. https://data.unicef.org/resources/sdg-global-indicators-rated-</w:t>
        <w:br/>
        <w:t xml:space="preserve">aux-enfants/ </w:t>
        <w:br/>
        <w:t>:Références supplémentaires</w:t>
        <w:br/>
        <w:t>Nations Unies (2015). New York. Site Internet : Les femmes dans le monde 2015 – Tendances et statistiques. https://unstats.un.org/unsd/gender</w:t>
        <w:br/>
        <w:t>/femmesdumonde.html</w:t>
        <w:br/>
        <w:t>OMS (2013). Estimations mondiales et régionales de la violence à l'égard des femmes : prévalence et effets sur la santé de la violence conjugale et des</w:t>
        <w:br/>
        <w:t>Genève Disponible sur : violences sexuelles entre partenaires. . http://www.who.int/reproductivehealth/publications/violence/9789241564625/en/</w:t>
        <w:br/>
        <w:t>ONU Femmes.  Site Internet : Base de données mondiale sur la violence à l'égard des femmes. http://evaw-global-database.unwomen.org/en</w:t>
        <w:br/>
        <w:t>UNICEF. Site Internet : Portail de données – Protection de l'enfance. http://data.unicef.org/child-protection/violence.html</w:t>
        <w:br/>
        <w:t>DSNU. Site Internet : Portail sur l'ensemble minimum d'indicateurs de genre. https://genderstats.un.org/#/home</w:t>
        <w:br/>
        <w:t>DSNU. Site Internet : Portail dédié aux données et métadonnées sur les violences faites aux femmes. http://unstats.un.org/unsd/gender/vaw/</w:t>
        <w:br/>
        <w:t xml:space="preserve">QUI. (OMS, 2001)Donner la priorité aux femmes. Recommandations éthiques et de sécurité pour la recherche sur la violence domestique à l'égard des femmes  </w:t>
        <w:br/>
        <w:t>Exemples de pays</w:t>
        <w:br/>
        <w:t>N/D</w:t>
        <w:br/>
        <w:t xml:space="preserve">Ce document a été préparé sur la base des contributions du Fonds des Nations Unies pour l'enfance (UNICEF), de l'Entité des Nations Unies pour l'égalité des sexes et du </w:t>
        <w:br/>
        <w:t xml:space="preserve">Autonomisation des femmes (ONU Femmes), Fonds des Nations Unies pour la population (FNUAP), Organisation mondiale de la santé (OMS) et Office des Nations Unies </w:t>
        <w:br/>
        <w:t>(ONUDC), Programme des Nations Unies pour le développement (PNUD) et Division de statistique des Nations Unies (UNSD).sur la drogue et le crime</w:t>
        <w:br/>
        <w:t>Pour obtenir des informations sur les points focaux pour cet indicateur, veuillez visiter https://unstats.un.org/sdgs/dataContacts/</w:t>
      </w:r>
    </w:p>
    <w:p>
      <w:pPr>
        <w:pStyle w:val="Heading2"/>
      </w:pPr>
      <w:r>
        <w:t>Page 141</w:t>
      </w:r>
    </w:p>
    <w:p>
      <w:r>
        <w:t>Texte d'en-tête</w:t>
        <w:br/>
        <w:t>Texte de pied de page</w:t>
        <w:br/>
        <w:t>Indicateur 5.2.2</w:t>
        <w:br/>
        <w:t>Page d'accueil du manuel électronique</w:t>
        <w:br/>
        <w:t xml:space="preserve"> </w:t>
        <w:br/>
        <w:t>Nom de l’indicateur, cible et objectif</w:t>
        <w:br/>
        <w:t>Définition et justification</w:t>
        <w:br/>
        <w:t>Sources de données et méthode de collecte</w:t>
        <w:br/>
        <w:t>Méthode de calcul et autres considérations méthodologiques</w:t>
        <w:br/>
        <w:t>Contenu</w:t>
        <w:br/>
        <w:t>Nom de l’indicateur, cible et objectif</w:t>
        <w:br/>
        <w:t>Définition et justification</w:t>
        <w:br/>
        <w:t>Sources de données et méthode de collecte</w:t>
        <w:br/>
        <w:t>Méthode de calcul et autres considérations méthodologiques</w:t>
        <w:br/>
        <w:t>Désagrégation des données</w:t>
        <w:br/>
        <w:t>Références</w:t>
        <w:br/>
        <w:t>Organisation(s) internationale(s) de surveillance mondiale</w:t>
        <w:br/>
        <w:t xml:space="preserve"> Indicateur 5.2.2 : Proportion de femmes et de filles âgées de 15 ans et plus soumises à des violences sexuelles de la part de personnes autres qu'un partenaire intime dans </w:t>
        <w:br/>
        <w:t>les 12 mois précédents, par âge et lieu de survenance</w:t>
        <w:br/>
        <w:t xml:space="preserve">Cible 5.2 : Éliminer toutes les formes de violence contre toutes les femmes et les filles dans les sphères publiques et privées, y compris la traite et les violences sexuelles et autres. </w:t>
        <w:br/>
        <w:t>types d'exploitation</w:t>
        <w:br/>
        <w:t>Objectif 5 : Parvenir à l’égalité des sexes et autonomiser toutes les femmes et les filles</w:t>
        <w:br/>
        <w:t>Définition :</w:t>
        <w:br/>
        <w:t xml:space="preserve">Cet indicateur est défini comme le pourcentage de femmes et de filles âgées de 15 ans et plus ayant déjà été en couple et ayant subi des violences sexuelles. </w:t>
        <w:br/>
        <w:t xml:space="preserve">par des personnes autres qu'un partenaire intime, au cours des 12 derniers mois </w:t>
        <w:br/>
        <w:t>Concepts :</w:t>
        <w:br/>
        <w:t xml:space="preserve">Par partenaire intime, on entend un partenaire actuel ou ancien dans le cadre d'un mariage, d'une cohabitation ou de toute autre union formelle ou informelle. </w:t>
        <w:br/>
        <w:t xml:space="preserve">La violence sexuelle est définie comme toute sorte de comportement sexuel nuisible ou non désiré imposé à quelqu'un. </w:t>
        <w:br/>
        <w:t xml:space="preserve">Une définition plus détaillée de la violence sexuelle peut être trouvée dans les Lignes directrices pour la production de statistiques sur la violence à l'égard des femmes – Statistiques. </w:t>
        <w:br/>
        <w:t xml:space="preserve">Enquêtes (ONU, 2014). </w:t>
        <w:br/>
        <w:t>Justification et interprétation :</w:t>
        <w:br/>
        <w:t xml:space="preserve">La violence contre les femmes et les filles est l’une des formes de violations des droits humains les plus répandues dans le monde. Les faits ont montré qu'à l'échelle mondiale, </w:t>
        <w:br/>
        <w:t xml:space="preserve">on estime que 7 % des femmes ont été agressées sexuellement par une personne autre que leur partenaire à un moment donné de leur vie (OMS et al., 2013). </w:t>
        <w:br/>
        <w:t xml:space="preserve">Disposer de données sur cet indicateur aidera à comprendre l'étendue et la nature de cette forme de violence et à élaborer des politiques et des politiques appropriées. </w:t>
        <w:br/>
        <w:t>programmes. Le suivi de cet indicateur au fil du temps permet de suivre les changements et d’évaluer l’efficacité des interventions.</w:t>
        <w:br/>
        <w:t xml:space="preserve">La principale source de données pour cet indicateur sont des enquêtes nationales spécialisées dédiées à mesurer la violence à l'égard des femmes, et des enquêtes internationales. </w:t>
        <w:br/>
        <w:t xml:space="preserve">des enquêtes auprès des ménages qui incluent un module sur l'expérience de la violence par les femmes, comme l'Enquête Démographique et de Santé (EDS). Pour plus loin </w:t>
        <w:br/>
        <w:t xml:space="preserve">Pour plus d’informations sur les sources de données et les méthodes de collecte, voir : Lignes directrices des Nations Unies pour la production de statistiques sur la violence à l’égard des femmes – Statistiques. </w:t>
        <w:br/>
        <w:t xml:space="preserve">Le module doit être administré à toutes les femmes ayant déjà été en couple et pas seulement aux femmes actuellement en couple. Enquêtes (ONU, 2014). </w:t>
        <w:br/>
        <w:t xml:space="preserve">Il convient toutefois de noter que les données administratives de la santé, de la police, des tribunaux, de la justice et des services sociaux, etc. utilisées par les survivants de violences, peuvent </w:t>
        <w:br/>
        <w:t>fournissent des informations précieuses sur l’utilisation des services, ces données d’incidence sont insuffisantes pour produire des données de prévalence.</w:t>
      </w:r>
    </w:p>
    <w:p>
      <w:pPr>
        <w:pStyle w:val="Heading2"/>
      </w:pPr>
      <w:r>
        <w:t>Page 142</w:t>
      </w:r>
    </w:p>
    <w:p>
      <w:r>
        <w:t>Texte d'en-tête</w:t>
        <w:br/>
        <w:t>Texte de pied de page</w:t>
        <w:br/>
        <w:t>Désagrégation des données</w:t>
        <w:br/>
        <w:t>Références</w:t>
        <w:br/>
        <w:t>Méthode de calcul :</w:t>
        <w:br/>
        <w:t>Le pourcentage de femmes et de filles âgées de 15 ans et plus soumises à des violences sexuelles de la part de personnes autres qu'un partenaire intime en (P )sv</w:t>
        <w:br/>
        <w:t xml:space="preserve">les 12 derniers mois peuvent être calculés à l’aide de la formule suivante : </w:t>
        <w:br/>
        <w:t>où,</w:t>
        <w:br/>
        <w:t xml:space="preserve">Wsv est le nombre de femmes et de filles âgées de 15 ans et plus qui ont été victimes de violences sexuelles de la part de personnes autres que leur partenaire intime dans </w:t>
        <w:br/>
        <w:t>les 12 mois précédents ; et</w:t>
        <w:br/>
        <w:t xml:space="preserve">WT est le nombre total de femmes et de filles âgées de 15 ans et plus dans le pays. </w:t>
        <w:br/>
        <w:t>Commentaires et limites :</w:t>
        <w:br/>
        <w:t xml:space="preserve">La disponibilité de données comparables reste un défi dans ce domaine en raison des différences dans les méthodologies d'enquête, des différentes définitions du partenaire ou </w:t>
        <w:br/>
        <w:t xml:space="preserve">la violence conjugale et les différentes formes de violence, les différentes formulations des questions d'enquête et les différents groupes d'âge. Volonté de discuter </w:t>
        <w:br/>
        <w:t xml:space="preserve">les expériences de violence et la compréhension des concepts pertinents peuvent également différer selon le contexte culturel et conduire à une sous-déclaration </w:t>
        <w:br/>
        <w:t xml:space="preserve">des niveaux de prévalence. </w:t>
        <w:br/>
        <w:t xml:space="preserve">La collecte de données sur la violence à l'égard des femmes est coûteuse et prend du temps, qu'elles soient collectées au moyen d'enquêtes dédiées ou par le biais d'enquêtes supplémentaires. </w:t>
        <w:br/>
        <w:t xml:space="preserve">modules d’enquêtes ménages existantes. En outre, il est peu probable que la prévalence change à court terme sans des investissements majeurs à tous les niveaux. </w:t>
        <w:br/>
        <w:t xml:space="preserve">et dans tous les secteurs. Par conséquent, la périodicité de cet indicateur ne doit pas nécessairement être supérieure à tous les 5 ans, voire plus si les ressources financières sont suffisantes. </w:t>
        <w:br/>
        <w:t xml:space="preserve">indisponible. </w:t>
        <w:br/>
        <w:t xml:space="preserve">Les enquêtes sur la violence à l'égard des femmes nécessitent une attention particulière aux dimensions de sécurité et d'éthique, notamment en veillant à ce que tous les entretiens soient menés. </w:t>
        <w:br/>
        <w:t xml:space="preserve">dans la vie privée, les données sont traitées de manière confidentielle et les femmes donnent leur consentement éclairé. Pour des informations plus détaillées, voir Mettre les femmes </w:t>
        <w:br/>
        <w:t xml:space="preserve">(OMS, 2001)  d'abord. Recommandations éthiques et de sécurité pour la recherche sur la violence domestique à l'égard des femmes </w:t>
        <w:br/>
        <w:t>Indicateurs proxy, alternatifs et supplémentaires : N/A</w:t>
        <w:br/>
        <w:t xml:space="preserve">Cet indicateur nécessite une ventilation par tranche d’âge et lieu d’occurrence. Aucune définition ni méthode standard n’a été acceptée à l’échelle mondiale. </w:t>
        <w:br/>
        <w:t xml:space="preserve">mais pour la collecte de données sur le lieu où se produisent la violence. Ce n’est donc pas encore obligatoire. </w:t>
        <w:br/>
        <w:t xml:space="preserve">Outre l'âge, la ventilation par revenu/richesse, éducation, origine ethnique (y compris le statut d'autochtone), statut de handicap, situation géographique, </w:t>
        <w:br/>
        <w:t>la relation avec l’agresseur (y compris le sexe de l’agresseur) ainsi que la fréquence et le type de violence (comme indicateur de la gravité) peuvent être bénéfiques.</w:t>
      </w:r>
    </w:p>
    <w:p>
      <w:pPr>
        <w:pStyle w:val="Heading2"/>
      </w:pPr>
      <w:r>
        <w:t>Page 143</w:t>
      </w:r>
    </w:p>
    <w:p>
      <w:r>
        <w:t>Texte d'en-tête</w:t>
        <w:br/>
        <w:t>Texte de pied de page</w:t>
        <w:br/>
        <w:t>Organisation(s) internationale(s) de surveillance mondiale</w:t>
        <w:br/>
        <w:t>URL officielle des métadonnées ODD</w:t>
        <w:br/>
        <w:t>https://unstats.un.org/sdgs/metadata/files/Additional-SDG-indicator-metadata-JUL2017.zip</w:t>
        <w:br/>
        <w:t>Méthodologie reconnue au niveau international et URL des lignes directrices</w:t>
        <w:br/>
        <w:t>Nations Unies (2014). New York. Lignes directrices pour la production de statistiques sur la violence à l'égard des femmes – Enquêtes statistiques. https://unstats.un.org</w:t>
        <w:br/>
        <w:t xml:space="preserve"> /unsd/gender/docs/Guidelines_Statistics_VAW.pdf</w:t>
        <w:br/>
        <w:t>Autres références</w:t>
        <w:br/>
        <w:t>Nations Unies (2015). New York. Site Internet : Les femmes dans le monde 2015 – Tendances et statistiques. https://unstats.un.org/unsd/gender</w:t>
        <w:br/>
        <w:t>/femmesdumonde.html</w:t>
        <w:br/>
        <w:t>OMS (2013). Estimations mondiales et régionales de la violence à l'égard des femmes : prévalence et effets sur la santé de la violence conjugale et des</w:t>
        <w:br/>
        <w:t>Genève Disponible sur : violences sexuelles entre partenaires. . http://www.who.int/reproductivehealth/publications/violence/9789241564625/en/</w:t>
        <w:br/>
        <w:t>ONU Femmes.  Site Internet : Base de données mondiale sur la violence à l'égard des femmes. http://evaw-global-database.unwomen.org/en</w:t>
        <w:br/>
        <w:t>UNICEF. Site Internet : Portail de données – Protection de l'enfance. http://data.unicef.org/child-protection/violence.html</w:t>
        <w:br/>
        <w:t>DSNU. Site Internet : Portail sur l'ensemble minimum d'indicateurs de genre. https://genderstats.un.org/#/home</w:t>
        <w:br/>
        <w:t>DSNU. Site Internet : Portail dédié aux données et métadonnées sur les violences faites aux femmes. http://unstats.un.org/unsd/gender/vaw/</w:t>
        <w:br/>
        <w:t xml:space="preserve">QUI. (OMS, 2001)Donner la priorité aux femmes. Recommandations éthiques et de sécurité pour la recherche sur la violence domestique à l'égard des femmes  </w:t>
        <w:br/>
        <w:t xml:space="preserve">Exemples de pays </w:t>
        <w:br/>
        <w:t>N/D</w:t>
        <w:br/>
        <w:t xml:space="preserve">Ce document a été préparé sur la base des contributions du Fonds des Nations Unies pour l'enfance (UNICEF), de l'Entité des Nations Unies pour l'égalité des sexes et du </w:t>
        <w:br/>
        <w:t xml:space="preserve">Autonomisation des femmes (ONU Femmes), Fonds des Nations Unies pour la population (FNUAP), Organisation mondiale de la santé (OMS) et Office des Nations Unies </w:t>
        <w:br/>
        <w:t>(ONUDC), Programme des Nations Unies pour le développement (PNUD) et Division de statistique des Nations Unies (UNSD).sur la drogue et le crime</w:t>
        <w:br/>
        <w:t>Pour obtenir des informations sur les points focaux pour cet indicateur, veuillez visiter https://unstats.un.org/sdgs/dataContacts/</w:t>
      </w:r>
    </w:p>
    <w:p>
      <w:pPr>
        <w:pStyle w:val="Heading2"/>
      </w:pPr>
      <w:r>
        <w:t>Page 144</w:t>
      </w:r>
    </w:p>
    <w:p>
      <w:r>
        <w:t>Texte d'en-tête</w:t>
        <w:br/>
        <w:t>Texte de pied de page</w:t>
        <w:br/>
        <w:t>Indicateur 5.3.1</w:t>
        <w:br/>
        <w:t>Page d'accueil du manuel électronique</w:t>
        <w:br/>
        <w:t xml:space="preserve"> </w:t>
        <w:br/>
        <w:t>Nom de l’indicateur, cible et objectif</w:t>
        <w:br/>
        <w:t>Définition et justification</w:t>
        <w:br/>
        <w:t>Sources de données et méthode de collecte</w:t>
        <w:br/>
        <w:t>Méthode de calcul et autres considérations méthodologiques</w:t>
        <w:br/>
        <w:t>Contenu</w:t>
        <w:br/>
        <w:t>Nom de l’indicateur, cible et objectif</w:t>
        <w:br/>
        <w:t>Définition et justification</w:t>
        <w:br/>
        <w:t>Sources de données et méthode de collecte</w:t>
        <w:br/>
        <w:t>Méthode de calcul et autres considérations méthodologiques</w:t>
        <w:br/>
        <w:t>Désagrégation des données</w:t>
        <w:br/>
        <w:t>Références</w:t>
        <w:br/>
        <w:t>Organisation(s) internationale(s) de surveillance mondiale</w:t>
        <w:br/>
        <w:t xml:space="preserve"> Indicateur 5.3.1 : Proportion de femmes âgées de 20 à 24 ans mariées pour la première fois ou en union avant l'âge de 15 ans et avant 18 ans</w:t>
        <w:br/>
        <w:t>Cible 5.3 : Éliminer toutes les pratiques néfastes, telles que les mariages d'enfants, précoces et forcés et les mutilations génitales féminines</w:t>
        <w:br/>
        <w:t>Objectif 5 : Parvenir à l’égalité des sexes et autonomiser toutes les femmes et les filles</w:t>
        <w:br/>
        <w:t xml:space="preserve">Cet indicateur est défini comme le pourcentage de femmes âgées de 20 à 24 ans qui ont été mariées pour la première fois ou en union avant l'âge de 15 ans et avant 18 ans. </w:t>
        <w:br/>
        <w:t>Concepts :</w:t>
        <w:br/>
        <w:t xml:space="preserve">Les unions font référence à la fois aux unions de cohabitation formelles (c'est-à-dire le mariage) et informelles. </w:t>
        <w:br/>
        <w:t xml:space="preserve">-L'union informelle désigne les couples vivant ensemble comme s'ils étaient mariés, mais pour lesquels il n'y a eu aucune cérémonie civile ou religieuse (cohabitation). </w:t>
        <w:br/>
        <w:t>Justification et interprétation :</w:t>
        <w:br/>
        <w:t xml:space="preserve">Le mariage avant l'âge de 18 ans constitue une violation fondamentale des droits de l'homme. Les mariages d’enfants compromettent souvent le développement des filles en </w:t>
        <w:br/>
        <w:t xml:space="preserve">grossesse précoce et isolement social, interrompant sa scolarité, limitant ses possibilités de carrière et d'avancement professionnel et la plaçant </w:t>
        <w:br/>
        <w:t xml:space="preserve">à un risque accru de violence conjugale. Le mariage des enfants est une manifestation directe de l’inégalité entre les sexes et va à l’encontre de plusieurs normes internationales. </w:t>
        <w:br/>
        <w:t xml:space="preserve">conventions et accords. </w:t>
        <w:br/>
        <w:t xml:space="preserve">Le suivi de cet indicateur au fil du temps permettrait d’observer les changements et d’évaluer l’efficacité des interventions politiques visant à éliminer ce problème. </w:t>
        <w:br/>
        <w:t>pratique néfaste.</w:t>
        <w:br/>
        <w:t xml:space="preserve">Ces données sont collectées à travers des recensements nationaux ou des enquêtes nationales auprès des ménages qui comportent des modules liés à l'état civil et à l'âge à la première union. </w:t>
        <w:br/>
        <w:t xml:space="preserve">des hommes et des femmes en âge de procréer. Ces enquêtes sont généralement menées par les ministères de la santé ou les bureaux nationaux de statistique. Le plus </w:t>
        <w:br/>
        <w:t>Les sources couramment disponibles de données représentatives au niveau national et comparables au niveau international sont le MICS soutenu par l'UNICEF et le USAID-</w:t>
        <w:br/>
        <w:t>DHS pris en charge.</w:t>
      </w:r>
    </w:p>
    <w:p>
      <w:pPr>
        <w:pStyle w:val="Heading2"/>
      </w:pPr>
      <w:r>
        <w:t>Page 145</w:t>
      </w:r>
    </w:p>
    <w:p>
      <w:r>
        <w:t>Texte d'en-tête</w:t>
        <w:br/>
        <w:t>Texte de pied de page</w:t>
        <w:br/>
        <w:t>Désagrégation des données</w:t>
        <w:br/>
        <w:t>Références</w:t>
        <w:br/>
        <w:t>Organisation(s) internationale(s) de surveillance mondiale</w:t>
        <w:br/>
        <w:t>Méthode de calcul :</w:t>
        <w:br/>
        <w:t xml:space="preserve">Le pourcentage de femmes âgées de 20 à 24 ans qui étaient mariées ou en union avant cet âge peut être calculé comme suit :(P )CM a </w:t>
        <w:br/>
        <w:t>où,</w:t>
        <w:br/>
        <w:t>W a est le nombre de femmes âgées de 20 à 24 ans qui se sont mariées ou ont été en union pour la première fois avant l'âge de 15 ans (ou avant 18 ans) ; et</w:t>
        <w:br/>
        <w:t xml:space="preserve">W Total est le nombre total de femmes âgées de 20 à 24 ans. </w:t>
        <w:br/>
        <w:t>Commentaires et limites :</w:t>
        <w:br/>
        <w:t xml:space="preserve">Les modules utilisés pour collecter des informations sur la situation matrimoniale et l'âge à la première union chez les femmes et les hommes en âge de procréer (15-49 ans) ont </w:t>
        <w:br/>
        <w:t>été entièrement harmonisée entre l’Enquête Démographique et de Santé (EDS) et l’Enquête en Grappes à Indicateurs Multiples (MICS).</w:t>
        <w:br/>
        <w:t>Indicateurs proxy, alternatifs et supplémentaires : N/A</w:t>
        <w:br/>
        <w:t>Cet indicateur peut être ventilé par âge, revenu, lieu de résidence, situation géographique, éducation et origine ethnique (pour certains pays).</w:t>
        <w:br/>
        <w:t>URL officielle des métadonnées ODD</w:t>
        <w:br/>
        <w:t xml:space="preserve">https://unstats.un.org/sdgs/metadata/files/Metadata-05-03-01.pdf  </w:t>
        <w:br/>
        <w:t>Méthodologie reconnue au niveau international et URL des lignes directrices</w:t>
        <w:br/>
        <w:t>UNICEF. .  Outils MICS6 http://mics.unicef.org/tools</w:t>
        <w:br/>
        <w:t>Autres références :</w:t>
        <w:br/>
        <w:t>Notes d'information de l'UNICEF sur les indicateurs des ODD :</w:t>
        <w:br/>
        <w:t>UNICEF. Disponible sur Notes d’information sur les indicateurs mondiaux des ODD liés aux enfants. https://data.unicef.org/resources/sdg-global-indicators-rated-</w:t>
        <w:br/>
        <w:t xml:space="preserve">aux-enfants/ </w:t>
        <w:br/>
        <w:t>:Références supplémentaires</w:t>
        <w:br/>
        <w:t xml:space="preserve">UNICEF. New York. Disponible sur : Mariage d'enfants. http://data.unicef.org/topic/child-protection/child-marriage/ </w:t>
        <w:br/>
        <w:t>Exemples de pays</w:t>
        <w:br/>
        <w:t>N/D</w:t>
        <w:br/>
        <w:t>Ce document a été préparé sur la base des contributions du Fonds des Nations Unies pour l’enfance (UNICEF).</w:t>
        <w:br/>
        <w:t>Pour obtenir des informations sur les points focaux pour cet indicateur, veuillez visiter https://unstats.un.org/sdgs/dataContacts/</w:t>
      </w:r>
    </w:p>
    <w:p>
      <w:pPr>
        <w:pStyle w:val="Heading2"/>
      </w:pPr>
      <w:r>
        <w:t>Page 146</w:t>
      </w:r>
    </w:p>
    <w:p>
      <w:r>
        <w:t>Texte d'en-tête</w:t>
        <w:br/>
        <w:t>Texte de pied de page</w:t>
        <w:br/>
        <w:t>Indicateur 5.3.2</w:t>
        <w:br/>
        <w:t>Page d'accueil du manuel électronique</w:t>
        <w:br/>
        <w:t xml:space="preserve"> </w:t>
        <w:br/>
        <w:t>Nom de l’indicateur, cible et objectif</w:t>
        <w:br/>
        <w:t>Définition et justification</w:t>
        <w:br/>
        <w:t>Sources de données et méthode de collecte</w:t>
        <w:br/>
        <w:t>Méthode de calcul et autres considérations méthodologiques</w:t>
        <w:br/>
        <w:t>Contenu</w:t>
        <w:br/>
        <w:t>Nom de l’indicateur, cible et objectif</w:t>
        <w:br/>
        <w:t>Définition et justification</w:t>
        <w:br/>
        <w:t>Sources de données et méthode de collecte</w:t>
        <w:br/>
        <w:t>Méthode de calcul et autres considérations méthodologiques</w:t>
        <w:br/>
        <w:t>Désagrégation des données</w:t>
        <w:br/>
        <w:t>Références</w:t>
        <w:br/>
        <w:t>Organisation(s) internationale(s) de surveillance mondiale</w:t>
        <w:br/>
        <w:t xml:space="preserve"> Indicateur 5.3.2 : Proportion de filles et de femmes âgées de 15 à 49 ans ayant subi une mutilation/excision génitale féminine, par âge</w:t>
        <w:br/>
        <w:t>Cible 5.3 : Éliminer toutes les pratiques néfastes, telles que les mariages d'enfants, précoces et forcés et les mutilations génitales féminines</w:t>
        <w:br/>
        <w:t>Objectif 5 : Parvenir à l’égalité des sexes et autonomiser toutes les femmes et les filles</w:t>
        <w:br/>
        <w:t>Définition :</w:t>
        <w:br/>
        <w:t xml:space="preserve">Cet indicateur est défini comme le pourcentage de filles et de femmes âgées de 15 à 49 ans qui ont subi une mutilation/excision génitale féminine. </w:t>
        <w:br/>
        <w:t>Concepts :</w:t>
        <w:br/>
        <w:t xml:space="preserve">Les mutilations génitales féminines/excisions (E/MGF) font référence à toutes les procédures impliquant l'ablation partielle ou totale des organes génitaux externes féminins ou d'autres blessures. </w:t>
        <w:br/>
        <w:t xml:space="preserve">aux organes génitaux féminins pour des raisons non médicales.  </w:t>
        <w:br/>
        <w:t>Justification et interprétation :</w:t>
        <w:br/>
        <w:t xml:space="preserve">Les MGF/E constituent une violation des droits humains des filles et des femmes. Il existe une abondante littérature documentant les conséquences néfastes sur la santé de </w:t>
        <w:br/>
        <w:t>MGF/E à court et à long terme. La pratique des MGF/E est une manifestation directe de l’inégalité entre les sexes.</w:t>
        <w:br/>
        <w:t xml:space="preserve">Les MGF/E sont condamnées par un certain nombre de traités et conventions internationaux. Puisque l’E/MGF est considérée comme une pratique traditionnelle préjudiciable à la </w:t>
        <w:br/>
        <w:t xml:space="preserve">la santé des enfants et est, dans la plupart des cas, pratiquée sur des mineurs, elle viole la Convention relative aux droits de l'enfant. La législation nationale existante en </w:t>
        <w:br/>
        <w:t>de nombreux pays incluent également des interdictions explicites contre les MGF/E.</w:t>
        <w:br/>
        <w:t xml:space="preserve">Le suivi de cet indicateur au fil du temps devrait permettre d'observer les changements dans les pays touchés et d'évaluer l'efficacité des politiques. </w:t>
        <w:br/>
        <w:t>interventions visant à éliminer cette pratique néfaste.</w:t>
        <w:br/>
        <w:t xml:space="preserve">Ces données sont collectées par le biais d'enquêtes nationales auprès des ménages qui comportent des questions dans lesquelles les femmes âgées de 15 à 49 ans déclarent elles-mêmes leur expérience de </w:t>
        <w:br/>
        <w:t xml:space="preserve">MGF/E et rendre compte de l’expérience de leurs filles en matière de pratique (pour les filles âgées de 0 à 14 ans). Ces enquêtes sont généralement menées par le </w:t>
        <w:br/>
        <w:t xml:space="preserve">ministères de la santé ou bureaux nationaux de statistique. Les sources les plus couramment disponibles de sources représentatives au niveau national et international </w:t>
        <w:br/>
        <w:t>les données comparables sont celles du MICS soutenu par l’UNICEF et de l’EDS soutenu par l’USAID.</w:t>
      </w:r>
    </w:p>
    <w:p>
      <w:pPr>
        <w:pStyle w:val="Heading2"/>
      </w:pPr>
      <w:r>
        <w:t>Page 147</w:t>
      </w:r>
    </w:p>
    <w:p>
      <w:r>
        <w:t>Texte d'en-tête</w:t>
        <w:br/>
        <w:t>Texte de pied de page</w:t>
        <w:br/>
        <w:t>Désagrégation des données</w:t>
        <w:br/>
        <w:t>Références</w:t>
        <w:br/>
        <w:t>Organisation(s) internationale(s) de surveillance mondiale</w:t>
        <w:br/>
        <w:t>Méthode de calcul :</w:t>
        <w:br/>
        <w:t>La proportion de filles et de femmes âgées de 15 à 49 ans ayant subi une MGF/E peut être calculée comme suit :(P )MGF/E</w:t>
        <w:br/>
        <w:t xml:space="preserve"> </w:t>
        <w:br/>
        <w:t>où,</w:t>
        <w:br/>
        <w:t xml:space="preserve"> </w:t>
        <w:br/>
        <w:t xml:space="preserve"> est le nombre de filles et de femmes âgées de 15 à 49 ans qui ont subi une MGF/E et ; </w:t>
        <w:br/>
        <w:t xml:space="preserve"> </w:t>
        <w:br/>
        <w:t xml:space="preserve">est le nombre total de filles et de femmes âgées de 15 à 49 ans. </w:t>
        <w:br/>
        <w:t xml:space="preserve">L'indicateur peut également être calculé pour des cohortes d'âge plus petites, y compris parmi les filles âgées de 15 à 19 ans, ce qui représente l'évolution la plus récente. </w:t>
        <w:br/>
        <w:t xml:space="preserve">estimation de la prévalence puisqu’il s’agit du groupe d’âge qui a récemment terminé son exposition à la période à risque. </w:t>
        <w:br/>
        <w:t>Commentaires et limites :</w:t>
        <w:br/>
        <w:t xml:space="preserve">Les modules utilisés pour collecter des informations sur le statut des MGF/E chez les filles âgées de 0 à 14 ans et les filles et femmes âgées de 15 à 49 ans ont été entièrement </w:t>
        <w:br/>
        <w:t xml:space="preserve">harmonisée entre l’Enquête Démographique et de Santé (EDS) et l’Enquête en Grappes à Indicateurs Multiples (MICS).  Veuillez consulter les statistiques </w:t>
        <w:br/>
        <w:t xml:space="preserve">référence générale ci-dessous pour plus de détails sur les questions méthodologiques. </w:t>
        <w:br/>
        <w:t>Indicateurs proxy, alternatifs et supplémentaires : N/A</w:t>
        <w:br/>
        <w:t xml:space="preserve">Cet indicateur doit être ventilé par âge et est généralement rapporté par tranches d’âge de cinq ans, de 15 à 49 ans. Cependant, cela peut </w:t>
        <w:br/>
        <w:t xml:space="preserve">être également ventilés par revenu, lieu de résidence, situation géographique, éducation et origine ethnique (pour certains pays). </w:t>
        <w:br/>
        <w:t>URL officielle des métadonnées ODD</w:t>
        <w:br/>
        <w:t xml:space="preserve">https://unstats.un.org/sdgs/metadata/files/Metadata-05-03-02.pdf  </w:t>
        <w:br/>
        <w:t>Méthodologie reconnue au niveau international et URL des lignes directrices</w:t>
        <w:br/>
        <w:t xml:space="preserve">https://data.unicef.org/topic/child-protection/female-genital-mutilation/ </w:t>
        <w:br/>
        <w:t>Autres références</w:t>
        <w:br/>
        <w:t>Notes d'information de l'UNICEF sur les indicateurs des ODD :</w:t>
        <w:br/>
        <w:t>UNICEF. Disponible sur Notes d’information sur les indicateurs mondiaux des ODD liés aux enfants. https://data.unicef.org/resources/sdg-global-indicators-rated-</w:t>
        <w:br/>
        <w:t>aux-enfants/</w:t>
        <w:br/>
        <w:t>:Références supplémentaires</w:t>
        <w:br/>
        <w:t>UNICEF. New York. Disponible sur : Mutilation génitale féminine et excision. http://data.unicef.org/topic/child-protection/female-genital-mutilation-and-</w:t>
        <w:br/>
        <w:t>coupe/</w:t>
        <w:br/>
        <w:t>Fonds des Nations Unies pour l'enfance, UNICEF, Mutilation génitale féminine/excision : aperçu statistique et exploration de la dynamique du changement</w:t>
        <w:br/>
        <w:t xml:space="preserve">New York, 2013. Disponible sur : https://data.unicef.org/wp-content/uploads/2015/12/FGMC_Lo_res_Final_26.pdf </w:t>
        <w:br/>
        <w:t>QUI.  Disponible sur : Éliminer les mutilations génitales féminines. Une déclaration intra-agence. http://www.who.int/reproductivehealth/publications/fgm</w:t>
        <w:br/>
        <w:t xml:space="preserve">/9789241596442/fr/ </w:t>
        <w:br/>
        <w:t>Exemples de pays</w:t>
        <w:br/>
        <w:t>N/D</w:t>
        <w:br/>
        <w:t>Ce document a été préparé sur la base des contributions du Fonds des Nations Unies pour l’enfance (UNICEF).</w:t>
        <w:br/>
        <w:t>Pour obtenir des informations sur les points focaux pour cet indicateur, veuillez visiter https://unstats.un.org/sdgs/dataContacts/</w:t>
      </w:r>
    </w:p>
    <w:p>
      <w:pPr>
        <w:pStyle w:val="Heading2"/>
      </w:pPr>
      <w:r>
        <w:t>Page 148</w:t>
      </w:r>
    </w:p>
    <w:p>
      <w:r>
        <w:t>Texte d'en-tête</w:t>
        <w:br/>
        <w:t>Texte de pied de page</w:t>
        <w:br/>
        <w:t>Indicateur 5.4.1</w:t>
        <w:br/>
        <w:t>Page d'accueil du manuel électronique</w:t>
        <w:br/>
        <w:t xml:space="preserve"> </w:t>
        <w:br/>
        <w:t>Nom de l’indicateur, cible et objectif</w:t>
        <w:br/>
        <w:t>Définition et justification</w:t>
        <w:br/>
        <w:t>Sources de données et méthode de collecte</w:t>
        <w:br/>
        <w:t>Méthode de calcul et autres considérations méthodologiques</w:t>
        <w:br/>
        <w:t>Contenu</w:t>
        <w:br/>
        <w:t>Nom de l’indicateur, cible et objectif</w:t>
        <w:br/>
        <w:t>Définition et justification</w:t>
        <w:br/>
        <w:t>Sources de données et méthode de collecte</w:t>
        <w:br/>
        <w:t>Méthode de calcul et autres considérations méthodologiques</w:t>
        <w:br/>
        <w:t>Désagrégation des données</w:t>
        <w:br/>
        <w:t>Références</w:t>
        <w:br/>
        <w:t>Organisation(s) internationale(s) de surveillance mondiale</w:t>
        <w:br/>
        <w:t xml:space="preserve"> Indicateur 5.4.1 : Proportion de temps consacré aux travaux domestiques et de soins non rémunérés, par sexe, âge et lieu</w:t>
        <w:br/>
        <w:t xml:space="preserve">Cible 5.4 : Reconnaître et valoriser les soins et le travail domestique non rémunérés à travers la fourniture de services publics, d'infrastructures et de protection sociale </w:t>
        <w:br/>
        <w:t>politiques et la promotion de la responsabilité partagée au sein du ménage et de la famille, selon les besoins nationaux</w:t>
        <w:br/>
        <w:t>Objectif 5 : Parvenir à l’égalité des sexes et autonomiser toutes les femmes et les filles</w:t>
        <w:br/>
        <w:t>Définition :</w:t>
        <w:br/>
        <w:t xml:space="preserve">Cet indicateur est défini comme la proportion de temps consacré dans une journée au travail domestique et aux soins non rémunérés par les hommes et les femmes. Dommages domestiques et </w:t>
        <w:br/>
        <w:t xml:space="preserve">le travail de soins fait référence aux activités liées à la fourniture de services pour leur propre usage final par les membres du ménage ou par les membres de la famille vivant dans d'autres </w:t>
        <w:br/>
        <w:t xml:space="preserve">ménages. Ces activités sont répertoriées dans ICATUS 2016 sous les grandes divisions « 3. Services domestiques non rémunérés pour le ménage et la famille ». </w:t>
        <w:br/>
        <w:t xml:space="preserve">membres » et « 4. Services de soins non rémunérés pour les membres du ménage et de la famille ». </w:t>
        <w:br/>
        <w:t xml:space="preserve">Concepts : </w:t>
        <w:br/>
        <w:t xml:space="preserve">Le travail domestique et de soins non rémunéré fait référence à des activités telles que la préparation des repas, la vaisselle, le nettoyage et l'entretien du logement, la lessive, le repassage, </w:t>
        <w:br/>
        <w:t xml:space="preserve">jardinage, soins aux animaux domestiques, courses, installation, entretien et réparation d'articles personnels et ménagers, garde d'enfants et soins aux malades, aux personnes âgées ou aux personnes âgées. </w:t>
        <w:br/>
        <w:t xml:space="preserve">des membres handicapés du ménage et de la famille, entre autres. Ces activités sont répertoriées dans ICATUS 2016 sous les grandes divisions « 3. Non rémunérées ». </w:t>
        <w:br/>
        <w:t xml:space="preserve">services domestiques pour les membres du ménage et de la famille » et « 4. Services de soins non rémunérés pour les membres du ménage et de la famille ». </w:t>
        <w:br/>
        <w:t>Justification et interprétation :</w:t>
        <w:br/>
        <w:t>Statistiques sur l'emploi du temps :</w:t>
        <w:br/>
        <w:t>(1) fournir une mesure de la qualité de vie ou du bien-être général des individus et des ménages ;</w:t>
        <w:br/>
        <w:t>(2) offrir une mesure plus complète de toutes les formes de travail, y compris le travail domestique non rémunéré ;</w:t>
        <w:br/>
        <w:t xml:space="preserve">(3) produisent des données pertinentes pour le suivi de l’égalité des sexes et de l’autonomisation des femmes et des filles et constituent des apports essentiels à la politique et </w:t>
        <w:br/>
        <w:t>dialogue politique sur l’égalité des sexes.</w:t>
        <w:br/>
        <w:t xml:space="preserve">La plupart des données sur l'emploi du temps sont collectées via des enquêtes nationales dédiées sur l'emploi du temps ou à partir de modules sur l'emploi du temps intégrés dans des programmes polyvalents. </w:t>
        <w:br/>
        <w:t xml:space="preserve">enquêtes auprès des ménages. </w:t>
        <w:br/>
        <w:t>Dans la plupart des pays, les bureaux nationaux de statistique sont responsables de la collecte et de la compilation de ces données.</w:t>
      </w:r>
    </w:p>
    <w:p>
      <w:pPr>
        <w:pStyle w:val="Heading2"/>
      </w:pPr>
      <w:r>
        <w:t>Page 149</w:t>
      </w:r>
    </w:p>
    <w:p>
      <w:r>
        <w:t>Texte d'en-tête</w:t>
        <w:br/>
        <w:t>Texte de pied de page</w:t>
        <w:br/>
        <w:t>Désagrégation des données</w:t>
        <w:br/>
        <w:t>Références</w:t>
        <w:br/>
        <w:t xml:space="preserve">Méthode de calcul : </w:t>
        <w:br/>
        <w:t>La proportion du temps consacré au travail domestique et aux soins non rémunérés ( ) est calculée comme suit :</w:t>
        <w:br/>
        <w:t xml:space="preserve"> </w:t>
        <w:br/>
        <w:t xml:space="preserve">où </w:t>
        <w:br/>
        <w:t xml:space="preserve">Si les données sur le temps passé sont hebdomadaires, la moyenne des données est calculée sur sept jours de la semaine pour obtenir le temps passé quotidiennement. </w:t>
        <w:br/>
        <w:t>Commentaires et limites :</w:t>
        <w:br/>
        <w:t>La comparabilité internationale des statistiques sur l’emploi du temps est limitée par les facteurs suivants :</w:t>
        <w:br/>
        <w:t xml:space="preserve">(1)    Type d'instrument utilisé pour la collecte de données sur l'emploi du temps. c'est-à-dire si les données sont collectées à l'aide d'un journal de 24 heures, d'un journal léger ou d'un journal stylisé. </w:t>
        <w:br/>
        <w:t xml:space="preserve">questionnaire. L'agenda de 24 heures produit des données plus détaillées que le questionnaire stylisé, mais il s'agit d'un mode de collecte de données plus coûteux. </w:t>
        <w:br/>
        <w:t xml:space="preserve">collecte. Les données obtenues à partir de ces deux méthodes de collecte de données différentes ne sont généralement pas comparables, et même les données collectées avec des méthodes différentes </w:t>
        <w:br/>
        <w:t xml:space="preserve">Les questions stylisées peuvent ne pas être comparables étant donné que le niveau de détails demandés sur les activités réalisées peut différer d'un instrument à l'autre. </w:t>
        <w:br/>
        <w:t>un autre, impactant ainsi le temps total consacré à une activité donnée ;</w:t>
        <w:br/>
        <w:t>(2)    Différences dans les classifications des activités liées à l'utilisation du temps utilisées par les pays ;</w:t>
        <w:br/>
        <w:t xml:space="preserve">(3)    Manière de signaler le temps consacré aux activités principales et secondaires. Dans la mesure du possible, les données présentées au niveau mondial se réfèrent aux « principales </w:t>
        <w:br/>
        <w:t>activité » uniquement ;</w:t>
        <w:br/>
        <w:t xml:space="preserve">(4)    Différences dans la population d'âge cible et les groupes d'âge utilisés par les pays. </w:t>
        <w:br/>
        <w:t>Indicateurs proxy, alternatifs et supplémentaires : N/A</w:t>
        <w:br/>
        <w:t>Cet indicateur doit être ventilé selon les dimensions suivantes : sexe, âge et lieu.</w:t>
        <w:br/>
        <w:t>Les catégories de ventilation, par dimension, sont les suivantes :</w:t>
        <w:br/>
        <w:t>Sexe : féminin/masculin ;</w:t>
        <w:br/>
        <w:t>Âge : les tranches d'âge recommandées sont : 15+, 15-24, 25-44, 45-54, 55-64 et 65+</w:t>
        <w:br/>
        <w:t xml:space="preserve">Localisation : urbaine/rurale (suivant les définitions nationales étant donné l'absence de définition internationale) </w:t>
        <w:br/>
        <w:t>Ces catégories ont été recommandées par le Groupe interinstitutions et d'experts sur les statistiques sexospécifiques (IAEG-GS) lors de sa 11 réunion au mois d'octobre.</w:t>
        <w:br/>
        <w:t>Rome, Italie, les 30 et 31 octobre 2017.</w:t>
      </w:r>
    </w:p>
    <w:p>
      <w:pPr>
        <w:pStyle w:val="Heading2"/>
      </w:pPr>
      <w:r>
        <w:t>Page 150</w:t>
      </w:r>
    </w:p>
    <w:p>
      <w:r>
        <w:t>Texte d'en-tête</w:t>
        <w:br/>
        <w:t>Texte de pied de page</w:t>
        <w:br/>
        <w:t>Organisation(s) internationale(s) de surveillance mondiale</w:t>
        <w:br/>
        <w:t>URL officielle des métadonnées ODD</w:t>
        <w:br/>
        <w:t xml:space="preserve">https://unstats.un.org/sdgs/metadata/files/Metadata-05-04-01.pdf  </w:t>
        <w:br/>
        <w:t>Méthodologie reconnue au niveau international et URL des lignes directrices</w:t>
        <w:br/>
        <w:t>DSNU (2005). New York. Disponible à l'adresse : Guide pour la production de statistiques sur l'emploi du temps : mesurer le travail rémunéré et non rémunéré. https://unstats.un.org/unsd</w:t>
        <w:br/>
        <w:t>/publication/SérieF/SérieF_93F.pdf</w:t>
        <w:br/>
        <w:t>DSNU (2016). New York. Disponible sur : Classification internationale des activités pour les statistiques sur l'emploi du temps. https://unstats.un.org/unsd/demographic-</w:t>
        <w:br/>
        <w:t xml:space="preserve">social/emploi du temps/icatus-2016/ </w:t>
        <w:br/>
        <w:t>Autres références</w:t>
        <w:br/>
        <w:t>OIT (2013). La Résolution concernant les statistiques du travail, de l'emploi et de la sous-utilisation de la main-d'œuvre. Genève. Disponible sur : http://www.ilo.org/global</w:t>
        <w:br/>
        <w:t>/statistiques-et-bases de données/normes-et-directives/résolutions-adoptéespar-les-conférences-internationales-des-statisticiens-du-travail/WCMS_230304/lang--</w:t>
        <w:br/>
        <w:t xml:space="preserve">fr/index.htm </w:t>
        <w:br/>
        <w:t>Exemples de pays</w:t>
        <w:br/>
        <w:t>N/D</w:t>
        <w:br/>
        <w:t xml:space="preserve">Ce document a été préparé sur la base des contributions de l'Entité des Nations Unies pour l'égalité des sexes et l'autonomisation des femmes (ONU Femmes) et </w:t>
        <w:br/>
        <w:t>Division de statistique des Nations Unies (DSNU).</w:t>
        <w:br/>
        <w:t>Pour obtenir des informations sur les points focaux pour cet indicateur, veuillez visiter https://unstats.un.org/sdgs/dataContacts/</w:t>
      </w:r>
    </w:p>
    <w:p>
      <w:pPr>
        <w:pStyle w:val="Heading2"/>
      </w:pPr>
      <w:r>
        <w:t>Page 151</w:t>
      </w:r>
    </w:p>
    <w:p>
      <w:r>
        <w:t>Texte d'en-tête</w:t>
        <w:br/>
        <w:t>Texte de pied de page</w:t>
        <w:br/>
        <w:t>Indicateur 5.5.1_b</w:t>
        <w:br/>
        <w:t>Page d'accueil du manuel électronique</w:t>
        <w:br/>
        <w:t xml:space="preserve"> </w:t>
        <w:br/>
        <w:t>Nom de l’indicateur, cible et objectif</w:t>
        <w:br/>
        <w:t>Définition et justification</w:t>
        <w:br/>
        <w:t>Contenu</w:t>
        <w:br/>
        <w:t>Nom de l’indicateur, cible et objectif</w:t>
        <w:br/>
        <w:t>Définition et justification</w:t>
        <w:br/>
        <w:t>Sources de données et méthode de collecte</w:t>
        <w:br/>
        <w:t>Méthode de calcul et autres considérations méthodologiques</w:t>
        <w:br/>
        <w:t>Désagrégation des données</w:t>
        <w:br/>
        <w:t>Références</w:t>
        <w:br/>
        <w:t>Organisation(s) internationale(s) de surveillance mondiale</w:t>
        <w:br/>
        <w:t xml:space="preserve"> Indicateur 5.5.1 : Proportion de sièges occupés par des femmes dans (a) les parlements nationaux et (b) les gouvernements locaux </w:t>
        <w:br/>
        <w:t xml:space="preserve">Cible 5.5 : Garantir la participation pleine et effective des femmes et l’égalité des chances en matière de leadership à tous les niveaux de prise de décision dans les domaines politique, </w:t>
        <w:br/>
        <w:t>vie économique et publique</w:t>
        <w:br/>
        <w:t>Objectif 5 : Parvenir à l’égalité des sexes et autonomiser toutes les femmes et les filles</w:t>
        <w:br/>
        <w:t>Définition :</w:t>
        <w:br/>
        <w:t xml:space="preserve">Le sous-indicateur (b) est défini comme la proportion de postes occupés par des femmes dans le gouvernement local. Il est exprimé en pourcentage des élus </w:t>
        <w:br/>
        <w:t xml:space="preserve">postes occupés par des femmes dans les organes législatifs/délibératifs du gouvernement local.  </w:t>
        <w:br/>
        <w:t>Concepts :</w:t>
        <w:br/>
        <w:t xml:space="preserve">Le gouvernement local est l'une des sphères de gouvernement infranationales et le résultat de la décentralisation, un processus de transfert politique, fiscal et </w:t>
        <w:br/>
        <w:t>pouvoirs administratifs du gouvernement central aux unités infranationales de gouvernement réparties sur le territoire d'un pays pour réglementer et</w:t>
        <w:br/>
        <w:t xml:space="preserve">/ou gérer seules certaines fonctions gouvernementales ou services publics. </w:t>
        <w:br/>
        <w:t xml:space="preserve">La définition du gouvernement local suit la distinction du Système de comptabilité nationale (SCN) de 2008 entre le gouvernement central, l'État et le gouvernement local. </w:t>
        <w:br/>
        <w:t xml:space="preserve">(paragraphe 4.129). L'administration locale comprend les unités d'administration locale, définies dans le SCN comme des « unités institutionnelles dont les finances, les législations et les </w:t>
        <w:br/>
        <w:t xml:space="preserve">le pouvoir exécutif s’étend sur les plus petites zones géographiques distinguées à des fins administratives et politiques » (para 4.145). Quoi </w:t>
        <w:br/>
        <w:t xml:space="preserve">constitue le gouvernement local d’un pays donné est défini par le cadre juridique national de ce pays, y compris les constitutions nationales et les lois locales. </w:t>
        <w:br/>
        <w:t xml:space="preserve">lois gouvernementales ou législation équivalente. </w:t>
        <w:br/>
        <w:t xml:space="preserve">Chaque unité de gouvernement local comprend généralement un organe législatif/délibératif et un organe exécutif. Organes législatifs/délibératifs, tels que </w:t>
        <w:br/>
        <w:t xml:space="preserve">Les conseils ou assemblées sont des entités formelles avec un nombre prescrit de membres conformément à la législation nationale ou étatique. Ils sont généralement élus par </w:t>
        <w:br/>
        <w:t>Ils disposent du suffrage universel et disposent d'un pouvoir de décision, notamment de la capacité d'édicter des règlements, sur toute une série d'aspects locaux des affaires publiques.</w:t>
        <w:br/>
        <w:t xml:space="preserve">Les organes exécutifs, composés d'un comité exécutif ou d'un maire, peuvent être élus, nommés ou nommés et ils préparent et exécutent </w:t>
        <w:br/>
        <w:t xml:space="preserve">décisions prises par l’organe législatif/délibérant. </w:t>
        <w:br/>
        <w:t xml:space="preserve">Les postes élus constituent le mode de sélection le plus courant des membres du gouvernement local. Ils sont sélectionnés lors d'élections locales, sur la base d'un </w:t>
        <w:br/>
        <w:t xml:space="preserve">système de sélection des titulaires de charges politiques dans lequel les électeurs votent pour la ou les personnes ou le parti politique qu'ils souhaitent voir élus. </w:t>
        <w:br/>
        <w:t xml:space="preserve">La catégorie des postes élus comprend à la fois les élus qui ont concouru pour des sièges ouvertement disputés et les personnes sélectionnées lors du scrutin. </w:t>
        <w:br/>
        <w:t xml:space="preserve">processus électoraux sur sièges réservés ou via un quota de candidats. </w:t>
        <w:br/>
        <w:t xml:space="preserve">En comparaison, les membres sélectionnés pour des postes nommés (le mode de sélection le moins courant des membres du gouvernement local) sont nommés, </w:t>
        <w:br/>
        <w:t xml:space="preserve">généralement par des représentants du gouvernement des niveaux supérieurs du gouvernement. Les membres nommés du gouvernement local sont plus fréquents parmi les </w:t>
        <w:br/>
        <w:t xml:space="preserve">des postes de direction, tels que les chefs de l'organe exécutif, les représentants de groupes spécifiques (par exemple les femmes, les groupes défavorisés, les jeunes) ; </w:t>
        <w:br/>
        <w:t xml:space="preserve">et les comités/délégations/gardiens temporaires nommés par des représentants du gouvernement lorsqu'un conseil a été dissous. </w:t>
        <w:br/>
        <w:t>Justification et interprétation :</w:t>
        <w:br/>
        <w:t xml:space="preserve">Le droit des femmes et des hommes d’exercer leurs droits politiques sur un pied d’égalité et à tous les niveaux de prise de décision est reconnu dans les ODD et </w:t>
        <w:br/>
        <w:t xml:space="preserve">inscrite dans de nombreuses déclarations, conventions et résolutions sur les droits humains et politiques adoptées par la plupart des pays du monde. Indicateur 5.5.1b </w:t>
        <w:br/>
        <w:t xml:space="preserve">mesure le degré auquel l’équilibre entre les sexes a été atteint et les femmes avoir un accès égal à la prise de décision politique au niveau local </w:t>
        <w:br/>
        <w:t xml:space="preserve">gouvernement. </w:t>
        <w:br/>
        <w:t xml:space="preserve">L'indicateur 5.5.1b complète l'indicateur 5.5.1a sur les femmes dans les parlements nationaux et rend compte de la représentation des femmes parmi les </w:t>
        <w:br/>
        <w:t xml:space="preserve">des millions de membres de gouvernements locaux qui influencent (ou ont le potentiel d’influencer) la vie des communautés locales à travers le monde. Tout </w:t>
        <w:br/>
        <w:t>Les niveaux de gouvernement local sont couverts par l’indicateur, conformément aux cadres juridiques nationaux définissant le gouvernement local.</w:t>
      </w:r>
    </w:p>
    <w:p>
      <w:pPr>
        <w:pStyle w:val="Heading2"/>
      </w:pPr>
      <w:r>
        <w:t>Page 152</w:t>
      </w:r>
    </w:p>
    <w:p>
      <w:r>
        <w:t>Texte d'en-tête</w:t>
        <w:br/>
        <w:t>Texte de pied de page</w:t>
        <w:br/>
        <w:t>Sources de données et méthode de collecte</w:t>
        <w:br/>
        <w:t>Méthode de calcul et autres considérations méthodologiques</w:t>
        <w:br/>
        <w:t>Désagrégation des données</w:t>
        <w:br/>
        <w:t>Références</w:t>
        <w:br/>
        <w:t xml:space="preserve">Les données administratives basées sur les registres électoraux constituent la principale source de données sur les élus locaux, et les données recommandées </w:t>
        <w:br/>
        <w:t xml:space="preserve">source pour l’indicateur 5.5.1b. Les dossiers électoraux sont produits et conservés par les organismes de gestion électorale (OGE) ou des organismes équivalents chargés de </w:t>
        <w:br/>
        <w:t xml:space="preserve">organiser des élections au niveau local. Les OGE font partie du système statistique national et sont souvent spécifiquement mentionnés dans les lois nationales sur les statistiques. </w:t>
        <w:br/>
        <w:t xml:space="preserve">en tant que producteurs de statistiques officielles. </w:t>
        <w:br/>
        <w:t xml:space="preserve">L’utilisation des registres électoraux pour mesurer la représentation des femmes dans le gouvernement local et le suivi de l’indicateur 5.5.1b sont rentables, </w:t>
        <w:br/>
        <w:t xml:space="preserve">simple et opportun. Aucun ajustement ni estimation n'est nécessaire pour transformer les informations administratives en statistiques permettant de suivre l'évolution de la situation. </w:t>
        <w:br/>
        <w:t xml:space="preserve">indicateur. Le cadre conceptuel à la base de l'indicateur 5.5.1b est cohérent avec le cadre conceptuel à la base des élections locales, comme </w:t>
        <w:br/>
        <w:t xml:space="preserve">les deux sont prévus par le cadre juridique national. Les données utilisées pour calculer l'indicateur 5.5.1b font référence à des informations sur les vainqueurs des élections, ventilées </w:t>
        <w:br/>
        <w:t xml:space="preserve">par sexe, et la couverture de la population de référence (en l'occurrence les élus) doit être complète. Dans les pays où le scrutin </w:t>
        <w:br/>
        <w:t xml:space="preserve">les dossiers sont électroniques et centralisés, les informations sur le nombre de femmes et d’hommes occupant des postes électifs peuvent être mises à disposition dès que le </w:t>
        <w:br/>
        <w:t xml:space="preserve">les résultats officiels des élections sont publiés. </w:t>
        <w:br/>
        <w:t xml:space="preserve">Deux autres types de sources de données peuvent être utilisés dans les rares cas où les registres électoraux ne sont pas électroniques ou centralisés. Un supplémentaire </w:t>
        <w:br/>
        <w:t xml:space="preserve">Le type de source est également administratif et fait référence aux données de l’administration publique disponibles pour les ministères de tutelle supervisant le gouvernement local. Cependant, </w:t>
        <w:br/>
        <w:t xml:space="preserve">son utilisation à des fins statistiques peut être moins simple que celle des registres électoraux centralisés. La portée des archives de l’administration publique dépasse </w:t>
        <w:br/>
        <w:t xml:space="preserve">les postes élus, et les informations sur les femmes et les hommes occupant des postes élus au sein du gouvernement local peuvent être mélangées avec des informations sur les fonctions publiques. </w:t>
        <w:br/>
        <w:t xml:space="preserve">les salariés de l’administration, qui ne sont pas couverts par cet indicateur. Par conséquent, un traitement de données et des ressources supplémentaires peuvent être nécessaires pour </w:t>
        <w:br/>
        <w:t xml:space="preserve">extraire soigneusement les informations nécessaires. Dans certains cas, les formulaires utilisés comme base pour les dossiers administratifs peuvent devoir être modifiés pour </w:t>
        <w:br/>
        <w:t xml:space="preserve">assurer l'enregistrement des postes comme étant élus, dans les organes législatifs/délibératifs, ainsi que le sexe des personnes occupant ces postes. Dans d'autres </w:t>
        <w:br/>
        <w:t xml:space="preserve">Dans certains cas, certains postes élus peuvent ne pas être couverts dans les dossiers tenus, par exemple si les dossiers administratifs se limitent uniquement à </w:t>
        <w:br/>
        <w:t xml:space="preserve">les postes qui sont payés par le gouvernement. </w:t>
        <w:br/>
        <w:t xml:space="preserve">Un autre type de source de données qui peut fournir des informations sur les femmes et les hommes dans les administrations locales en l'absence de système électronique centralisé. </w:t>
        <w:br/>
        <w:t xml:space="preserve">les registres électoraux font référence aux enquêtes ou recensements existants utilisant les unités de gouvernement local comme unités d’observation. Ces enquêtes ou recensements peuvent être </w:t>
        <w:br/>
        <w:t xml:space="preserve">entrepris par les bureaux nationaux de statistique et/ou les ministères concernés et peut prendre la forme (a) de recensements ou d'enquêtes des collectivités locales ; (b) </w:t>
        <w:br/>
        <w:t xml:space="preserve">enquête auprès des établissements ; et (c) les enquêtes auprès des municipalités. Ces enquêtes/recensements peuvent déjà inclure, dans l'outil de collecte de données dédié à leurs </w:t>
        <w:br/>
        <w:t xml:space="preserve">objectif principal, quelques questions sur le nombre de membres des organes législatifs/délibératifs et exécutifs locaux par sexe et autres </w:t>
        <w:br/>
        <w:t xml:space="preserve">des caractéristiques telles que l’âge et l’éducation ; ou peut nécessiter l’intégration de telles questions. Comme pour d’autres recensements et enquêtes, un faible </w:t>
        <w:br/>
        <w:t xml:space="preserve">Le taux de réponse peut entraîner un biais dans les statistiques obtenues. Les erreurs d'échantillonnage peuvent également aggraver le biais, d'une manière qui ne peut pas être évaluée dans le cadre de l'étude. </w:t>
        <w:br/>
        <w:t xml:space="preserve">absence d’une bonne compréhension de la répartition de la représentation des femmes et des hommes dans les différentes unités de gouvernement local à travers le territoire </w:t>
        <w:br/>
        <w:t>d'un pays.</w:t>
        <w:br/>
        <w:t>Méthode de calcul :</w:t>
        <w:br/>
        <w:t>Cet indicateur est calculé comme suit :</w:t>
        <w:br/>
        <w:t xml:space="preserve"> </w:t>
        <w:br/>
        <w:t xml:space="preserve">Commentaires et limites : </w:t>
        <w:br/>
        <w:t xml:space="preserve">Indicateur 5.5.1b réf. favorables à la représentation des femmes parmi les postes élus des organes législatifs/délibératifs du gouvernement local. Le </w:t>
        <w:br/>
        <w:t xml:space="preserve">L’indicateur ne prend pas en compte les autres postes au sein du gouvernement local. Les fonctionnaires des collectivités locales occupant des postes de direction qui ne sont pas </w:t>
        <w:br/>
        <w:t xml:space="preserve">qui occupent simultanément un poste au sein de l'organe législatif/délibérant, ou qui sont nommés et non élus, ne sont pas pris en compte dans cette présente </w:t>
        <w:br/>
        <w:t xml:space="preserve">indicateur. </w:t>
        <w:br/>
        <w:t xml:space="preserve">Il est important de noter que l’indicateur fait référence à la représentation parmi les membres du gouvernement local et non à la qualité de leur participation. Les pays peuvent </w:t>
        <w:br/>
        <w:t xml:space="preserve">envisagez donc d’évaluer la participation politique au moyen d’études nationales ou infranationales impliquant des méthodes qualitatives et/ou quantitatives de </w:t>
        <w:br/>
        <w:t xml:space="preserve">recherche. Des indicateurs supplémentaires de participation politique peuvent également être surveillés au niveau national, tels que la part des femmes parmi les électeurs et </w:t>
        <w:br/>
        <w:t xml:space="preserve">candidates aux élections locales, pour veiller à ce que d’autres écarts soient comblés en matière de participation politique des femmes.  </w:t>
        <w:br/>
        <w:t>Indicateurs proxy, alternatifs et supplémentaires : N/A</w:t>
        <w:br/>
        <w:t xml:space="preserve">Les données sur les postes élus dans les organes législatifs/délibératifs du gouvernement local doivent être ventilées par sexe pour permettre le calcul du </w:t>
        <w:br/>
        <w:t>indicateur.</w:t>
      </w:r>
    </w:p>
    <w:p>
      <w:pPr>
        <w:pStyle w:val="Heading2"/>
      </w:pPr>
      <w:r>
        <w:t>Page 153</w:t>
      </w:r>
    </w:p>
    <w:p>
      <w:r>
        <w:t>Texte d'en-tête</w:t>
        <w:br/>
        <w:t>Texte de pied de page</w:t>
        <w:br/>
        <w:t>Organisation(s) internationale(s) de surveillance mondiale</w:t>
        <w:br/>
        <w:t>URL officielle des métadonnées ODD</w:t>
        <w:br/>
        <w:t xml:space="preserve">https://unstats.un.org/sdgs/metadata/files/Metadata-05-05-01b.pdf </w:t>
        <w:br/>
        <w:t>Méthodologie reconnue au niveau international et URL des lignes directrices</w:t>
        <w:br/>
        <w:t xml:space="preserve">Commission européenne, Fonds monétaire international, Organisation de coopération et de développement économiques, Nations Unies et monde </w:t>
        <w:br/>
        <w:t>Banque, 2009. Le Système de comptabilité nationale 2008. https://unstats.un.org/unsd/nationalaccount/docs/sna2008.pdf</w:t>
        <w:br/>
        <w:t>Nations Unies, 2012. Utilisation de sources administratives et secondaires pour les statistiques officielles : Manuel de principes et de pratiques. CEE-ONU. https://</w:t>
        <w:br/>
        <w:t>/www.unece.org/index.php?id=28898</w:t>
        <w:br/>
        <w:t xml:space="preserve">ONU Femmes et PNUD, 2015. Processus électoraux inclusifs : Guide à l'intention des organes de gestion électorale sur la promotion de l'égalité des sexes et </w:t>
        <w:br/>
        <w:t>Participation des femmes. http://www.undp.org/content/undp/en/home/librarypage/democratic-governance/electoral_systemsandprocesses/guide-</w:t>
        <w:br/>
        <w:t xml:space="preserve"> pour-les-organismes-de-gestion-électorale-sur-la-promotion-de-l'égalité-des-genres.html</w:t>
        <w:br/>
        <w:t>Autres références</w:t>
        <w:br/>
        <w:t>CEPALC, 2016a. CEPALSTAT : Bases de données et publications statistiques. http://interwp.cepal.org/sisgen/ConsultaIntegrada.asp?</w:t>
        <w:br/>
        <w:t xml:space="preserve"> (consulté en janvier-avril 2016)idAplicacion=11&amp;idioma=e</w:t>
        <w:br/>
        <w:t>Commission européenne, 2016a. Base de données sur les femmes et les hommes dans la prise de décision (WMID). http://ec.europa.eu/justice/gender-equality/gender-</w:t>
        <w:br/>
        <w:t xml:space="preserve"> (consulté en janvier-avril 2016)decision-making/database/index_en.htm</w:t>
        <w:br/>
        <w:t>CEE-ONU, 2016a. Base de données de la vie publique et de la prise de décision. http://w3.unece.org/PXWeb2015/pxweb/en/STAT/STAT__30-GE__05-</w:t>
        <w:br/>
        <w:t xml:space="preserve"> (consulté en janvier-avril 2016).PublicAnddecision</w:t>
        <w:br/>
        <w:t xml:space="preserve">PNUD, 2014. Égalité des genres : participation et leadership des femmes dans les gouvernements au niveau local. Asie et Pacifique 2013. Bangkok, </w:t>
        <w:br/>
        <w:t>PNUD.</w:t>
        <w:br/>
        <w:t>UNPAN (Réseau d'administration publique des Nations Unies), 2016. Glossaire de l'administration publique des Nations Unies.   http://www.unpan.org/Directories/Glossary</w:t>
        <w:br/>
        <w:t xml:space="preserve"> (mars 2016)/tabid/1398/langue/en-US/Default.aspx</w:t>
        <w:br/>
        <w:t xml:space="preserve">ONU Femmes, 2017. Examen des constitutions nationales et des lois sur les collectivités locales. Inédit. </w:t>
        <w:br/>
        <w:t>Exemples de pays N/A</w:t>
        <w:br/>
        <w:t>Ce document a été préparé sur la base des contributions de l'Entité des Nations Unies pour l'égalité des sexes et l'autonomisation des femmes (ONU Femmes).</w:t>
        <w:br/>
        <w:t>Pour obtenir des informations sur les points focaux pour cet indicateur, veuillez visiter https://unstats.un.org/sdgs/dataContacts/</w:t>
      </w:r>
    </w:p>
    <w:p>
      <w:pPr>
        <w:pStyle w:val="Heading2"/>
      </w:pPr>
      <w:r>
        <w:t>Page 154</w:t>
      </w:r>
    </w:p>
    <w:p>
      <w:r>
        <w:t>Texte d'en-tête</w:t>
        <w:br/>
        <w:t>Texte de pied de page</w:t>
        <w:br/>
        <w:t>Indicateur 5.5.2</w:t>
        <w:br/>
        <w:t>Page d'accueil du manuel électronique</w:t>
        <w:br/>
        <w:t xml:space="preserve"> </w:t>
        <w:br/>
        <w:t>Nom de l’indicateur, cible et objectif</w:t>
        <w:br/>
        <w:t>Définition et justification</w:t>
        <w:br/>
        <w:t>Sources de données et méthode de collecte</w:t>
        <w:br/>
        <w:t>Méthode de calcul et autres considérations méthodologiques</w:t>
        <w:br/>
        <w:t>Contenu</w:t>
        <w:br/>
        <w:t>Nom de l’indicateur, cible et objectif</w:t>
        <w:br/>
        <w:t>Définition et justification</w:t>
        <w:br/>
        <w:t>Sources de données et méthode de collecte</w:t>
        <w:br/>
        <w:t>Méthode de calcul et autres considérations méthodologiques</w:t>
        <w:br/>
        <w:t>Désagrégation des données</w:t>
        <w:br/>
        <w:t>Références</w:t>
        <w:br/>
        <w:t>Organisation(s) internationale(s) de surveillance mondiale</w:t>
        <w:br/>
        <w:t xml:space="preserve"> Indicateur 5.5.2 : Proportion de femmes occupant des postes de direction</w:t>
        <w:br/>
        <w:t xml:space="preserve">Cible 5.5 : Garantir la participation pleine et effective des femmes et l’égalité des chances en matière de leadership à tous les niveaux de prise de décision dans les domaines politique, </w:t>
        <w:br/>
        <w:t>vie économique et publique</w:t>
        <w:br/>
        <w:t>Objectif 5 : Parvenir à l’égalité des sexes et autonomiser toutes les femmes et les filles</w:t>
        <w:br/>
        <w:t>Définition :</w:t>
        <w:br/>
        <w:t xml:space="preserve">Cet indicateur fait référence à la proportion de femmes dans le nombre total de personnes occupant des postes de direction. Il est recommandé d'en utiliser deux </w:t>
        <w:br/>
        <w:t xml:space="preserve">différentes mesures conjointement pour cet indicateur : la part des femmes dans l'encadrement (total) et la part des femmes dans les postes supérieurs et intermédiaires. </w:t>
        <w:br/>
        <w:t xml:space="preserve">(donc excluant les cadres juniors). Le calcul conjoint de ces deux mesures permet de savoir si les femmes sont plus </w:t>
        <w:br/>
        <w:t xml:space="preserve">moins représentées dans les cadres juniors que dans les cadres supérieurs et intermédiaires, ce qui laisse présager un éventuel plafond pour l'accès des femmes aux niveaux supérieurs. </w:t>
        <w:br/>
        <w:t xml:space="preserve">postes de direction. Dans ces cas-là, calculer uniquement la part des femmes dans la direction (totale) serait trompeur, dans la mesure où cela suggérerait </w:t>
        <w:br/>
        <w:t xml:space="preserve">que les femmes occupent des postes comportant plus de pouvoir de décision et de responsabilités qu’elles n’en ont réellement. </w:t>
        <w:br/>
        <w:t>Concepts :</w:t>
        <w:br/>
        <w:t xml:space="preserve">-               L'emploi comprend toutes les personnes en âge de travailler qui, pendant une courte période de référence (une semaine), ont exercé une activité visant à </w:t>
        <w:br/>
        <w:t xml:space="preserve">produire des biens ou fournir des services contre rémunération ou profit. Pour plus de précisions, voir : Résolution concernant les statistiques du travail, de l'emploi et du travail </w:t>
        <w:br/>
        <w:t>sous-utilisation (2013).</w:t>
        <w:br/>
        <w:t xml:space="preserve">-               L'emploi dans le secteur de la gestion est déterminé selon les catégories de la dernière version de la Classification internationale type. </w:t>
        <w:br/>
        <w:t xml:space="preserve">des professions (CITP-08), qui organise les emplois en un ensemble de groupes clairement définis en fonction des tâches et des fonctions assumées dans le cadre de l'emploi. Pour le </w:t>
        <w:br/>
        <w:t xml:space="preserve">Pour les besoins de cet indicateur, il est préférable de se référer séparément aux cadres supérieurs et intermédiaires d'une part seulement, et à l'ensemble de la direction. </w:t>
        <w:br/>
        <w:t>(y compris les cadres juniors) d'autre part. Les cadres supérieurs et intermédiaires correspondent aux sous-grands groupes 11, 12 et 13 de la CITP-08 et aux sous-groupes.</w:t>
        <w:br/>
        <w:t xml:space="preserve">grands groupes 11 et 12 de la CITP-88. Si des statistiques ne sont pas disponibles, ventilées au niveau des sous-grands groupes (niveau à deux chiffres de la CITP), alors les principaux </w:t>
        <w:br/>
        <w:t xml:space="preserve">Le groupe 1 de la CITP-88 et de la CITP-08 peut être utilisé comme approximation et l'indicateur se référerait alors uniquement à la gestion totale (y compris les sociétés juniors). </w:t>
        <w:br/>
        <w:t xml:space="preserve">gestion). </w:t>
        <w:br/>
        <w:t>Justification et interprétation :</w:t>
        <w:br/>
        <w:t xml:space="preserve">Cet indicateur fournit une mesure significative du pourcentage de femmes employées dans des rôles de prise de décision et de gestion dans </w:t>
        <w:br/>
        <w:t xml:space="preserve">gouvernement, grandes entreprises et institutions, donnant ainsi un aperçu du pouvoir des femmes dans la prise de décision et dans l’économie, relatif </w:t>
        <w:br/>
        <w:t>au pouvoir des hommes.</w:t>
        <w:br/>
        <w:t xml:space="preserve">Les données pour cet indicateur sont collectées par le biais d'enquêtes sur la population active ou de toute autre enquête auprès des ménages qui collecte ces données via un module sur </w:t>
        <w:br/>
        <w:t xml:space="preserve">emploi. Les enquêtes auprès des établissements/entreprises ou les dossiers administratifs peuvent également fournir des données utiles sur les postes de direction occupés par des femmes. </w:t>
        <w:br/>
        <w:t>Groupes ISCO. Les enquêtes sont menées par les bureaux nationaux de statistique ou les ministères du Travail des pays.</w:t>
      </w:r>
    </w:p>
    <w:p>
      <w:pPr>
        <w:pStyle w:val="Heading2"/>
      </w:pPr>
      <w:r>
        <w:t>Page 155</w:t>
      </w:r>
    </w:p>
    <w:p>
      <w:r>
        <w:t>Texte d'en-tête</w:t>
        <w:br/>
        <w:t>Texte de pied de page</w:t>
        <w:br/>
        <w:t>Désagrégation des données</w:t>
        <w:br/>
        <w:t>Références</w:t>
        <w:br/>
        <w:t>Méthode de calcul :</w:t>
        <w:br/>
        <w:t>Les deux mesures recommandées sont le pourcentage de femmes occupant des postes d'encadrement supérieur et intermédiaire et le pourcentage de (P )smmgmt</w:t>
        <w:br/>
        <w:t>femmes occupant des postes de direction. Ils sont calculés comme suit : (P ).mgmt</w:t>
        <w:br/>
        <w:t xml:space="preserve"> </w:t>
        <w:br/>
        <w:t>où,</w:t>
        <w:br/>
        <w:t xml:space="preserve">Wsmmgmt est le nombre de femmes employées dans des emplois des sous-grands groupes 11, 12 et 13 de la CITP-08 (qui correspondent également au grand groupe 1). </w:t>
        <w:br/>
        <w:t>moins le sous-grand groupe 14) ou les sous-grands groupes 11 et 12 de la CITP-88 (qui correspondent également au grand groupe 1 moins le sous-grand groupe 13) ; et</w:t>
        <w:br/>
        <w:t xml:space="preserve">Le Tmgmt est le nombre total de personnes employées dans des emplois des sous-grands groupes 11, 12 et 13 de la CITP-08 (qui correspond également au grand groupe 1). </w:t>
        <w:br/>
        <w:t xml:space="preserve">moins le sous-grand groupe 14) ou les sous-grands groupes 11 et 12 de la CITP-88 (qui correspondent également au grand groupe 1 moins le sous-grand groupe 13).  </w:t>
        <w:br/>
        <w:t>où,</w:t>
        <w:br/>
        <w:t>Wmgmt est le nombre de femmes employées dans les emplois du groupe 1 de la CITP-08 ou du groupe 1 de la CITP-88 ; et</w:t>
        <w:br/>
        <w:t xml:space="preserve">Tmgmt est le nombre total de personnes employées dans les emplois du groupe 1 de la CITP-08 ou du groupe 1 de la CITP-88. </w:t>
        <w:br/>
        <w:t>Commentaires et limites :</w:t>
        <w:br/>
        <w:t xml:space="preserve">La principale limite de cet indicateur est qu’il ne parvient pas à rendre compte des différences dans les niveaux de responsabilité des femmes dans leurs postes de direction respectifs. </w:t>
        <w:br/>
        <w:t xml:space="preserve">position, ou l’importance des entreprises et des organisations dans lesquelles ils sont employés. Sa qualité est également fortement impactée par le </w:t>
        <w:br/>
        <w:t xml:space="preserve">fiabilité des statistiques de l’emploi par profession au niveau à deux chiffres de la CITP. Chaque fois que les données au niveau à deux chiffres de la CITP ne sont pas </w:t>
        <w:br/>
        <w:t xml:space="preserve">disponibles, les données au niveau à un chiffre pourraient être utilisées comme approximation, se référant uniquement au grand groupe 1 de la CITP-08 ou de la CITP-88, plutôt que de se référer également au </w:t>
        <w:br/>
        <w:t xml:space="preserve">grand groupe 1 moins la catégorie 14 de la CITP-08 ou grand groupe 1 moins la catégorie 13 de la CITP-88. Cela implique de se référer à la part féminine au total </w:t>
        <w:br/>
        <w:t xml:space="preserve">gestion, plutôt qu’à la part exclusivement féminine des cadres supérieurs et intermédiaires. Ce proxy ne doit être utilisé qu'en cas de manque </w:t>
        <w:br/>
        <w:t xml:space="preserve">de disponibilité des données au niveau à deux chiffres de la CITP, car l'ensemble de la direction inclut les cadres juniors et les femmes ont tendance à être plus nombreuses. </w:t>
        <w:br/>
        <w:t xml:space="preserve">représentés dans les postes de direction junior que dans les postes de direction supérieure ou intermédiaire, et donc, en se référant uniquement à celui de la direction totale </w:t>
        <w:br/>
        <w:t>Il se peut que l’on surestime l’impact des femmes dans les postes décisionnels de haut niveau.</w:t>
        <w:br/>
        <w:t>Cet indicateur peut être désagrégé par activités économiques de la Classification internationale type par industrie (CITI).</w:t>
      </w:r>
    </w:p>
    <w:p>
      <w:pPr>
        <w:pStyle w:val="Heading2"/>
      </w:pPr>
      <w:r>
        <w:t>Page 156</w:t>
      </w:r>
    </w:p>
    <w:p>
      <w:r>
        <w:t>Texte d'en-tête</w:t>
        <w:br/>
        <w:t>Texte de pied de page</w:t>
        <w:br/>
        <w:t>Organisation(s) internationale(s) de surveillance mondiale</w:t>
        <w:br/>
        <w:t>URL officielle des métadonnées ODD</w:t>
        <w:br/>
        <w:t xml:space="preserve">https://unstats.un.org/sdgs/metadata/files/Metadata-05-05-02.pdf  </w:t>
        <w:br/>
        <w:t>Méthodologie reconnue au niveau international et URL des lignes directrices</w:t>
        <w:br/>
        <w:t>OIT (2013). Genève. Disponible sur : Indicateurs du travail décent : Lignes directrices à l’intention des producteurs et des utilisateurs d’indicateurs du cadre statistique et juridique. http</w:t>
        <w:br/>
        <w:t>http://www.ilo.org/wcmsp5/groups/public/---dgreports/---stat/documents/publication/wcms_223121.pdf</w:t>
        <w:br/>
        <w:t>OIT. Genève. Site Internet : Classification internationale type des professions. http://www.ilo.org/public/english/bureau/stat/isco/isco08/</w:t>
        <w:br/>
        <w:t>Autres références</w:t>
        <w:br/>
        <w:t>ILOSTAT Genève. Site Internet : . http://www.ilo.org/ilostat</w:t>
        <w:br/>
        <w:t xml:space="preserve">OIT (2013). Dix-neuvième Conférence internationale du travail Résolution concernant les statistiques du travail, de l'emploi et de la sous-utilisation de la main-d'œuvre. </w:t>
        <w:br/>
        <w:t>Statisticiens. Disponible sur : http://ilo.org/global/statistics-and-databases/standards-and-guidelines/resolutions-adopted-by-international-</w:t>
        <w:br/>
        <w:t>conférences-des-statisticiens-du-travail/WCMS_230304/lang--en/index.htm</w:t>
        <w:br/>
        <w:t xml:space="preserve">OIT (2013). Indicateurs du travail décent - Lignes directrices à l'intention des producteurs et des utilisateurs d'indicateurs statistiques et juridiques. Manuel du BIT. Deuxième </w:t>
        <w:br/>
        <w:t>version.</w:t>
        <w:br/>
        <w:t>Exemples de pays</w:t>
        <w:br/>
        <w:t>N/D</w:t>
        <w:br/>
        <w:t>Ce document a été préparé sur la base des contributions de l'Organisation internationale du travail (OIT).</w:t>
        <w:br/>
        <w:t>Pour obtenir des informations sur les points focaux pour cet indicateur, veuillez visiter https://unstats.un.org/sdgs/dataContacts/</w:t>
      </w:r>
    </w:p>
    <w:p>
      <w:pPr>
        <w:pStyle w:val="Heading2"/>
      </w:pPr>
      <w:r>
        <w:t>Page 157</w:t>
      </w:r>
    </w:p>
    <w:p>
      <w:r>
        <w:t>Texte d'en-tête</w:t>
        <w:br/>
        <w:t>Texte de pied de page</w:t>
        <w:br/>
        <w:t>Indicateur 5.6.1</w:t>
        <w:br/>
        <w:t>Page d'accueil du manuel électronique</w:t>
        <w:br/>
        <w:t xml:space="preserve"> </w:t>
        <w:br/>
        <w:t>Nom de l’indicateur, cible et objectif</w:t>
        <w:br/>
        <w:t>Définition et justification</w:t>
        <w:br/>
        <w:t>Sources de données et méthode de collecte</w:t>
        <w:br/>
        <w:t>Contenu</w:t>
        <w:br/>
        <w:t>Nom de l’indicateur, cible et objectif</w:t>
        <w:br/>
        <w:t>Définition et justification</w:t>
        <w:br/>
        <w:t>Sources de données et méthode de collecte</w:t>
        <w:br/>
        <w:t>Méthode de calcul et autres considérations méthodologiques</w:t>
        <w:br/>
        <w:t>Désagrégation des données</w:t>
        <w:br/>
        <w:t>Références</w:t>
        <w:br/>
        <w:t>Organisation(s) internationale(s) de surveillance mondiale</w:t>
        <w:br/>
        <w:t xml:space="preserve"> Indicateur 5.6.1 : Proportion de femmes âgées de 15 à 49 ans qui prennent leurs propres décisions éclairées concernant les relations sexuelles et l'utilisation de contraceptifs </w:t>
        <w:br/>
        <w:t>et soins de santé reproductive</w:t>
        <w:br/>
        <w:t xml:space="preserve">Cible 5.6 : Garantir l’accès universel à la santé sexuelle et reproductive et aux droits reproductifs, comme convenu conformément au Programme de </w:t>
        <w:br/>
        <w:t xml:space="preserve">Action de la Conférence internationale sur la population et le développement et du Programme d'action de Pékin et les documents finals de leur </w:t>
        <w:br/>
        <w:t>conférences de révision.</w:t>
        <w:br/>
        <w:t>Objectif 5 : Parvenir à l’égalité des sexes et autonomiser toutes les femmes et les filles</w:t>
        <w:br/>
        <w:t>Définition :</w:t>
        <w:br/>
        <w:t xml:space="preserve">Cet indicateur est défini comme le pourcentage de femmes âgées de 15 à 49 ans mariées (ou en union) qui prennent leurs propres décisions dans les trois domaines. </w:t>
        <w:br/>
        <w:t xml:space="preserve">domaines – les rapports sexuels avec leur partenaire, l’utilisation de la contraception et leurs soins de santé. </w:t>
        <w:br/>
        <w:t>Concepts :</w:t>
        <w:br/>
        <w:t xml:space="preserve">Les femmes mariées ou en union incluent à la fois les femmes légalement mariées et celles vivant en union informelle. Une union informelle est une union dans laquelle l'homme et la femme </w:t>
        <w:br/>
        <w:t xml:space="preserve">vivent ensemble au moment de l'entretien, avec l'intention d'entretenir une relation durable, mais n'ont pas eu de cérémonie civile ou religieuse formelle. </w:t>
        <w:br/>
        <w:t>Une femme est prise en compte dans la prise de décision en matière de santé reproductive et est habilitée à exercer ses droits reproductifs si elle est autonome.</w:t>
        <w:br/>
        <w:t xml:space="preserve">ils : (1) peuvent dire « NON » aux relations sexuelles avec leur mari/partenaire s’ils ne le souhaitent pas ; (2) décider de l'utilisation/non-utilisation de la contraception ; et (3) décider de </w:t>
        <w:br/>
        <w:t xml:space="preserve">soins de santé pour eux-mêmes. </w:t>
        <w:br/>
        <w:t xml:space="preserve">L’autonomie est déterminée par une réponse « oui » à la question sur les rapports sexuels et « principalement répondant » ou « conjointement » aux questions de </w:t>
        <w:br/>
        <w:t xml:space="preserve">contraception et leurs soins de santé, sur des enquêtes pertinentes. </w:t>
        <w:br/>
        <w:t>Justification et interprétation :</w:t>
        <w:br/>
        <w:t xml:space="preserve">Autonomie des femmes et des filles dans la prise de décision concernant les relations sexuelles consensuelles, l’utilisation de contraceptifs et l’accès aux relations sexuelles et reproductives. </w:t>
        <w:br/>
        <w:t xml:space="preserve">Les services de santé sont essentiels à leur autonomisation et au plein exercice de leurs droits reproductifs. Cela correspond bien à l’idée de l’autonomie sexuelle </w:t>
        <w:br/>
        <w:t xml:space="preserve">et l’autonomisation des femmes. Le suivi de cet indicateur au fil du temps permettrait d’observer les changements et d’évaluer l’efficacité des politiques. </w:t>
        <w:br/>
        <w:t>interventions.</w:t>
      </w:r>
    </w:p>
    <w:p>
      <w:pPr>
        <w:pStyle w:val="Heading2"/>
      </w:pPr>
      <w:r>
        <w:t>Page 158</w:t>
      </w:r>
    </w:p>
    <w:p>
      <w:r>
        <w:t>Texte d'en-tête</w:t>
        <w:br/>
        <w:t>Texte de pied de page</w:t>
        <w:br/>
        <w:t>Méthode de calcul et autres considérations méthodologiques</w:t>
        <w:br/>
        <w:t>Désagrégation des données</w:t>
        <w:br/>
        <w:t xml:space="preserve">Les données pour cet indicateur peuvent être collectées au moyen d’enquêtes représentatives au niveau national qui intègrent les trois questions mentionnées ci-dessus. </w:t>
        <w:br/>
        <w:t>Actuellement, ces données sont collectées par le biais de l'Enquête Démographique et de Santé (EDS), avec des plans pour étendre la collecte de données pour inclure des données multiples.</w:t>
        <w:br/>
        <w:t xml:space="preserve">Enquête par grappes d’indicateurs (MICS) et autres enquêtes nationales possibles. </w:t>
        <w:br/>
        <w:t>Un exemple d’ensemble de trois questions est le suivant :</w:t>
        <w:br/>
        <w:t>(1)    Pouvez-vous dire non à votre (mari/partenaire) si vous ne souhaitez pas avoir de rapports sexuels ?</w:t>
        <w:br/>
        <w:t>un. Oui</w:t>
        <w:br/>
        <w:t>b. Non</w:t>
        <w:br/>
        <w:t>c. Cela dépend/Je ne suis pas sûr</w:t>
        <w:br/>
        <w:t>(2)    Diriez-vous que l'utilisation de la contraception est principalement votre décision, principalement la décision de votre mari/partenaire, ou avez-vous tous les deux décidé ensemble ?</w:t>
        <w:br/>
        <w:t>un. Principalement Répondant</w:t>
        <w:br/>
        <w:t>b. Principalement mari/partenaire</w:t>
        <w:br/>
        <w:t>c. Décision conjointe</w:t>
        <w:br/>
        <w:t>d. Autre (préciser) ________________</w:t>
        <w:br/>
        <w:t>(3)    Qui prend habituellement les décisions concernant les soins de santé pour vous-même ?</w:t>
        <w:br/>
        <w:t>un. Vous</w:t>
        <w:br/>
        <w:t>b. Votre mari/partenaire</w:t>
        <w:br/>
        <w:t>c. Vous et votre mari/partenaire conjointement</w:t>
        <w:br/>
        <w:t xml:space="preserve">d.Quelqu'un d'autre </w:t>
        <w:br/>
        <w:t xml:space="preserve">Seules les femmes qui fournissent les bonnes réponses aux trois composantes sont considérées comme des femmes qui « prennent leurs propres décisions en matière de sexualité ». </w:t>
        <w:br/>
        <w:t xml:space="preserve">relations sexuelles, utilisation des contraceptifs et soins de santé reproductive ». Il s’agit de femmes qui ont déclaré qu’elles « pouvaient dire non à leur mari ou partenaire si </w:t>
        <w:br/>
        <w:t xml:space="preserve">elles ne veulent pas avoir de rapports sexuels », qui décident d'utiliser la contraception soit seules, soit conjointement avec leur mari ou leur partenaire, et </w:t>
        <w:br/>
        <w:t xml:space="preserve">qui décident de leurs propres soins de santé, soit seules, soit conjointement avec leur mari/partenaire. </w:t>
        <w:br/>
        <w:t>Méthode de calcul :</w:t>
        <w:br/>
        <w:t>Cet indicateur est calculé sur la base des réponses des femmes aux questions de l’enquête concernant :</w:t>
        <w:br/>
        <w:t>(1)    S'ils peuvent dire « NON » aux relations sexuelles avec leur mari/partenaire s'ils ne le souhaitent pas ;</w:t>
        <w:br/>
        <w:t>(2)    S'ils prétendent que l'utilisation de la contraception est principalement leur décision et pas uniquement celle de leur mari/partenaire ; et</w:t>
        <w:br/>
        <w:t xml:space="preserve">(3)    S'ils prennent habituellement des décisions concernant leurs propres soins de santé. </w:t>
        <w:br/>
        <w:t xml:space="preserve">Le pourcentage de femmes (15-49 ans) qui prennent leurs propres décisions concernant les relations sexuelles, l'utilisation de contraceptifs et la santé reproductive </w:t>
        <w:br/>
        <w:t>les soins peuvent être calculés comme :(P ) SCR</w:t>
        <w:br/>
        <w:t>où,</w:t>
        <w:br/>
        <w:t xml:space="preserve">WSCR est le nombre de femmes mariées (ou en union) (15-49 ans) qui répondent « oui » à la question (1), et « principalement répondantes » ou « conjointement » à la question (1). </w:t>
        <w:br/>
        <w:t>questions (2) et (3); et</w:t>
        <w:br/>
        <w:t xml:space="preserve">Wtotal est le nombre total de femmes (15-49 ans) mariées (ou en union). </w:t>
        <w:br/>
        <w:t>Commentaires et limites :</w:t>
        <w:br/>
        <w:t xml:space="preserve">Actuellement, cet indicateur est estimé uniquement sur la base de la réponse des femmes en âge de procréer (15-49 ans) qui utilisent tout type de </w:t>
        <w:br/>
        <w:t xml:space="preserve">contraception, uniquement pour celles qui sont actuellement mariées ou en union. Cependant, dans les prochaines enquêtes démographiques et de santé (EDS), ce </w:t>
        <w:br/>
        <w:t xml:space="preserve">La question est reformulée pour poser des questions sur la décision d'utiliser ou non la contraception de toutes les femmes mariées (ou en union) en âge de procréer. </w:t>
        <w:br/>
        <w:t xml:space="preserve">Dans de nombreux contextes nationaux, les enquêtes auprès des ménages, qui constituent la principale source de données pour cet indicateur, excluent les sans-abri et sont susceptibles de </w:t>
        <w:br/>
        <w:t xml:space="preserve">sous-estimation des statistiques. </w:t>
        <w:br/>
        <w:t>Cet indicateur peut être ventilé par âge, situation géographique, lieu de résidence, niveau d’éducation et quintile de richesse.</w:t>
      </w:r>
    </w:p>
    <w:p>
      <w:pPr>
        <w:pStyle w:val="Heading2"/>
      </w:pPr>
      <w:r>
        <w:t>Page 159</w:t>
      </w:r>
    </w:p>
    <w:p>
      <w:r>
        <w:t>Texte d'en-tête</w:t>
        <w:br/>
        <w:t>Texte de pied de page</w:t>
        <w:br/>
        <w:t>Références</w:t>
        <w:br/>
        <w:t>Organisation(s) internationale(s) de surveillance mondiale</w:t>
        <w:br/>
        <w:t>URL officielle des métadonnées ODD</w:t>
        <w:br/>
        <w:t xml:space="preserve">https://unstats.un.org/sdgs/metadata/files/Metadata-05-06-01.pdf  </w:t>
        <w:br/>
        <w:t>Méthodologie reconnue au niveau international et URL des lignes directrices</w:t>
        <w:br/>
        <w:t xml:space="preserve">Non disponible  </w:t>
        <w:br/>
        <w:t>Autres références</w:t>
        <w:br/>
        <w:t xml:space="preserve">Non disponible </w:t>
        <w:br/>
        <w:t>Exemples de pays</w:t>
        <w:br/>
        <w:t>N/D</w:t>
        <w:br/>
        <w:t>Ce document a été préparé sur la base des contributions du Fonds des Nations Unies pour la population (UNFPA).</w:t>
        <w:br/>
        <w:t>Pour obtenir des informations sur les points focaux pour cet indicateur, veuillez visiter https://unstats.un.org/sdgs/dataContacts/</w:t>
      </w:r>
    </w:p>
    <w:p>
      <w:pPr>
        <w:pStyle w:val="Heading2"/>
      </w:pPr>
      <w:r>
        <w:t>Page 160</w:t>
      </w:r>
    </w:p>
    <w:p>
      <w:r>
        <w:t>Texte d'en-tête</w:t>
        <w:br/>
        <w:t>Texte de pied de page</w:t>
        <w:br/>
        <w:t>Indicateur 5.a.1</w:t>
        <w:br/>
        <w:t>Page d'accueil du manuel électronique</w:t>
        <w:br/>
        <w:t xml:space="preserve"> </w:t>
        <w:br/>
        <w:t>Nom de l’indicateur, cible et objectif</w:t>
        <w:br/>
        <w:t>Définition et justification</w:t>
        <w:br/>
        <w:t>Sources de données et méthode de collecte</w:t>
        <w:br/>
        <w:t>Contenu</w:t>
        <w:br/>
        <w:t>Nom de l’indicateur, cible et objectif</w:t>
        <w:br/>
        <w:t>Définition et justification</w:t>
        <w:br/>
        <w:t>Sources de données et méthode de collecte</w:t>
        <w:br/>
        <w:t>Méthode de calcul et autres considérations méthodologiques</w:t>
        <w:br/>
        <w:t>Désagrégation des données</w:t>
        <w:br/>
        <w:t>Références</w:t>
        <w:br/>
        <w:t>Organisation(s) internationale(s) de surveillance mondiale</w:t>
        <w:br/>
        <w:t xml:space="preserve"> Indicateur 5.a.1 : Proportion de la population agricole totale possédant des droits de propriété ou des droits garantis sur les terres agricoles, par sexe ; et (b) proportion de femmes </w:t>
        <w:br/>
        <w:t>parmi les propriétaires ou ayants droit de terres agricoles, par type de tenure</w:t>
        <w:br/>
        <w:t xml:space="preserve">Cible 5.a : Entreprendre des réformes pour donner aux femmes des droits égaux aux ressources économiques, ainsi qu'un accès à la propriété et au contrôle de la terre et </w:t>
        <w:br/>
        <w:t>autres formes de propriété, services financiers, héritages et ressources naturelles, conformément aux lois nationales</w:t>
        <w:br/>
        <w:t>Objectif 5 : Parvenir à l’égalité des sexes et autonomiser toutes les femmes et les filles</w:t>
        <w:br/>
        <w:t>Définition :</w:t>
        <w:br/>
        <w:t>Cet indicateur est divisé en deux sous-indicateurs :</w:t>
        <w:br/>
        <w:t>Le sous-indicateur (a) est défini comme la proportion de personnes au sein de la population agricole possédant des droits de propriété ou de tenure sur les terres agricoles ; et</w:t>
        <w:br/>
        <w:t xml:space="preserve">Le sous-indicateur (b) est défini comme la proportion de femmes dans la population agricole ayant des droits de propriété ou de tenure sur les terres agricoles. </w:t>
        <w:br/>
        <w:t>Concepts :</w:t>
        <w:br/>
        <w:t xml:space="preserve">Les terres agricoles sont définies, selon le Recensement mondial de l'agriculture 2020 (WCA 2020), comme toute terre soumise à un contrôle temporaire ou temporaire. </w:t>
        <w:br/>
        <w:t xml:space="preserve">cultures permanentes, prairies et pâturages ou est temporairement en jachère. Selon la définition officielle, les terrains situés sous des bâtiments agricoles, des cours de ferme, </w:t>
        <w:br/>
        <w:t xml:space="preserve">les forêts, autres terres boisées, les zones (intérieures) utilisées pour l'aquaculture et les autres zones non classées ailleurs ne sont pas considérées comme des « terres agricoles ». </w:t>
        <w:br/>
        <w:t xml:space="preserve">Cependant, compte tenu de l'importance des cours de ferme pour l'économie familiale et la sécurité alimentaire, et étant donné que les femmes détiennent ou contrôlent fréquemment ces exploitations, </w:t>
        <w:br/>
        <w:t xml:space="preserve">type de terre, il a été décidé d’inclure « cour de ferme » dans la définition des terres agricoles utilisée pour l’indicateur 5.a.1 des ODD. </w:t>
        <w:br/>
        <w:t>La population agricole fait référence aux individus adultes vivant dans des ménages agricoles, c'est-à-dire des ménages qui exploitaient des terres à des fins agricoles et</w:t>
        <w:br/>
        <w:t>/ou élevé du bétail au cours des 12 derniers mois, quel que soit le but final de la production. Si les membres du ménage sont engagés dans l'agriculture o</w:t>
        <w:br/>
        <w:t xml:space="preserve"> en tant qu'ouvriers agricoles, le ménage n'est pas considéré comme un ménage agricole et ses membres ne seront pas évalués sur leur propriété / uniquement</w:t>
        <w:br/>
        <w:t xml:space="preserve">statut foncier sur les terres agricoles. </w:t>
        <w:br/>
        <w:t xml:space="preserve">Les droits de propriété ou de tenure sur les terres agricoles font référence à la satisfaction de trois conditions : la présence de documents légalement reconnus au nom de </w:t>
        <w:br/>
        <w:t xml:space="preserve">l'individu; le droit de vendre ; et le droit de léguer. </w:t>
        <w:br/>
        <w:t>Justification et interprétation :</w:t>
        <w:br/>
        <w:t xml:space="preserve">L'indicateur 5.a.1 vise à surveiller l'équilibre entre les sexes en matière de droits de propriété/occupation des terres agricoles. Cet indicateur comporte deux sous-indicateurs qui </w:t>
        <w:br/>
        <w:t xml:space="preserve">sont basés sur les mêmes données pour surveiller les droits de propriété/occupation sous deux angles différents. Alors que le sous-indicateur (a) utilise le total hommes/femmes </w:t>
        <w:br/>
        <w:t xml:space="preserve">population agricole comme population de référence, et donne des informations sur le nombre d'hommes/femmes qui possèdent/détiennent des terres agricoles, sous-indicateur </w:t>
        <w:br/>
        <w:t xml:space="preserve">(b) se concentre sur la population agricole ayant des droits de propriété/occupation foncière, et donne des informations sur la part des femmes parmi cette population. </w:t>
        <w:br/>
        <w:t>population. Par conséquent, pour calculer ces sous-indicateurs : il suffit d'avoir :</w:t>
        <w:br/>
        <w:t>1) Le nombre d'individus adultes travaillant dans l'agriculture ayant des droits de propriété ou de tenure sur des terres agricoles, par sexe ; et</w:t>
        <w:br/>
        <w:t>2) La population agricole adulte totale</w:t>
      </w:r>
    </w:p>
    <w:p>
      <w:pPr>
        <w:pStyle w:val="Heading2"/>
      </w:pPr>
      <w:r>
        <w:t>Page 161</w:t>
      </w:r>
    </w:p>
    <w:p>
      <w:r>
        <w:t>Texte d'en-tête</w:t>
        <w:br/>
        <w:t>Texte de pied de page</w:t>
        <w:br/>
        <w:t>Méthode de calcul et autres considérations méthodologiques</w:t>
        <w:br/>
        <w:t>Désagrégation des données</w:t>
        <w:br/>
        <w:t>Références</w:t>
        <w:br/>
        <w:t xml:space="preserve">1.  </w:t>
        <w:br/>
        <w:t xml:space="preserve">2.  </w:t>
        <w:br/>
        <w:t xml:space="preserve">1.  </w:t>
        <w:br/>
        <w:t xml:space="preserve">2.  </w:t>
        <w:br/>
        <w:t xml:space="preserve">1.  </w:t>
        <w:br/>
        <w:t xml:space="preserve">2.  </w:t>
        <w:br/>
        <w:t xml:space="preserve">3.  </w:t>
        <w:br/>
        <w:t xml:space="preserve">L'indicateur 5.a.1 se concentre sur les individus adultes vivant dans des ménages agricoles, c'est-à-dire les ménages qui ont pratiqué l'agriculture au cours des 12 dernières années. </w:t>
        <w:br/>
        <w:t>mois. Ainsi, elles peuvent être collectées via des enquêtes agricoles ou des enquêtes nationales auprès des ménages. D'une manière générale, les enquêtes coûtent plus cher.</w:t>
        <w:br/>
        <w:t xml:space="preserve">efficaces que les recensements car ils sont effectués sur un échantillon représentatif qui est ensuite utilisé pour estimer les paramètres de la population </w:t>
        <w:br/>
        <w:t>niveau.</w:t>
        <w:br/>
        <w:t>Les enquêtes agricoles sont une source de données recommandée pour deux raisons principales :</w:t>
        <w:br/>
        <w:t xml:space="preserve">L'unité d'analyse est l'exploitation agricole et, dans la plupart des pays, il existe une relation biunivoque entre le secteur des ménages et </w:t>
        <w:br/>
        <w:t>les exploitations agricoles et les ménages agricoles. Par conséquent, les enquêtes agricoles capturent bien la population de référence de l’indicateur 5.</w:t>
        <w:br/>
        <w:t xml:space="preserve">a.1 (c'est-à-dire les ménages agricoles), et il n'est pas nécessaire de poser des questions de présélection ou de suréchantillonnage pour générer des données à l'échelle nationale. </w:t>
        <w:br/>
        <w:t>estimations représentatives.</w:t>
        <w:br/>
        <w:t xml:space="preserve">Les enquêtes agricoles peuvent facilement répondre à des questions sur les droits de tenure des terres agricoles puisque ces enquêtes collectent fréquemment des données. </w:t>
        <w:br/>
        <w:t xml:space="preserve">concernant les droits sur les terres agricoles et les données sur la production agricole. </w:t>
        <w:br/>
        <w:t>Les Enquêtes nationales auprès des ménages (ENM) sont également des sources de données recommandées pour l'indicateur 5.a.1 pour plusieurs raisons :</w:t>
        <w:br/>
        <w:t>Les enquêtes nationales auprès des ménages constituent la source de données la plus courante disponible dans les pays développés et en développement.</w:t>
        <w:br/>
        <w:t xml:space="preserve">Les enquêtes nationales auprès des ménages ont tendance à avoir une portée très large et sont normalement utilisées pour générer des informations sociales, démographiques et économiques. </w:t>
        <w:br/>
        <w:t xml:space="preserve">statistiques. Par conséquent, ces enquêtes : i) peuvent répondre aux questions nécessaires au calcul de l’indicateur 5.a.1 ; ii) permettre d'explorer </w:t>
        <w:br/>
        <w:t xml:space="preserve">associations entre le statut individuel selon l’indicateur 5.a.1 et d’autres caractéristiques individuelles ou du ménage, telles que l’éducation, </w:t>
        <w:br/>
        <w:t xml:space="preserve">santé, niveau de revenu, etc.; iii) peut inclure des données supplémentaires pour une analyse plus détaillée de l'indicateur (par exemple, la taille du terrain). Cependant, si le NHS est </w:t>
        <w:br/>
        <w:t xml:space="preserve">utilisé pour suivre l’indicateur 5.a.1, il est nécessaire d’identifier les ménages agricoles. En outre, surtout dans les pays/régions à faible </w:t>
        <w:br/>
        <w:t xml:space="preserve">Une proportion de ménages est engagée dans la production agricole. Par conséquent, dans le cas du NHS, un présélection et un suréchantillonnage peuvent </w:t>
        <w:br/>
        <w:t xml:space="preserve">être nécessaires, en particulier dans les zones urbaines et périurbaines. </w:t>
        <w:br/>
        <w:t xml:space="preserve">Les sources alternatives comprennent les recensements de la population et du logement et les recensements agricoles. En principe, les Recensements de la Population et de l'Habitat (PHC) </w:t>
        <w:br/>
        <w:t xml:space="preserve">et les recensements agricoles (CA) peuvent être considérés comme une source de données alternative pour l'indicateur 5.a.1 car, comme les enquêtes auprès des ménages, ces enquêtes </w:t>
        <w:br/>
        <w:t>désigne l'ensemble de la population vivant dans une zone donnée. Les recensements présentent néanmoins certains inconvénients :</w:t>
        <w:br/>
        <w:t xml:space="preserve">Faible fréquence : les recensements sont généralement effectués tous les dix ans. Ils ne permettent donc pas aux pays de suivre de près les progrès </w:t>
        <w:br/>
        <w:t>sur l’indicateur 5.a.1.</w:t>
        <w:br/>
        <w:t>Les recensements sont des opérations à grande échelle et coûteuses axées sur la structure de la population.</w:t>
        <w:br/>
        <w:t xml:space="preserve">Les recensements s’appuient fortement sur des répondants par procuration, une approche qui contraste avec la procédure de sélection des répondants recommandée. </w:t>
        <w:br/>
        <w:t xml:space="preserve">pour l’indicateur 5.a.1. </w:t>
        <w:br/>
        <w:t>Méthode de calcul :</w:t>
        <w:br/>
        <w:t>Les formules suivantes peuvent être utilisées pour calculer les deux sous-indicateurs :</w:t>
        <w:br/>
        <w:t xml:space="preserve">et </w:t>
        <w:br/>
        <w:t>Commentaires et limites :</w:t>
        <w:br/>
        <w:t xml:space="preserve">Les données pour cet indicateur doivent être collectées au moyen de techniques d'échantillonnage appropriées afin d'obtenir un échantillon représentatif. </w:t>
        <w:br/>
        <w:t xml:space="preserve">Lors de la conception du questionnaire, il est essentiel de personnaliser la liste des documents juridiquement contraignants pour ne prendre en compte que les documents qui garantissent </w:t>
        <w:br/>
        <w:t xml:space="preserve">les droits fonciers de l’individu qui sont applicables par la loi du pays. </w:t>
        <w:br/>
        <w:t>Indicateurs proxy, alternatifs et supplémentaires : N/A</w:t>
        <w:br/>
        <w:t xml:space="preserve">Le « niveau de ventilation requis pour le sous-indicateur (a) se rapporte au sexe des individus. De plus, les niveaux « recommandés » de </w:t>
        <w:br/>
        <w:t xml:space="preserve">La ventilation de cet indicateur est le niveau de revenu, les groupes d'âge, les ethnies, la situation géographique (urbaine et rurale), le type d'occupation, le type de l également </w:t>
        <w:br/>
        <w:t>documents reconnus</w:t>
      </w:r>
    </w:p>
    <w:p>
      <w:pPr>
        <w:pStyle w:val="Heading2"/>
      </w:pPr>
      <w:r>
        <w:t>Page 162</w:t>
      </w:r>
    </w:p>
    <w:p>
      <w:r>
        <w:t>Texte d'en-tête</w:t>
        <w:br/>
        <w:t>Texte de pied de page</w:t>
        <w:br/>
        <w:t>Organisation(s) internationale(s) de surveillance mondiale</w:t>
        <w:br/>
        <w:t>URL officielle des métadonnées ODD</w:t>
        <w:br/>
        <w:t xml:space="preserve">https://unstats.un.org/sdgs/metadata/files/Additional-SDG-indicator-metadata-JUL2017.zip  </w:t>
        <w:br/>
        <w:t>Méthodologie reconnue au niveau international et URL des lignes directrices</w:t>
        <w:br/>
        <w:t>FAO :  Mesurer l'indicateur 5.a.1 des ODD : document de référence http://www.fao.org/3/I8808EN/i8808en.pdf</w:t>
        <w:br/>
        <w:t xml:space="preserve">FAO. Rome. Site Internet : Objectifs de développement durable : indicateur 5.a.1. http://www.fao.org/sustainable-development-goals/indicators/5.a.1/en/  </w:t>
        <w:br/>
        <w:t>Autres références :</w:t>
        <w:br/>
        <w:t>:Portail ODD de la FAO et apprentissage en ligne</w:t>
        <w:br/>
        <w:t>FAO. . Disponible sur Indicateurs des objectifs de développement durable http://www.fao.org/sustainable-development-goals/indicators/en/</w:t>
        <w:br/>
        <w:t>FAO. Centre d'apprentissage en ligne. Disponible sur http://www.fao.org/elearning/</w:t>
        <w:br/>
        <w:t>Références supplémentaires :</w:t>
        <w:br/>
        <w:t xml:space="preserve">Lignes directrices pour la production de statistiques sur la propriété d'actifs dans une perspective de genre. Nations Unies, Département des affaires économiques et sociales, </w:t>
        <w:br/>
        <w:t xml:space="preserve">Division de la statistique (à paraître). </w:t>
        <w:br/>
        <w:t>Exemples de pays</w:t>
        <w:br/>
        <w:t>N/D</w:t>
        <w:br/>
        <w:t>Ce document a été préparé sur la base des contributions de l'Organisation des Nations Unies pour l'alimentation et l'agriculture (FAO).</w:t>
        <w:br/>
        <w:t>Pour obtenir des informations sur les points focaux pour cet indicateur, veuillez visiter https://unstats.un.org/sdgs/dataContacts/</w:t>
      </w:r>
    </w:p>
    <w:p>
      <w:pPr>
        <w:pStyle w:val="Heading2"/>
      </w:pPr>
      <w:r>
        <w:t>Page 163</w:t>
      </w:r>
    </w:p>
    <w:p>
      <w:r>
        <w:t>Texte d'en-tête</w:t>
        <w:br/>
        <w:t>Texte de pied de page</w:t>
        <w:br/>
        <w:t>Indicateur 5.b.1</w:t>
        <w:br/>
        <w:t>Page d'accueil du manuel électronique</w:t>
        <w:br/>
        <w:t xml:space="preserve"> </w:t>
        <w:br/>
        <w:t>Nom de l’indicateur, cible et objectif</w:t>
        <w:br/>
        <w:t>Définition et justification</w:t>
        <w:br/>
        <w:t>Sources de données et méthode de collecte</w:t>
        <w:br/>
        <w:t>Méthode de calcul et autres considérations méthodologiques</w:t>
        <w:br/>
        <w:t>Contenu</w:t>
        <w:br/>
        <w:t>Nom de l’indicateur, cible et objectif</w:t>
        <w:br/>
        <w:t>Définition et justification</w:t>
        <w:br/>
        <w:t>Sources de données et méthode de collecte</w:t>
        <w:br/>
        <w:t>Méthode de calcul et autres considérations méthodologiques</w:t>
        <w:br/>
        <w:t>Désagrégation des données</w:t>
        <w:br/>
        <w:t>Références</w:t>
        <w:br/>
        <w:t>Organisation(s) internationale(s) de surveillance mondiale</w:t>
        <w:br/>
        <w:t xml:space="preserve"> Indicateur 5.b.1 : Proportion d'individus possédant un téléphone mobile, par sexe</w:t>
        <w:br/>
        <w:t xml:space="preserve">Cible 5.b : Améliorer l’utilisation des technologies génériques, en particulier des technologies de l’information et des communications, pour promouvoir l’autonomisation des </w:t>
        <w:br/>
        <w:t>les femmes</w:t>
        <w:br/>
        <w:t>Objectif 5 : Parvenir à l’égalité des sexes et autonomiser toutes les femmes et les filles</w:t>
        <w:br/>
        <w:t>Définition :</w:t>
        <w:br/>
        <w:t xml:space="preserve">Cet indicateur est défini comme le pourcentage de personnes possédant un téléphone mobile.  </w:t>
        <w:br/>
        <w:t>Concepts :</w:t>
        <w:br/>
        <w:t>A fait référence à un téléphone portable abonné à un service de téléphonie mobile public utilisant la technologie cellulaire, quel téléphone mobile (cellulaire)</w:t>
        <w:br/>
        <w:t xml:space="preserve">donne accès au réseau téléphonique public commuté (PSTN). Cela inclut les systèmes et technologies cellulaires analogiques et numériques tels que </w:t>
        <w:br/>
        <w:t xml:space="preserve">IMT-2000. </w:t>
        <w:br/>
        <w:t>Un particulier s'il dispose d'un appareil de téléphonie mobile avec au moins une carte SIM active pour son usage personnel. possède un téléphone cellulaire mobile</w:t>
        <w:br/>
        <w:t xml:space="preserve">Les personnes disposant uniquement d'une ou plusieurs cartes SIM actives et non d'un appareil de téléphonie mobile sont exclues. Téléphones cellulaires mobiles fournis par les employeurs qui peuvent </w:t>
        <w:br/>
        <w:t xml:space="preserve">être utilisés à des fins personnelles (pour passer des appels personnels, accéder à Internet, etc.) sont inclus. Personne possédant un téléphone mobile pour son usage personnel </w:t>
        <w:br/>
        <w:t xml:space="preserve">qui n'est pas enregistré à son nom est inclus. Une carte SIM active est une carte SIM qui a été utilisée au cours des trois derniers mois. </w:t>
        <w:br/>
        <w:t>Justification et interprétation :</w:t>
        <w:br/>
        <w:t xml:space="preserve">Les réseaux de téléphonie mobile se sont répandus rapidement au cours de la dernière décennie et le nombre d'abonnements à la téléphonie mobile est quasiment égal au nombre de </w:t>
        <w:br/>
        <w:t xml:space="preserve">les gens vivant sur terre. Cependant, tout le monde n’utilise pas ou ne possède pas un téléphone cellulaire. La possession d'un téléphone portable, en particulier, est </w:t>
        <w:br/>
        <w:t xml:space="preserve">Il est important de suivre l'égalité des sexes puisque le téléphone mobile est un appareil personnel qui, s'il est possédé et pas seulement partagé, offre aux femmes un diplôme. </w:t>
        <w:br/>
        <w:t xml:space="preserve">d'indépendance et d'autonomie, y compris à des fins professionnelles. La recherche montre le lien entre la possession d'un téléphone mobile et </w:t>
        <w:br/>
        <w:t>l’autonomisation et la croissance de la productivité.</w:t>
        <w:br/>
        <w:t xml:space="preserve">La principale source de ces données serait les enquêtes auprès des ménages représentatives au niveau national, menées par les services statistiques nationaux concernés. </w:t>
        <w:br/>
        <w:t xml:space="preserve">bureaux ou ministères concernés des pays.  Cet indicateur fait référence à la possession d'un téléphone mobile par chaque membre du ménage. Le </w:t>
        <w:br/>
        <w:t xml:space="preserve">La période de référence suggérée est les trois derniers mois. Les pratiques nationales varient, mais idéalement, les périodes de référence devraient être alignées afin d'obtenir </w:t>
        <w:br/>
        <w:t xml:space="preserve">données comparables. </w:t>
        <w:br/>
        <w:t>La question modèle est la suivante : possédez-vous un téléphone cellulaire mobile pour votre usage personnel ?  (Oui / Non)</w:t>
        <w:br/>
        <w:t>La question facultative est : (Si oui), de combien de lignes ou de cartes SIM disposez-vous ? Veuillez considérer uniquement ceux qui sont actifs.</w:t>
      </w:r>
    </w:p>
    <w:p>
      <w:pPr>
        <w:pStyle w:val="Heading2"/>
      </w:pPr>
      <w:r>
        <w:t>Page 164</w:t>
      </w:r>
    </w:p>
    <w:p>
      <w:r>
        <w:t>Texte d'en-tête</w:t>
        <w:br/>
        <w:t>Texte de pied de page</w:t>
        <w:br/>
        <w:t>Désagrégation des données</w:t>
        <w:br/>
        <w:t>Références</w:t>
        <w:br/>
        <w:t>Organisation(s) internationale(s) de surveillance mondiale</w:t>
        <w:br/>
        <w:t>Méthode de calcul :</w:t>
        <w:br/>
        <w:t>Le pourcentage d'individus possédant un téléphone portable du sexe peut être calculé comme suit :(P ), s s,</w:t>
        <w:br/>
        <w:t>où,</w:t>
        <w:br/>
        <w:t xml:space="preserve">  est le nombre d'individus du sexe qui possèdent un téléphone portable ; et</w:t>
        <w:br/>
        <w:t>s</w:t>
        <w:br/>
        <w:t xml:space="preserve">  est le nombre total d'individus du sexe </w:t>
        <w:br/>
        <w:t xml:space="preserve">s.  </w:t>
        <w:br/>
        <w:t>De même, le pourcentage de tous les individus possédant un téléphone mobile peut être calculé comme suit :(P ) mobile</w:t>
        <w:br/>
        <w:t>où,</w:t>
        <w:br/>
        <w:t xml:space="preserve"> est le nombre de personnes possédant un téléphone mobile. </w:t>
        <w:br/>
        <w:t>Commentaires et limites :</w:t>
        <w:br/>
        <w:t xml:space="preserve">L'Union internationale des télécommunications (UIT) encourage les pays à collecter ces données par le biais de leurs enquêtes nationales auprès des ménages, car cela est </w:t>
        <w:br/>
        <w:t xml:space="preserve">une mesure relativement nouvelle. Il devrait être ajouté à la liste d’indicateurs de base du Partenariat pour la mesure du développement des TIC. </w:t>
        <w:br/>
        <w:t>Indicateurs proxy, alternatifs et supplémentaires : N/A</w:t>
        <w:br/>
        <w:t xml:space="preserve">Cet indicateur doit être ventilé par sexe. Il peut être ventilé par situation géographique (urbaine/rurale), groupe d'âge, niveau d'éducation, </w:t>
        <w:br/>
        <w:t>situation d’activité et profession.</w:t>
        <w:br/>
        <w:t>URL officielle des métadonnées ODD</w:t>
        <w:br/>
        <w:t xml:space="preserve">https://unstats.un.org/sdgs/metadata/files/Metadata-05-0B-01.pdf  </w:t>
        <w:br/>
        <w:t>Méthodologie reconnue au niveau international et URL des lignes directrices</w:t>
        <w:br/>
        <w:t xml:space="preserve">La définition et la méthodologie de cet indicateur seront incluses dans la future révision du Manuel de l'UIT pour mesurer l'accès et l'utilisation des TIC par </w:t>
        <w:br/>
        <w:t xml:space="preserve">Ménages et individus 2014, disponible sur .  https://www.itu.int/pub/D-IND-ITCMEAS-2014  </w:t>
        <w:br/>
        <w:t>Autres références</w:t>
        <w:br/>
        <w:t>CNUCED (2014). Disponible sur : Mesurer les TIC et le genre : une évaluation. http://unctad.org/en/pages/PublicationWebflyer.aspx?</w:t>
        <w:br/>
        <w:t xml:space="preserve">ID de publication = 924  </w:t>
        <w:br/>
        <w:t>Exemples de pays</w:t>
        <w:br/>
        <w:t>N/D</w:t>
        <w:br/>
        <w:t>Ce document a été préparé sur la base des contributions de l'Union internationale des télécommunications (UIT).</w:t>
        <w:br/>
        <w:t>Pour obtenir des informations sur les points focaux pour cet indicateur, veuillez visiter https://unstats.un.org/sdgs/dataContacts/</w:t>
      </w:r>
    </w:p>
    <w:p>
      <w:pPr>
        <w:pStyle w:val="Heading2"/>
      </w:pPr>
      <w:r>
        <w:t>Page 165</w:t>
      </w:r>
    </w:p>
    <w:p>
      <w:r>
        <w:t>Texte d'en-tête</w:t>
        <w:br/>
        <w:t>Texte de pied de page</w:t>
        <w:br/>
        <w:t>Indicateur 5.c.1</w:t>
        <w:br/>
        <w:t>Page d'accueil du manuel électronique</w:t>
        <w:br/>
        <w:t xml:space="preserve"> </w:t>
        <w:br/>
        <w:t>Nom de l’indicateur, cible et objectif</w:t>
        <w:br/>
        <w:t>Définition et justification</w:t>
        <w:br/>
        <w:t>Contenu</w:t>
        <w:br/>
        <w:t>Nom de l’indicateur, cible et objectif</w:t>
        <w:br/>
        <w:t>Définition et justification</w:t>
        <w:br/>
        <w:t>Sources de données et méthode de collecte</w:t>
        <w:br/>
        <w:t>Méthode de calcul et autres considérations méthodologiques</w:t>
        <w:br/>
        <w:t>Désagrégation des données</w:t>
        <w:br/>
        <w:t>Références</w:t>
        <w:br/>
        <w:t>Organisation(s) internationale(s) de surveillance mondiale</w:t>
        <w:br/>
        <w:t xml:space="preserve"> Indicateur 5.c.1 : Pourcentage de pays dotés de systèmes permettant de suivre et d’allouer des allocations publiques pour l’égalité des sexes et l’autonomisation des femmes</w:t>
        <w:br/>
        <w:t xml:space="preserve">Cible 5.c : Adopter et renforcer des politiques judicieuses et une législation applicable pour la promotion de l’égalité des sexes et de l’autonomisation de tous </w:t>
        <w:br/>
        <w:t>les femmes et les filles à tous les niveaux</w:t>
        <w:br/>
        <w:t>Objectif 5 : Parvenir à l’égalité des sexes et autonomiser toutes les femmes et les filles</w:t>
      </w:r>
    </w:p>
    <w:p>
      <w:pPr>
        <w:pStyle w:val="Heading2"/>
      </w:pPr>
      <w:r>
        <w:t>Page 166</w:t>
      </w:r>
    </w:p>
    <w:p>
      <w:r>
        <w:t>Texte d'en-tête</w:t>
        <w:br/>
        <w:t>Texte de pied de page</w:t>
        <w:br/>
        <w:t>Sources de données et méthode de collecte</w:t>
        <w:br/>
        <w:t>Définition :</w:t>
        <w:br/>
        <w:t xml:space="preserve">Cet indicateur est défini comme le pourcentage de pays qui suivent les allocations budgétaires pour l’égalité des sexes et l’autonomisation des femmes (GEWE). </w:t>
        <w:br/>
        <w:t xml:space="preserve">tout au long du cycle de gestion des finances publiques et rendre ces allocations accessibles au public. </w:t>
        <w:br/>
        <w:t xml:space="preserve">L’indicateur mesure trois critères. La première se concentre sur l’intention d’un gouvernement de lutter contre la GEWE en identifiant s’il dispose de programmes/politiques. </w:t>
        <w:br/>
        <w:t xml:space="preserve">sur la GEWE et les allocations de ressources correspondantes pour soutenir la mise en œuvre. Le deuxième critère évalue si un gouvernement dispose de mécanismes </w:t>
        <w:br/>
        <w:t xml:space="preserve">tout au long du cycle de gestion des finances publiques pour suivre les allocations de ressources en fonction de ces objectifs politiques. Le troisième se concentre sur la transparence des </w:t>
        <w:br/>
        <w:t xml:space="preserve">données en évaluant l’existence de dispositions visant à rendre publiques les informations sur les allocations pour GEWE. </w:t>
        <w:br/>
        <w:t xml:space="preserve">Bien que cet indicateur soit suivi au niveau mondial, un pays peut évaluer son propre statut selon les critères internationaux. Il peut également suivre son </w:t>
        <w:br/>
        <w:t xml:space="preserve">progresser au fil du temps et comparer son système à ceux d’autres pays. </w:t>
        <w:br/>
        <w:t xml:space="preserve">Concepts : </w:t>
        <w:br/>
        <w:t xml:space="preserve">Une évaluation de la situation d’un pays en matière de suivi et de publication des allocations budgétaires pour l’égalité des sexes et l’autonomisation des femmes est nécessaire. </w:t>
        <w:br/>
        <w:t xml:space="preserve">sur la base du questionnaire suivant. </w:t>
        <w:br/>
        <w:t xml:space="preserve">Critère 1. Parmi les aspects suivants des dépenses publiques, lesquels se reflètent dans vos programmes gouvernementaux et leurs allocations de ressources ? (Dans le </w:t>
        <w:br/>
        <w:t xml:space="preserve">dernier exercice financier terminé) </w:t>
        <w:br/>
        <w:t xml:space="preserve">Question 1.1. Existe-t-il des politiques et/ou des programmes gouvernementaux conçus pour répondre à des objectifs bien identifiés en matière d’égalité des sexes, y compris ceux </w:t>
        <w:br/>
        <w:t xml:space="preserve">où l'égalité des sexes n'est pas l'objectif principal (comme les services publics, la protection sociale et les infrastructures) mais intègre des actions pour fermer </w:t>
        <w:br/>
        <w:t xml:space="preserve">des inégalités entre les sexes ? (Oui=1/Non=0) </w:t>
        <w:br/>
        <w:t xml:space="preserve">Question 1.2. Ces politiques et/ou programmes disposent-ils de ressources adéquates allouées dans le budget, suffisantes pour répondre à la fois à leurs objectifs généraux ? </w:t>
        <w:br/>
        <w:t xml:space="preserve">objectifs et leurs objectifs en matière d’égalité des sexes ? (Oui=1/Non=0) </w:t>
        <w:br/>
        <w:t xml:space="preserve">Question 1.3. Existe-t-il des procédures en place pour garantir que ces ressources sont exécutées conformément au budget ? (Oui=1/Non=0) </w:t>
        <w:br/>
        <w:t xml:space="preserve">Critère 2. Dans quelle mesure votre système de gestion des finances publiques promeut-il des objectifs liés au genre ou sensibles au genre ? (Dans le dernier </w:t>
        <w:br/>
        <w:t xml:space="preserve">exercice terminé) </w:t>
        <w:br/>
        <w:t>Question 2.1. Le ministère des Finances/bureau du budget publie-t-il des circulaires téléphoniques ou d’autres directives similaires qui fournissent des orientations spécifiques sur la problématique hommes-femmes ?</w:t>
        <w:br/>
        <w:t xml:space="preserve">des allocations budgétaires réactives ? (Oui=1/Non=0) </w:t>
        <w:br/>
        <w:t>Question 2.2. Les politiques et programmes clés proposés pour inclusion dans le budget sont-ils soumis à une évaluation ex ante de leur impact sur le genre ? (Oui=1</w:t>
        <w:br/>
        <w:t xml:space="preserve">/Non=0) </w:t>
        <w:br/>
        <w:t xml:space="preserve">Question 2.3. Les statistiques et les données ventilées par sexe sont-elles utilisées dans les politiques et programmes clés de manière à éclairer la politique budgétaire ? </w:t>
        <w:br/>
        <w:t xml:space="preserve">des décisions ? (Oui=1/Non=0) </w:t>
        <w:br/>
        <w:t xml:space="preserve">Question 2.4. Le gouvernement fournit-il, dans le contexte du budget, une déclaration claire des objectifs liés au genre (c'est-à-dire une </w:t>
        <w:br/>
        <w:t xml:space="preserve">ou une législation budgétaire sensible au genre) ? (Oui=1/Non=0) </w:t>
        <w:br/>
        <w:t xml:space="preserve">Question 2.5. Les allocations budgétaires sont-elles soumises à un « étiquetage », notamment par des classificateurs fonctionnels, afin d'identifier leur lien avec l'égalité des sexes ? </w:t>
        <w:br/>
        <w:t xml:space="preserve">objectifs ? (Oui=1/Non=0) </w:t>
        <w:br/>
        <w:t xml:space="preserve">Question 2.6. Les politiques et programmes clés sont-ils soumis à une évaluation ex post de leur impact sur le genre ? (Oui=1/Non=0) </w:t>
        <w:br/>
        <w:t>Question 2.7. Le budget dans son ensemble est-il soumis à un audit indépendant pour évaluer dans quelle mesure il promeut des politiques sensibles au genre ? (Oui=1</w:t>
        <w:br/>
        <w:t xml:space="preserve">/Non=0) </w:t>
        <w:br/>
        <w:t xml:space="preserve">Critère 3. Les allocations destinées à l’égalité des sexes et à l’autonomisation des femmes sont-elles rendues publiques ? (Au cours du dernier exercice financier terminé) </w:t>
        <w:br/>
        <w:t xml:space="preserve">Question 3.1. Les données sur les allocations pour l’égalité entre les sexes sont-elles publiées ? (Oui=1/Non=0) </w:t>
        <w:br/>
        <w:t xml:space="preserve">Question 3.2. Si elles sont publiées, ces données ont-elles été publiées de manière accessible sur le ministère des Finances (ou le bureau responsable du budget) </w:t>
        <w:br/>
        <w:t xml:space="preserve">site Web et/ou bulletins officiels ou avis publics connexes ? (Oui=1/Non=0) </w:t>
        <w:br/>
        <w:t xml:space="preserve">Question 3.3. Si oui, les données sur les allocations pour l’égalité des sexes ont-elles été publiées en temps opportun ? (Oui=1/Non=0) </w:t>
        <w:br/>
        <w:t>Justification et interprétation :</w:t>
        <w:br/>
        <w:t xml:space="preserve">Un financement adéquat et efficace est essentiel pour réaliser L’ODD 5 et les cibles liées au genre dans le cadre des ODD. En suivant la ressource </w:t>
        <w:br/>
        <w:t xml:space="preserve">allocations, les gouvernements introduisent des mesures délibérées dans le cycle de planification et de budgétisation pour atteindre leurs objectifs en matière de politique d’égalité des sexes. En faisant </w:t>
        <w:br/>
        <w:t xml:space="preserve">Ces allocations étant rendues publiques, les gouvernements s’engagent à des niveaux plus élevés de transparence et de responsabilité dans la prise de décision budgétaire. </w:t>
        <w:br/>
        <w:t xml:space="preserve">Il s’agit d’un indicateur sur les caractéristiques du système fiscal, et non sur la quantité ou la qualité des ressources financières allouées au genre. </w:t>
        <w:br/>
        <w:t xml:space="preserve">l’égalité et l’autonomisation des femmes. Cela peut inciter les gouvernements à mettre en place un système permettant de suivre et d’allouer des ressources publiques qui </w:t>
        <w:br/>
        <w:t xml:space="preserve">peuvent alors éclairer l’examen des politiques, une meilleure formulation des politiques et une gestion des finances publiques plus efficace. Le système devrait être dirigé par le ministère </w:t>
        <w:br/>
        <w:t xml:space="preserve">des Finances en collaboration avec les ministères sectoriels et les Machines nationales de promotion de la femme et supervisé par un organisme approprié tel que </w:t>
        <w:br/>
        <w:t>Parlement ou auditeurs publics.</w:t>
      </w:r>
    </w:p>
    <w:p>
      <w:pPr>
        <w:pStyle w:val="Heading2"/>
      </w:pPr>
      <w:r>
        <w:t>Page 167</w:t>
      </w:r>
    </w:p>
    <w:p>
      <w:r>
        <w:t>Texte d'en-tête</w:t>
        <w:br/>
        <w:t>Texte de pied de page</w:t>
        <w:br/>
        <w:t>Méthode de calcul et autres considérations méthodologiques</w:t>
        <w:br/>
        <w:t>Désagrégation des données</w:t>
        <w:br/>
        <w:t xml:space="preserve">À l'échelle mondiale, le processus de collecte de données pour l'indicateur sera entrepris dans le cadre du suivi au niveau des pays mené par le biais du Global </w:t>
        <w:br/>
        <w:t xml:space="preserve">Cadre de suivi du Partenariat pour une coopération efficace au développement. Le suivi du Partenariat mondial est dirigé par des coordinateurs nationaux </w:t>
        <w:br/>
        <w:t xml:space="preserve">nommés par leur gouvernement respectif pour coordonner la collecte et la validation des données entre les ministères, départements et départements gouvernementaux concernés. </w:t>
        <w:br/>
        <w:t xml:space="preserve">agences. </w:t>
        <w:br/>
        <w:t xml:space="preserve">Un questionnaire électronique accompagné de conseils de suivi est utilisé pour collecter des données sur cet indicateur. Ceux-ci sont généralement envoyés au </w:t>
        <w:br/>
        <w:t xml:space="preserve">Ministère des Finances ou agence en charge du budget de l'État. Le coordinateur national assurera la liaison avec le ministère des Finances, le ministère de </w:t>
        <w:br/>
        <w:t xml:space="preserve">Femmes et autres ministères concernés pour remplir le questionnaire. Cela fournira des informations permettant à un pays d'évaluer son propre statut en fonction </w:t>
        <w:br/>
        <w:t>aux critères internationaux.</w:t>
        <w:br/>
        <w:t xml:space="preserve">Méthode de calcul : </w:t>
        <w:br/>
        <w:t xml:space="preserve">La méthode de calcul pour l’agrégation globale de l’indicateur 5.c.1 est définie comme suit : </w:t>
        <w:br/>
        <w:t xml:space="preserve">L’indicateur comprend un système de notation structuré comme une mesure « d’échelle » en classant les pays, en fonction de leurs réponses, dans l’une des trois catégories suivantes : </w:t>
        <w:br/>
        <w:t xml:space="preserve">catégories : « répond pleinement aux exigences », « s’approche des exigences » et « ne répond pas aux exigences ». L’utilisation d’une notation échelonnée peut encourager </w:t>
        <w:br/>
        <w:t xml:space="preserve">pays à améliorer leurs systèmes de suivi et à montrer les progrès réalisés au fil du temps. </w:t>
        <w:br/>
        <w:t>Le statut d’un pays pour cet indicateur est calculé sur la base du tableau ci-dessous :</w:t>
        <w:br/>
        <w:t xml:space="preserve">  Exigences par critère</w:t>
        <w:br/>
        <w:t>Un pays satisfera au critère 1 s’il répond « Oui » à 2 questions sur 3 du critère 1.</w:t>
        <w:br/>
        <w:t>Un pays satisfera au critère 2 s’il répond « Oui » à 4 questions sur 7 du critère 2.</w:t>
        <w:br/>
        <w:t>Un pays satisfera au critère 3 s’il répond « Oui » à 2 questions sur 3 du critère 3.</w:t>
        <w:br/>
        <w:t xml:space="preserve">Chaque question au sein de chaque critère a le même poids. Un pays devrait satisfaire au seuil de réponses « oui » par critère pour satisfaire </w:t>
        <w:br/>
        <w:t xml:space="preserve">chaque critère. Les pays sont ensuite classés comme suit : « satisfait pleinement aux exigences » si tous les critères sont satisfaits ; « se rapproche des exigences » si un ou deux des </w:t>
        <w:br/>
        <w:t xml:space="preserve">Les critères sont satisfaits ; et « ne répond pas aux exigences » si aucun critère n’est satisfait. </w:t>
        <w:br/>
        <w:t>Commentaires et limites :</w:t>
        <w:br/>
        <w:t xml:space="preserve">L'indicateur ne mesure pas l'allocation des ressources mais l'existence de mécanismes permettant de suivre l'allocation des ressources et qui permettent de </w:t>
        <w:br/>
        <w:t xml:space="preserve">informations accessibles au public. Cependant, il existe une question facultative dans le questionnaire (non notée) qui demande aux pays de déclarer </w:t>
        <w:br/>
        <w:t xml:space="preserve">pourcentage du budget gouvernemental alloué aux programmes d’égalité des sexes. Une autre limite est que l'indicateur, qui est orienté processus, </w:t>
        <w:br/>
        <w:t xml:space="preserve">ne fournit pas de données sur l’adéquation ou la qualité des allocations de ressources. </w:t>
        <w:br/>
        <w:t>Sous-indicateur, indicateurs alternatifs et supplémentaires : N/A</w:t>
        <w:br/>
        <w:t>a)      Les proportions mondiales de classification des deux pays suivantes seront également indiquées :</w:t>
        <w:br/>
        <w:t>a)      Ventilation supplémentaire par région comme suit :</w:t>
        <w:br/>
        <w:t>Où fait référence à la région d’analyse et à la classification des pays basée sur le questionnaire.x y</w:t>
      </w:r>
    </w:p>
    <w:p>
      <w:pPr>
        <w:pStyle w:val="Heading2"/>
      </w:pPr>
      <w:r>
        <w:t>Page 168</w:t>
      </w:r>
    </w:p>
    <w:p>
      <w:r>
        <w:t>Texte d'en-tête</w:t>
        <w:br/>
        <w:t>Texte de pied de page</w:t>
        <w:br/>
        <w:t>Références</w:t>
        <w:br/>
        <w:t>Organisation(s) internationale(s) de surveillance mondiale</w:t>
        <w:br/>
        <w:t>URL officielle des métadonnées ODD</w:t>
        <w:br/>
        <w:t>https://unstats.un.org/sdgs/metadata/files/Metadata-05-0c-01.pdf</w:t>
        <w:br/>
        <w:t>Méthodologie reconnue au niveau international et URL des lignes directrices</w:t>
        <w:br/>
        <w:t xml:space="preserve">N/D </w:t>
        <w:br/>
        <w:t>Autres références</w:t>
        <w:br/>
        <w:t>Des informations sur le Partenariat mondial pour un développement efficace peuvent être trouvées ici : http://effectivecooperation.org/about/global-</w:t>
        <w:br/>
        <w:t xml:space="preserve"> cadre-de-suivi/</w:t>
        <w:br/>
        <w:t>D'autres documents techniques utiles sur la manière d'intégrer l'égalité des sexes dans les systèmes de gestion des finances publiques peuvent être trouvés ici : http://gender-</w:t>
        <w:br/>
        <w:t xml:space="preserve"> financement.unwomen.org/fr</w:t>
        <w:br/>
        <w:t>Recherche du FMI sur la budgétisation sensible au genre : https://www.imf.org/external/np/res/dfidimf/topic7.htm https://www.imf.org/external/pubs/ft/wp/2016</w:t>
        <w:br/>
        <w:t xml:space="preserve"> /wp16149.pdf</w:t>
        <w:br/>
        <w:t>Budgétisation sensible au genre dans les pays de l'OCDE : https://www.oecd.org/gender/Gender-Budgeting-in-OECD-countries.pdf</w:t>
        <w:br/>
        <w:t xml:space="preserve">Informations sur le programme de dépenses publiques et de responsabilité financière (PEFA) qui fournit des orientations sur l'évaluation des finances publiques </w:t>
        <w:br/>
        <w:t>les systèmes de gestion peuvent être trouvés ici : http://www.pefa.org/en</w:t>
        <w:br/>
        <w:t>Ce document a été préparé sur la base des contributions d'ONU Femmes et de l'OCDE.</w:t>
        <w:br/>
        <w:t>Pour obtenir des informations sur les points focaux pour cet indicateur, veuillez visiter https://unstats.un.org/sdgs/dataContacts/</w:t>
      </w:r>
    </w:p>
    <w:p>
      <w:pPr>
        <w:pStyle w:val="Heading2"/>
      </w:pPr>
      <w:r>
        <w:t>Page 169</w:t>
      </w:r>
    </w:p>
    <w:p>
      <w:r>
        <w:t>Texte d'en-tête</w:t>
        <w:br/>
        <w:t>Texte de pied de page</w:t>
        <w:br/>
        <w:t>Objectif 6</w:t>
        <w:br/>
        <w:t xml:space="preserve">Assurer la disponibilité et la gestion durable de l’eau et </w:t>
        <w:br/>
        <w:t>assainissement pour tous</w:t>
        <w:br/>
        <w:t>Page d'accueil du manuel électronique</w:t>
        <w:br/>
        <w:t>Dans cet objectif :</w:t>
        <w:br/>
        <w:t xml:space="preserve">La Division de statistique des Nations Unies (DSNU) a travaillé en consultation avec l'agence(s) dépositaire(s) de chaque indicateur pour préparer ces chapitres. Pour </w:t>
        <w:br/>
        <w:t>les indicateurs qui n’ont pas encore de chapitre ici, sont en cours de préparation et seront téléchargés ici dès qu’ils seront disponibles.</w:t>
        <w:br/>
        <w:t>Si vous avez des questions sur le manuel électronique, n'hésitez pas à contacter M. Yuxi Zhang ( yuxi.zhang@un.org) avec copie à M. Ze Yar Min (min@</w:t>
        <w:br/>
        <w:t>.un.org)</w:t>
      </w:r>
    </w:p>
    <w:p>
      <w:pPr>
        <w:pStyle w:val="Heading2"/>
      </w:pPr>
      <w:r>
        <w:t>Page 170</w:t>
      </w:r>
    </w:p>
    <w:p>
      <w:r>
        <w:t>Texte d'en-tête</w:t>
        <w:br/>
        <w:t>Texte de pied de page</w:t>
        <w:br/>
        <w:t>Indicateur 6.1.1</w:t>
        <w:br/>
        <w:t>Page d'accueil du manuel électronique</w:t>
        <w:br/>
        <w:t xml:space="preserve"> </w:t>
        <w:br/>
        <w:t>Nom de l’indicateur, cible et objectif</w:t>
        <w:br/>
        <w:t>Définition et justification</w:t>
        <w:br/>
        <w:t>Sources de données et méthode de collecte</w:t>
        <w:br/>
        <w:t>Contenu</w:t>
        <w:br/>
        <w:t>Nom de l’indicateur, cible et objectif</w:t>
        <w:br/>
        <w:t>Définition et justification</w:t>
        <w:br/>
        <w:t>Sources de données et méthode de collecte</w:t>
        <w:br/>
        <w:t>Méthode de calcul et autres considérations méthodologiques</w:t>
        <w:br/>
        <w:t>Désagrégation des données</w:t>
        <w:br/>
        <w:t>Références</w:t>
        <w:br/>
        <w:t>Organisation(s) internationale(s) de surveillance mondiale</w:t>
        <w:br/>
        <w:t xml:space="preserve"> Indicateur 6.1.1 : Proportion de la population utilisant des services d’eau potable gérés en toute sécurité  </w:t>
        <w:br/>
        <w:t>Cible 6.1 : D’ici 2030, parvenir à un accès universel et équitable à une eau potable salubre et abordable pour tous</w:t>
        <w:br/>
        <w:t>Objectif 6 : Assurer la disponibilité et la gestion durable de l’eau et de l’assainissement pour tous</w:t>
        <w:br/>
        <w:t>Définition :</w:t>
        <w:br/>
        <w:t xml:space="preserve">Cet indicateur est défini comme la proportion de la population utilisant une source d'eau potable améliorée, accessible sur place, disponible lorsque </w:t>
        <w:br/>
        <w:t xml:space="preserve">nécessaires et exempts de contamination fécale et chimique prioritaire. </w:t>
        <w:br/>
        <w:t>Concepts :</w:t>
        <w:br/>
        <w:t xml:space="preserve">Les sources d'eau potable améliorées comprennent l'eau courante dans l'habitation, la cour ou le terrain (sur place) ; robinets ou bornes-fontaines publics ; des forages ou des puits tubulaires ; </w:t>
        <w:br/>
        <w:t xml:space="preserve">puits creusés protégés; sources protégées; eau conditionnée; eau distribuée et eau de pluie. </w:t>
        <w:br/>
        <w:t xml:space="preserve">Une source d'eau est considérée comme étant si le point de collecte se trouve à l'intérieur de l'habitation, de la cour ou de la parcelle. accessible sur place  </w:t>
        <w:br/>
        <w:t xml:space="preserve">La disponibilité en cas de besoin implique que les ménages puissent accéder à des quantités d’eau suffisantes en cas de besoin. </w:t>
        <w:br/>
        <w:t xml:space="preserve">L'absence de contamination fécale ou chimique fait référence à la conformité aux normes nationales et locales pertinentes. Dans les cas où de telles normes ne </w:t>
        <w:br/>
        <w:t xml:space="preserve">n’existe pas, il est fait référence aux Directives de l’OMS pour la qualité de l’eau potable. </w:t>
        <w:br/>
        <w:t>Justification et interprétation :</w:t>
        <w:br/>
        <w:t xml:space="preserve">Cet indicateur ajoute des dimensions normatives supplémentaires d'accessibilité, de disponibilité et de qualité, interprétées comme une eau potable gérée en toute sécurité. </w:t>
        <w:br/>
        <w:t xml:space="preserve">services, à la mesure existante des OMD qui suivait l’utilisation de « sources d’eau potable améliorées ». Il s'agit d'un indicateur pour mesurer l'accès équitable à des services sûrs. </w:t>
        <w:br/>
        <w:t xml:space="preserve">et une eau potable à un prix abordable. Les sources d’eau potable améliorées ne sont pas nécessairement sûres, mais sont plus susceptibles d’être protégées des agressions extérieures. </w:t>
        <w:br/>
        <w:t xml:space="preserve">contaminants que les sources non améliorées, soit par intervention, soit par leur conception et leur construction. Un meilleur accès à des services gérés en toute sécurité </w:t>
        <w:br/>
        <w:t>les services d’eau potable sont importants car ils contribuent à réduire l’incidence de nombreuses maladies dans le monde.</w:t>
      </w:r>
    </w:p>
    <w:p>
      <w:pPr>
        <w:pStyle w:val="Heading2"/>
      </w:pPr>
      <w:r>
        <w:t>Page 171</w:t>
      </w:r>
    </w:p>
    <w:p>
      <w:r>
        <w:t>Texte d'en-tête</w:t>
        <w:br/>
        <w:t>Texte de pied de page</w:t>
        <w:br/>
        <w:t>Méthode de calcul et autres considérations méthodologiques</w:t>
        <w:br/>
        <w:t>Désagrégation des données</w:t>
        <w:br/>
        <w:t>Références</w:t>
        <w:br/>
        <w:t xml:space="preserve">La donnée sous-jacente à cet indicateur, l'utilisation de sources d'eau potable améliorées, est un indicateur de base pour la plupart des enquêtes et recensements auprès des ménages, et </w:t>
        <w:br/>
        <w:t xml:space="preserve">est régulièrement collectée par les bureaux nationaux de statistique. Les enquêtes auprès des ménages et les recensements fournissent actuellement des informations sur les types d'eau potable. </w:t>
        <w:br/>
        <w:t xml:space="preserve">sources, et indiquez également si les sources se trouvent sur place. Ces sources de données contiennent souvent des informations sur la disponibilité de l'eau et, de plus en plus, sur </w:t>
        <w:br/>
        <w:t xml:space="preserve">la qualité de l’eau au niveau des ménages, grâce à des tests directs de l’eau potable pour détecter toute contamination fécale ou chimique. Pour renforcer encore </w:t>
        <w:br/>
        <w:t xml:space="preserve">précision des données sur la qualité de l'eau, les données obtenues à partir des enquêtes peuvent être comparées aux données sur la disponibilité et le respect de l'eau potable </w:t>
        <w:br/>
        <w:t xml:space="preserve">normes de qualité (microbiologiques et chimiques) émanant des organismes de reporting administratif ou de réglementation. </w:t>
        <w:br/>
        <w:t xml:space="preserve">Certaines des enquêtes auprès des ménages représentatives au niveau national qui collectent généralement des informations sur l'eau et l'assainissement comprennent des indicateurs multiples. </w:t>
        <w:br/>
        <w:t xml:space="preserve">Enquêtes par grappes (MICS), enquêtes démographiques sur la santé (EDS), enquêtes sur la santé mondiale (WHS), enquêtes sur les niveaux de vie et mesures </w:t>
        <w:br/>
        <w:t xml:space="preserve">(LSMS), les questionnaires sur les indicateurs de base du bien-être (CWIQ) et le Projet panarabe d'enquêtes sur la santé familiale (PAPFAM). Les questions de l'enquête </w:t>
        <w:br/>
        <w:t xml:space="preserve">et les catégories de réponses relatives à l'eau potable sont entièrement harmonisées entre les MICS et les EDS. </w:t>
        <w:br/>
        <w:t xml:space="preserve">En outre, les ministères compétents et les sociétés de distribution d'eau tiennent généralement des registres basés sur le nombre et le type de systèmes d'approvisionnement en eau construits ou sur les </w:t>
        <w:br/>
        <w:t xml:space="preserve">nombre de branchements domestiques maintenus. Les données basées sur les prestataires n'incluent pas les installations réellement utilisées. Elles ne sont donc utilisées que </w:t>
        <w:br/>
        <w:t xml:space="preserve">pour les pays qui ne disposent pas de données d’enquête ou de recensement sur l’accès ou l’utilisation des sources d’eau potable. Toutefois, ces sources administratives peuvent avoir </w:t>
        <w:br/>
        <w:t xml:space="preserve">Il existe bien plus de données sur la qualité de l’eau, en particulier pour l’approvisionnement en eau courante, que celles que l’on peut obtenir grâce aux enquêtes auprès des ménages.  </w:t>
        <w:br/>
        <w:t xml:space="preserve">Le Programme conjoint OMS/UNICEF de surveillance de l’approvisionnement en eau, de l’assainissement et de l’hygiène (JMP) estime l’utilisation d’eau potable améliorée. </w:t>
        <w:br/>
        <w:t xml:space="preserve">sources, ainsi que la mesure dans laquelle ces sources sont situées sur place, disponibles en cas de besoin et exemptes de substances microbiologiques et </w:t>
        <w:br/>
        <w:t xml:space="preserve">contamination chimique, pour chaque pays. </w:t>
        <w:br/>
        <w:t>Méthode de calcul :</w:t>
        <w:br/>
        <w:t>Le pourcentage de la population utilisant des services d’eau potable gérés en toute sécurité peut être calculé comme :(P )SMDWS</w:t>
        <w:br/>
        <w:t>où,</w:t>
        <w:br/>
        <w:t>N amélioré est le nombre de personnes (ou de ménages) qui utilisent des sources d’eau potable améliorées ;</w:t>
        <w:br/>
        <w:t xml:space="preserve">P les locaux disponibles et exempts de contamination sont la proportion pondérée par la population des sources d'eau potable améliorées situées dans les locaux, </w:t>
        <w:br/>
        <w:t>disponibles en cas de besoin et exempts de contamination fécale et chimique prioritaire ; et</w:t>
        <w:br/>
        <w:t xml:space="preserve">NTotal est le nombre total de personnes (ou de ménages) dans le pays. </w:t>
        <w:br/>
        <w:t>Commentaires et limites :</w:t>
        <w:br/>
        <w:t xml:space="preserve">Les données sur la disponibilité et la qualité de l'eau potable sont de plus en plus disponibles grâce à une combinaison d'enquêtes auprès des ménages et de mesures administratives. </w:t>
        <w:br/>
        <w:t xml:space="preserve">sources, y compris les régulateurs, mais les définitions ne sont pas toujours standardisées. </w:t>
        <w:br/>
        <w:t>Indicateurs proxy, alternatifs et supplémentaires : N/A</w:t>
        <w:br/>
        <w:t xml:space="preserve">Cet indicateur peut être ventilé par lieu de résidence (urbain/rural), statut socio-économique (richesse, accessibilité financière), inégalité (infranationale, </w:t>
        <w:br/>
        <w:t>groupes défavorisés, etc.) et le niveau de service (y compris l’absence de services, les services de base et gérés en toute sécurité).</w:t>
      </w:r>
    </w:p>
    <w:p>
      <w:pPr>
        <w:pStyle w:val="Heading2"/>
      </w:pPr>
      <w:r>
        <w:t>Page 172</w:t>
      </w:r>
    </w:p>
    <w:p>
      <w:r>
        <w:t>Texte d'en-tête</w:t>
        <w:br/>
        <w:t>Texte de pied de page</w:t>
        <w:br/>
        <w:t>Organisation(s) internationale(s) de surveillance mondiale</w:t>
        <w:br/>
        <w:t>URL officielle des métadonnées ODD</w:t>
        <w:br/>
        <w:t xml:space="preserve">https://unstats.un.org/sdgs/metadata/files/Metadata-06-01-01.pdf  </w:t>
        <w:br/>
        <w:t>Méthodologie reconnue au niveau international et URL des lignes directrices</w:t>
        <w:br/>
        <w:t xml:space="preserve">https://washdata.org/  </w:t>
        <w:br/>
        <w:t>Autres références</w:t>
        <w:br/>
        <w:t>Notes d'information de l'UNICEF sur les indicateurs des ODD :</w:t>
        <w:br/>
        <w:t>UNICEF. Disponible sur Notes d’information sur les indicateurs mondiaux des ODD liés aux enfants. https://data.unicef.org/resources/sdg-global-indicators-rated-</w:t>
        <w:br/>
        <w:t>aux-enfants/</w:t>
        <w:br/>
        <w:t>Références supplémentaires :</w:t>
        <w:br/>
        <w:t>OMS et UNICEF (2017). Disponible sur : Progrès en matière d’eau potable, d’assainissement et d’hygiène : mise à jour 2017 et références des ODD. https://washdata.</w:t>
        <w:br/>
        <w:t>org/report/jmp-2017-report-final</w:t>
        <w:br/>
        <w:t>OMS (2017). Genève. Disponible sur : Eau potable gérée en toute sécurité – Rapport thématique sur l’eau potable 2017. https://washdata.org/report/jmp-</w:t>
        <w:br/>
        <w:t>2017-tr-smdw</w:t>
        <w:br/>
        <w:t>OMS (2011). Genève. Disponible à : Lignes directrices pour la qualité de l’eau potable. Quatrième édition. http://apps.who.int/iris/bitstream/10665/44584/1</w:t>
        <w:br/>
        <w:t xml:space="preserve">/9789241548151_fra.pdf </w:t>
        <w:br/>
        <w:t xml:space="preserve">Exemples de pays </w:t>
        <w:br/>
        <w:t>N/D</w:t>
        <w:br/>
        <w:t>Ce document a été préparé sur la base des contributions de l’Organisation mondiale de la santé (OMS) et du Fonds des Nations Unies pour l’enfance (UNICEF).</w:t>
        <w:br/>
        <w:t>Pour obtenir des informations sur les points focaux pour cet indicateur, veuillez visiter https://unstats.un.org/sdgs/dataContacts/</w:t>
      </w:r>
    </w:p>
    <w:p>
      <w:pPr>
        <w:pStyle w:val="Heading2"/>
      </w:pPr>
      <w:r>
        <w:t>Page 173</w:t>
      </w:r>
    </w:p>
    <w:p>
      <w:r>
        <w:t>Texte d'en-tête</w:t>
        <w:br/>
        <w:t>Texte de pied de page</w:t>
        <w:br/>
        <w:t>Indicateur 6.2.1</w:t>
        <w:br/>
        <w:t>Page d'accueil du manuel électronique</w:t>
        <w:br/>
        <w:t xml:space="preserve"> </w:t>
        <w:br/>
        <w:t>Nom de l’indicateur, cible et objectif</w:t>
        <w:br/>
        <w:t>Définition et justification</w:t>
        <w:br/>
        <w:t>Sources de données et méthode de collecte</w:t>
        <w:br/>
        <w:t>Contenu</w:t>
        <w:br/>
        <w:t>Nom de l’indicateur, cible et objectif</w:t>
        <w:br/>
        <w:t>Définition et justification</w:t>
        <w:br/>
        <w:t>Sources de données et méthode de collecte</w:t>
        <w:br/>
        <w:t>Méthode de calcul et autres considérations méthodologiques</w:t>
        <w:br/>
        <w:t>Désagrégation des données</w:t>
        <w:br/>
        <w:t>Références</w:t>
        <w:br/>
        <w:t>Organisation(s) internationale(s) de surveillance mondiale</w:t>
        <w:br/>
        <w:t xml:space="preserve"> Indicateur 6.2.1 : Proportion de la population utilisant (a) des services d'assainissement gérés en toute sécurité, et (b) une installation de lavage des mains avec de l'eau et du savon</w:t>
        <w:br/>
        <w:t xml:space="preserve">Cible 6.2 : D’ici 2030, assurer l’accès de tous à des services d’assainissement et d’hygiène adéquats et équitables et mettre fin à la défécation à l’air libre, en accordant une attention particulière </w:t>
        <w:br/>
        <w:t>aux besoins des femmes, des filles et des personnes en situation de vulnérabilité</w:t>
        <w:br/>
        <w:t>Objectif 6 : Assurer la disponibilité et la gestion durable de l’eau et de l’assainissement pour tous</w:t>
        <w:br/>
        <w:t>Définition :</w:t>
        <w:br/>
        <w:t xml:space="preserve">Cet indicateur comprend deux sous-indicateurs : (a) proportion de la population utilisant des services d'assainissement gérés en toute sécurité et (b) proportion de la population </w:t>
        <w:br/>
        <w:t xml:space="preserve">avec une installation de lavage des mains avec de l'eau et du savon. </w:t>
        <w:br/>
        <w:t xml:space="preserve">La proportion de la population utilisant des services d'assainissement gérés en toute sécurité est actuellement mesurée par la proportion de la population utilisant un </w:t>
        <w:br/>
        <w:t xml:space="preserve">installation sanitaire améliorée qui n'est pas partagée avec d'autres ménages et où les excréments sont traités et éliminés en toute sécurité sur place ou transportés </w:t>
        <w:br/>
        <w:t xml:space="preserve">et traités hors site. </w:t>
        <w:br/>
        <w:t>Concepts :</w:t>
        <w:br/>
        <w:t xml:space="preserve">Les installations sanitaires améliorées font référence aux installations sanitaires conçues pour séparer de manière hygiénique les excréments du contact humain.  Ils comprennent la chasse d'eau ou le versement </w:t>
        <w:br/>
        <w:t xml:space="preserve">des toilettes à chasse d'eau vers les égouts, des fosses septiques ou des latrines à fosse, des latrines à fosse améliorées ventilées, des latrines à fosse avec dalle et des toilettes à compost. </w:t>
        <w:br/>
        <w:t xml:space="preserve">Les installations de lavage des mains sont des dispositifs permettant de contenir, de transporter ou de réguler le débit d'eau afin de faciliter le lavage des mains. Cet indicateur a été affiché </w:t>
        <w:br/>
        <w:t xml:space="preserve">être un meilleur indicateur de la pratique du lavage des mains que les auto-évaluations de la pratique du lavage des mains dans les enquêtes. </w:t>
        <w:br/>
        <w:t xml:space="preserve">Traités et éliminés in situ en toute sécurité fait référence aux systèmes d'assainissement sans égouts qui stockent les excréments et dégradent la matière organique par voie biologique. </w:t>
        <w:br/>
        <w:t>processus. Des exemples de traitement et d'élimination sûrs sur place comprennent les latrines à double fosse, les latrines à fosse unique qui sont abandonnées lorsqu'elles sont pleines et les latrines à puits.</w:t>
        <w:br/>
        <w:t xml:space="preserve">fosses septiques fonctionnelles. </w:t>
        <w:br/>
        <w:t xml:space="preserve">Transportés et traités hors site font référence aux pratiques selon lesquelles les excréments (boues fécales) sont transportés du foyer vers un autre endroit pour y être utilisés. </w:t>
        <w:br/>
        <w:t xml:space="preserve">traitement et sortie. Cela inclut à la fois le transport via les égouts ou via d’autres modes utilisant des fosses septiques et des latrines à fosse. </w:t>
        <w:br/>
        <w:t xml:space="preserve">Les processus de traitement secondaires (biologiques) ou supérieurs sont pris en compte pour un assainissement géré en toute sécurité.   </w:t>
        <w:br/>
        <w:t>Justification et interprétation :</w:t>
        <w:br/>
        <w:t xml:space="preserve">S'appuyant sur la cible des OMD consistant à fournir un accès durable à un assainissement de base, cet indicateur ajoute des dimensions supplémentaires en matière d'accessibilité, </w:t>
        <w:br/>
        <w:t xml:space="preserve">acceptabilité et sécurité. En outre, il prend également en compte la gestion sûre des déchets fécaux, comme les rejets d'eaux usées non traitées dans le </w:t>
        <w:br/>
        <w:t xml:space="preserve">l’environnement crée des risques pour la santé publique. </w:t>
        <w:br/>
        <w:t xml:space="preserve">Il est largement admis que le lavage des mains avec du savon constitue la priorité absolue en matière d’hygiène pour améliorer les résultats en matière de santé. Le plus largement accepté et le plus pratique </w:t>
        <w:br/>
        <w:t xml:space="preserve">Un indicateur indirect de la pratique réelle du lavage des mains est l'observation par les enquêteurs dans les enquêtes auprès des ménages de la présence d'installations de lavage des mains avec </w:t>
        <w:br/>
        <w:t>du savon et de l'eau à la maison. Il a été démontré que cette mesure indirecte est plus fiable, plus valide et plus efficace que le comportement autodéclaré.</w:t>
        <w:br/>
        <w:t xml:space="preserve">La donnée sous-jacente à cet indicateur, l'utilisation d'installations sanitaires améliorées, est un indicateur de base pour la plupart des enquêtes et recensements auprès des ménages, et est </w:t>
        <w:br/>
        <w:t xml:space="preserve">régulièrement collectées par les bureaux nationaux de statistique. Des données supplémentaires sur la gestion sûre des déchets fécaux peuvent être obtenues auprès des autorités administratives. </w:t>
        <w:br/>
        <w:t xml:space="preserve">enregistrements. Les données sur le traitement et l'élimination hors site (par exemple dans les stations d'épuration des eaux usées) sont combinées avec les données provenant d'enquêtes et de recensements sur la </w:t>
        <w:br/>
        <w:t xml:space="preserve">nombre de personnes dont les excréments sont évacués hors site pour traitement. Données sur le traitement et l'élimination sur place (par exemple dans des latrines à fosse ou des fosses septiques) </w:t>
        <w:br/>
        <w:t>peut venir des deux ho enquêtes sur les usages et dossiers administratifs.</w:t>
      </w:r>
    </w:p>
    <w:p>
      <w:pPr>
        <w:pStyle w:val="Heading2"/>
      </w:pPr>
      <w:r>
        <w:t>Page 174</w:t>
      </w:r>
    </w:p>
    <w:p>
      <w:r>
        <w:t>Texte d'en-tête</w:t>
        <w:br/>
        <w:t>Texte de pied de page</w:t>
        <w:br/>
        <w:t>Méthode de calcul et autres considérations méthodologiques</w:t>
        <w:br/>
        <w:t>Désagrégation des données</w:t>
        <w:br/>
        <w:t>Références</w:t>
        <w:br/>
        <w:t>Organisation(s) internationale(s) de surveillance mondiale</w:t>
        <w:br/>
        <w:t>Méthode de calcul :</w:t>
        <w:br/>
        <w:t>Le pourcentage de la population utilisant des services d'assainissement gérés en toute sécurité (P) peut être calculé comme : SMS</w:t>
        <w:br/>
        <w:t>Le pourcentage de la population ayant accès à des installations de lavage des mains avec de l'eau et du savon peut être calculé comme : (P )HW</w:t>
        <w:br/>
        <w:t>où,</w:t>
        <w:br/>
        <w:t>N hors site est le nombre de personnes (ou de ménages) utilisant des installations sanitaires améliorées qui ne sont pas partagées et où les excréments sont transportés hors site.</w:t>
        <w:br/>
        <w:t>site, traité et éliminé ;</w:t>
        <w:br/>
        <w:t xml:space="preserve">Non sur site est le nombre de personnes (ou de ménages) utilisant des installations sanitaires améliorées qui ne sont pas partagées et où les excréments sont traités et </w:t>
        <w:br/>
        <w:t>éliminés sur place ;</w:t>
        <w:br/>
        <w:t>N HW est le nombre de personnes (ou de ménages) qui ont accès à des installations de lavage des mains avec de l'eau et du savon sur place ;</w:t>
        <w:br/>
        <w:t xml:space="preserve">NTotal est le nombre total de personnes (ou de ménages) dans le pays </w:t>
        <w:br/>
        <w:t>Commentaires et limites :</w:t>
        <w:br/>
        <w:t xml:space="preserve">La présence d’installations pour le lavage des mains avec de l’eau et du savon ne garantit pas que les membres du ménage se lavent systématiquement les mains aux moments clés, mais </w:t>
        <w:br/>
        <w:t xml:space="preserve">a été accepté comme le mandataire le plus approprié. </w:t>
        <w:br/>
        <w:t>Indicateurs proxy, alternatifs et supplémentaires : N/A</w:t>
        <w:br/>
        <w:t xml:space="preserve">Les données peuvent être ventilées par lieu de résidence (urbain/rural) et statut socio-économique (richesse, accessibilité financière). Ventilation par autres </w:t>
        <w:br/>
        <w:t xml:space="preserve">dimensions, telles que l'inégalité (infranationale, genre, groupes défavorisés, etc.) et le niveau de service (y compris l'absence de services, de base et sûrs). </w:t>
        <w:br/>
        <w:t>services gérés) sont également possibles.</w:t>
        <w:br/>
        <w:t>URL officielle des métadonnées ODD</w:t>
        <w:br/>
        <w:t xml:space="preserve">https://unstats.un.org/sdgs/metadata/files/Metadata-06-02-01.pdf  </w:t>
        <w:br/>
        <w:t>Méthodologie reconnue au niveau international et URL des lignes directrices</w:t>
        <w:br/>
        <w:t xml:space="preserve">https://washdata.org/  </w:t>
        <w:br/>
        <w:t>Autres références</w:t>
        <w:br/>
        <w:t>:Notes d'information de l'UNICEF sur les indicateurs des ODD</w:t>
        <w:br/>
        <w:t>UNICEF. Disponible sur Notes d’information sur les indicateurs mondiaux des ODD liés aux enfants. https://data.unicef.org/resources/sdg-global-indicators-rated-</w:t>
        <w:br/>
        <w:t>aux-enfants/</w:t>
        <w:br/>
        <w:t>:Références supplémentaires</w:t>
        <w:br/>
        <w:t>OMS et UNICEF (2017). Progrès en matière d’eau potable, d’assainissement et d’hygiène : mises à jour 2017 et références des ODD. Disponible sur : https://washdat</w:t>
        <w:br/>
        <w:t>a.org/report/jmp-2017-report-final</w:t>
        <w:br/>
        <w:t>Ram, P. (2013).  Disponible sur : Guide pratique pour mesurer le comportement en matière de lavage des mains. Programme d'approvisionnement en eau et d'assainissement de la Banque mondiale. ht</w:t>
        <w:br/>
        <w:t xml:space="preserve">tps://www.wsp.org/sites/wsp.org/files/publications/WSP-Practical-Guidance-Measuring-Handwashing-Behavior-2013-Update.pdf </w:t>
        <w:br/>
        <w:t xml:space="preserve">Exemples de pays </w:t>
        <w:br/>
        <w:t>N/D</w:t>
      </w:r>
    </w:p>
    <w:p>
      <w:pPr>
        <w:pStyle w:val="Heading2"/>
      </w:pPr>
      <w:r>
        <w:t>Page 175</w:t>
      </w:r>
    </w:p>
    <w:p>
      <w:r>
        <w:t>Texte d'en-tête</w:t>
        <w:br/>
        <w:t>Texte de pied de page</w:t>
        <w:br/>
        <w:t>Ce document a été préparé sur la base des contributions de l’Organisation mondiale de la santé (OMS) et du Fonds des Nations Unies pour l’enfance (UNICEF).</w:t>
        <w:br/>
        <w:t>Pour obtenir des informations sur les points focaux pour cet indicateur, veuillez visiter https://unstats.un.org/sdgs/dataContacts/</w:t>
      </w:r>
    </w:p>
    <w:p>
      <w:pPr>
        <w:pStyle w:val="Heading2"/>
      </w:pPr>
      <w:r>
        <w:t>Page 176</w:t>
      </w:r>
    </w:p>
    <w:p>
      <w:r>
        <w:t>Texte d'en-tête</w:t>
        <w:br/>
        <w:t>Texte de pied de page</w:t>
        <w:br/>
        <w:t>Indicateur 6.4.2</w:t>
        <w:br/>
        <w:t>Page d'accueil du manuel électronique</w:t>
        <w:br/>
        <w:t xml:space="preserve"> </w:t>
        <w:br/>
        <w:t>Nom de l’indicateur, cible et objectif</w:t>
        <w:br/>
        <w:t>Définition et justification</w:t>
        <w:br/>
        <w:t>Sources de données et méthode de collecte</w:t>
        <w:br/>
        <w:t>Contenu</w:t>
        <w:br/>
        <w:t>Nom de l’indicateur, cible et objectif</w:t>
        <w:br/>
        <w:t>Définition et justification</w:t>
        <w:br/>
        <w:t>Sources de données et méthode de collecte</w:t>
        <w:br/>
        <w:t>Méthode de calcul et autres considérations méthodologiques</w:t>
        <w:br/>
        <w:t>Désagrégation des données</w:t>
        <w:br/>
        <w:t>Références</w:t>
        <w:br/>
        <w:t>Organisation(s) internationale(s) de surveillance mondiale</w:t>
        <w:br/>
        <w:t xml:space="preserve"> Indicateur 6.4.2 : Niveau de stress hydrique : prélèvement d'eau douce en proportion des ressources en eau douce disponibles</w:t>
        <w:br/>
        <w:t xml:space="preserve">Cible 6.4 : D’ici 2030, accroître considérablement l’efficacité de l’utilisation de l’eau dans tous les secteurs et garantir des prélèvements et un approvisionnement durables en eau douce. </w:t>
        <w:br/>
        <w:t>lutter contre la pénurie d’eau et réduire considérablement le nombre de personnes souffrant de pénurie d’eau</w:t>
        <w:br/>
        <w:t>Objectif 6 : Assurer la disponibilité et la gestion durable de l’eau et de l’assainissement pour tous</w:t>
        <w:br/>
        <w:t>Définition :</w:t>
        <w:br/>
        <w:t xml:space="preserve">Cet indicateur est défini comme le rapport entre l’eau douce totale prélevée par tous les principaux secteurs et le total des ressources renouvelables en eau douce, après avoir pris en compte </w:t>
        <w:br/>
        <w:t xml:space="preserve">tenir compte des exigences en matière de débits environnementaux. Il est exprimé en pourcentage. </w:t>
        <w:br/>
        <w:t>Concepts :</w:t>
        <w:br/>
        <w:t xml:space="preserve">Le prélèvement total d'eau douce (TFWW) est le volume d'eau douce extrait de sa source (rivières, lacs, aquifères) pour les trois principaux secteurs suivants. </w:t>
        <w:br/>
        <w:t xml:space="preserve">secteurs : agriculture, industries et services (y compris les municipalités et le prélèvement d’eau domestique). Il est estimé au niveau des pays et au </w:t>
        <w:br/>
        <w:t xml:space="preserve">une base annuelle. La catégorie des prélèvements d’eau douce comprend les prélèvements d’eau douce de surface, d’eau souterraine et d’eau souterraine fossile. Il </w:t>
        <w:br/>
        <w:t xml:space="preserve">n’inclut pas l’utilisation directe d’eau non conventionnelle, c’est-à-dire les eaux usées traitées, les eaux de drainage agricoles et l’eau dessalée.  </w:t>
        <w:br/>
        <w:t xml:space="preserve">Les principaux secteurs font référence à l'agriculture, la sylviculture et la pêche (CITI A), les industries extractives, l'industrie manufacturière, la construction et l'énergie (CITI B, C, D et </w:t>
        <w:br/>
        <w:t xml:space="preserve">F), et tous les secteurs de services (CITI E, G-U), y compris l'industrie de la collecte, du traitement et de la fourniture d'eau, tels que définis par la Norme internationale </w:t>
        <w:br/>
        <w:t xml:space="preserve">Classification industrielle (CITI) – révision 4. </w:t>
        <w:br/>
        <w:t xml:space="preserve">Les ressources totales d’eau douce renouvelables (TRWR) sont la somme des ressources d’eau douce renouvelables internes et externes. se référer aux ressources internes </w:t>
        <w:br/>
        <w:t xml:space="preserve">débit annuel moyen à long terme des rivières et recharge des eaux souterraines, générés par les précipitations endogènes, moins le chevauchement entre </w:t>
        <w:br/>
        <w:t xml:space="preserve">eaux de surface et eaux souterraines. faire référence à la part des ressources en eau renouvelables annuelles moyennes à long terme d’un pays qui sont des ressources externes </w:t>
        <w:br/>
        <w:t xml:space="preserve">non générés dans le pays, compte tenu de la quantité de flux réservés aux pays en amont et en aval par le biais d’accords ou de traités. </w:t>
        <w:br/>
        <w:t xml:space="preserve">Les besoins en débits environnementaux (EFR) sont les quantités et le calendrier des débits d'eau douce nécessaires au maintien des écosystèmes d'eau douce et de l'activité humaine. </w:t>
        <w:br/>
        <w:t xml:space="preserve">les moyens de subsistance et le bien-être qui en dépendent. Aux fins de l'indicateur 6.4.2, le concept se limite aux volumes d'eau et exclut tout </w:t>
        <w:br/>
        <w:t xml:space="preserve">considérations liées à la qualité de l’eau et aux services écosystémiques qui en résultent.  </w:t>
        <w:br/>
        <w:t>Justification et interprétation :</w:t>
        <w:br/>
        <w:t xml:space="preserve">Cet indicateur mesure le degré d’exploitation des ressources en eau d’un pays pour répondre à sa demande en eau. Il mesure la pression </w:t>
        <w:br/>
        <w:t xml:space="preserve">sur ses ressources en eau et donc le défi de la durabilité de son utilisation de l’eau. L’indicateur 6.4.2 suit les progrès vers la cible 6.4 et </w:t>
        <w:br/>
        <w:t xml:space="preserve">aborde la dimension environnementale de la pénurie d’eau. </w:t>
        <w:br/>
        <w:t xml:space="preserve">Un faible niveau de stress hydrique indique une situation dans laquelle les prélèvements combinés de tous les secteurs sont marginaux par rapport aux ressources et ont </w:t>
        <w:br/>
        <w:t xml:space="preserve">donc peu d'impact potentiel sur la durabilité des ressources ou sur la concurrence potentielle entre utilisateurs. Un niveau élevé de stress hydrique </w:t>
        <w:br/>
        <w:t xml:space="preserve">indique une situation dans laquelle le prélèvement combiné de tous les secteurs représente une part substantielle du total des ressources renouvelables en eau douce, </w:t>
        <w:br/>
        <w:t xml:space="preserve">avec des impacts potentiellement plus importants sur la durabilité des ressources et des situations potentielles de conflits et de concurrence entre les utilisateurs. </w:t>
        <w:br/>
        <w:t>Le stress hydrique survient lorsque le ratio est supérieur à 25 pour cent, ce qui correspond au seuil de stress hydrique initial.</w:t>
      </w:r>
    </w:p>
    <w:p>
      <w:pPr>
        <w:pStyle w:val="Heading2"/>
      </w:pPr>
      <w:r>
        <w:t>Page 177</w:t>
      </w:r>
    </w:p>
    <w:p>
      <w:r>
        <w:t>Texte d'en-tête</w:t>
        <w:br/>
        <w:t>Texte de pied de page</w:t>
        <w:br/>
        <w:t>Méthode de calcul et autres considérations méthodologiques</w:t>
        <w:br/>
        <w:t>Désagrégation des données</w:t>
        <w:br/>
        <w:t>Références</w:t>
        <w:br/>
        <w:t xml:space="preserve">Les données pour cet indicateur sont généralement collectées par les ministères nationaux et les institutions ayant des questions liées à l'eau dans leur mandat, tels que les ministères </w:t>
        <w:br/>
        <w:t xml:space="preserve">des ressources en eau, de l’agriculture ou de l’environnement. Le calcul de cet indicateur nécessite des données provenant de différents secteurs et sources. Il est crucial </w:t>
        <w:br/>
        <w:t xml:space="preserve">qu’une coordination nationale soit en place pour garantir une collecte rapide et cohérente des données. Toutefois, une institution nationale devrait être identifiée et </w:t>
        <w:br/>
        <w:t xml:space="preserve">chargé d’élaborer l’indicateur. Cette institution procède à une revue approfondie de toutes les unités nationales, infranationales et de bassin. </w:t>
        <w:br/>
        <w:t xml:space="preserve">sources de données pertinentes en utilisant les ressources d’information disponibles. Les unités les plus recommandées sont les bassins fluviaux, regroupés selon les </w:t>
        <w:br/>
        <w:t xml:space="preserve">circonstances propres à chaque pays.  Les données sont principalement publiées dans le cadre des plans directeurs nationaux sur les ressources en eau et l'irrigation, des statistiques nationales. </w:t>
        <w:br/>
        <w:t xml:space="preserve">annuaires et autres rapports (tels que ceux issus de projets, d'enquêtes internationales ou de résultats et publications nationaux et internationaux) </w:t>
        <w:br/>
        <w:t>centres de recherche).</w:t>
        <w:br/>
        <w:t>Méthode de calcul :</w:t>
        <w:br/>
        <w:t xml:space="preserve">L’indicateur de stress hydrique est calculé à l’aide de la formule suivante : </w:t>
        <w:br/>
        <w:t xml:space="preserve">où est la quantité totale d'eau douce prélevée ; représente le total des ressources renouvelables en eau douce ; et sont les flux environnementaux TFWW TRWR EFR </w:t>
        <w:br/>
        <w:t xml:space="preserve">composante d’exigence. Toutes les variables sont exprimées en km/an.3  </w:t>
        <w:br/>
        <w:t>Commentaires et limites :</w:t>
        <w:br/>
        <w:t xml:space="preserve">Le prélèvement d'eau en pourcentage des ressources en eau renouvelables est un bon indicateur de la pression exercée sur des ressources en eau limitées, l'un des indicateurs les plus importants. </w:t>
        <w:br/>
        <w:t xml:space="preserve">ressources naturelles importantes. Cependant, il n’aborde que partiellement les enjeux liés à la gestion durable de l’eau. Indicateurs supplémentaires </w:t>
        <w:br/>
        <w:t xml:space="preserve">qui capturent les multiples dimensions de la gestion de l'eau et combinent des données sur la demande et l'offre en eau, les changements de comportement en matière de </w:t>
        <w:br/>
        <w:t xml:space="preserve">l'utilisation de l'eau et la disponibilité d'infrastructures appropriées, devraient être définies ou consultées simultanément. </w:t>
        <w:br/>
        <w:t>D'autres limites de cet indicateur pourraient être représentées par la difficulté d'obtenir des données précises, complètes et à jour ; de grandes variations de sous-</w:t>
        <w:br/>
        <w:t xml:space="preserve">données nationales; la non-prise en compte des variations saisonnières des ressources en eau ; manque de considération pour la répartition des ressources en eau ; manque de </w:t>
        <w:br/>
        <w:t xml:space="preserve">prise en compte de la qualité de l’eau et de son aptitude à l’utilisation. </w:t>
        <w:br/>
        <w:t xml:space="preserve">Certaines de ces questions peuvent être résolues en désagrégeant l'indice au niveau des unités hydrologiques et en distinguant entre </w:t>
        <w:br/>
        <w:t xml:space="preserve">différents secteurs exigeants en eau. Il faut toutefois veiller à éviter une double comptabilisation en raison de la complexité des flux d’eau. Autre ODD 6 </w:t>
        <w:br/>
        <w:t>les indicateurs fournissent également des informations complémentaires.</w:t>
        <w:br/>
        <w:t xml:space="preserve">Les données pour cet indicateur doivent être collectées chaque année. Toutefois, une période de reporting allant jusqu'à trois ans peut toujours être considérée comme acceptable. </w:t>
        <w:br/>
        <w:t>Indicateurs proxy, alternatifs et supplémentaires : N/A</w:t>
        <w:br/>
        <w:t xml:space="preserve">Cet indicateur peut être ventilé par secteurs, et la demande sectorielle en eau peut être utilisée pour déterminer la proportion de contribution de </w:t>
        <w:br/>
        <w:t>secteurs économiques au stress hydrique global.</w:t>
        <w:br/>
        <w:t xml:space="preserve">Outre la ventilation sectorielle, les actions visant à réduire le stress hydrique peuvent bénéficier de données ventilées dans le temps et dans l’espace. Spatial </w:t>
        <w:br/>
        <w:t xml:space="preserve">la désagrégation de l'indicateur au niveau infranational est fortement recommandée dans la mesure du possible et est particulièrement importante pour les pays plus grands ou ceux </w:t>
        <w:br/>
        <w:t>avec des différences marquées de climat ou de densité de population sur leur territoire. Cela augmente l’utilité de l’indicateur à des fins politiques.</w:t>
        <w:br/>
        <w:t xml:space="preserve">Les données au niveau national, moyennées sur une ou plusieurs années, donnent un aperçu de la situation de stress hydrique. Toutefois, un tel aperçu peut cacher des </w:t>
        <w:br/>
        <w:t xml:space="preserve">des situations qui n’existent que pendant une partie de l’année, une partie du pays ou les deux. Les pays peuvent décider de procéder à une ventilation temporelle détaillée. </w:t>
        <w:br/>
        <w:t>Ceci est particulièrement pertinent pour les pays présentant de fortes variations intra-annuelles/saisonnières des ressources en eau et des modes d’utilisation de l’eau.</w:t>
      </w:r>
    </w:p>
    <w:p>
      <w:pPr>
        <w:pStyle w:val="Heading2"/>
      </w:pPr>
      <w:r>
        <w:t>Page 178</w:t>
      </w:r>
    </w:p>
    <w:p>
      <w:r>
        <w:t>Texte d'en-tête</w:t>
        <w:br/>
        <w:t>Texte de pied de page</w:t>
        <w:br/>
        <w:t>Organisation(s) internationale(s) de surveillance mondiale</w:t>
        <w:br/>
        <w:t>URL officielle des métadonnées ODD</w:t>
        <w:br/>
        <w:t xml:space="preserve">https://unstats.un.org/sdgs/metadata/files/Metadata-06-04-02.pdf  </w:t>
        <w:br/>
        <w:t>Méthodologie reconnue au niveau international et URL des lignes directrices</w:t>
        <w:br/>
        <w:t xml:space="preserve">http://www.unwater.org/publications/step-step-methodology-monitoring-water-stress-6-4-2/ </w:t>
        <w:br/>
        <w:t>Autres références</w:t>
        <w:br/>
        <w:t>Portail ODD de la FAO et apprentissage en ligne :</w:t>
        <w:br/>
        <w:t>FAO. . Disponible sur Indicateurs des objectifs de développement durable http://www.fao.org/sustainable-development-goals/indicators/en/</w:t>
        <w:br/>
        <w:t xml:space="preserve">FAO. Centre d'apprentissage en ligne. Disponible sur http://www.fao.org/elearning/ </w:t>
        <w:br/>
        <w:t>Références supplémentaires :</w:t>
        <w:br/>
        <w:t>FAO. AQUASTAT – Système mondial d’information sur l’eau de la FAO. Rome. Disponible sur : http://www.fao.org/nr/water/aquastat/main/index.stm</w:t>
        <w:br/>
        <w:t>FAO. Rome. Site Internet : Glossaire AQUASTAT. http://www.fao.org/nr/water/aquastat/data/glossary/search.html</w:t>
        <w:br/>
        <w:t>FAO. – Base de données principale du pays. Rome. Disponible sur : AQUASTAT http://www.fao.org/nr/water/aquastat/data/query/index.html?lang=en</w:t>
        <w:br/>
        <w:t>FAO. – Ensembles de données. Rome. Disponible sur : AQUASTAT http://www.fao.org/nr/water/aquastat/sets/index.stm</w:t>
        <w:br/>
        <w:t>FAO. Rome. Site Internet : Sélection de rapports liés à AQUASTAT.  http://www.fao.org/nr/water/aquastat/catalogues/index.stm</w:t>
        <w:br/>
        <w:t>IWMI. Système mondial d’information sur les flux environnementaux. Disponible sur : http://gef.iwmi.org/</w:t>
        <w:br/>
        <w:t>DSNU (2008). CITI - Classification internationale type, par industrie, de toutes les activités économiques (CITI), Rév. 4. Disponible sur : https://unstats.un.org</w:t>
        <w:br/>
        <w:t>/unsd/publication/SeriesM/seriesm_4rev4e.pdf</w:t>
        <w:br/>
        <w:t>DSNU (2016). New York. Disponible sur : Questionnaire sur les statistiques de l'environnement – ​​Section Eau. https://unstats.un.org/unsd/envstats</w:t>
        <w:br/>
        <w:t>/questionnaire</w:t>
        <w:br/>
        <w:t>DSNU (2013). New York. Disponible sur : Cadre pour le développement de statistiques environnementales. https://unstats.un.org/unsd/environment/FDES</w:t>
        <w:br/>
        <w:t>/FDES-2015-outils-d-accompagnement/FDES.pdf</w:t>
        <w:br/>
        <w:t>EUROSTAT (2008). Disponible sur : Manuel de collecte de données pour le questionnaire conjoint OCDE/Eurostat sur les eaux intérieures, tableaux 1 à 7. http://ec.</w:t>
        <w:br/>
        <w:t>europa.eu/eurostat/ramon/coded_files/OECD_ESTAT_JQ_Manual_version_2_21.pdf</w:t>
        <w:br/>
        <w:t>DSNU (2010). New York. Disponible sur : Recommandations internationales pour les statistiques de l'eau (IRWS). https://unstats.un.org/unsd/envaccounting</w:t>
        <w:br/>
        <w:t xml:space="preserve">/irws/ </w:t>
        <w:br/>
        <w:t>Exemples de pays</w:t>
        <w:br/>
        <w:t>N/D</w:t>
        <w:br/>
        <w:t>Ce document a été préparé sur la base des contributions de l'Organisation des Nations Unies pour l'alimentation et l'agriculture (FAO).</w:t>
        <w:br/>
        <w:t>Pour obtenir des informations sur les points focaux pour cet indicateur, veuillez visiter https://unstats.un.org/sdgs/dataContacts/</w:t>
      </w:r>
    </w:p>
    <w:p>
      <w:pPr>
        <w:pStyle w:val="Heading2"/>
      </w:pPr>
      <w:r>
        <w:t>Page 179</w:t>
      </w:r>
    </w:p>
    <w:p>
      <w:r>
        <w:t>Texte d'en-tête</w:t>
        <w:br/>
        <w:t>Texte de pied de page</w:t>
        <w:br/>
        <w:t>Indicateur 6.5.2</w:t>
        <w:br/>
        <w:t>Page d'accueil du manuel électronique</w:t>
        <w:br/>
        <w:t xml:space="preserve"> </w:t>
        <w:br/>
        <w:t>Nom de l’indicateur, cible et objectif</w:t>
        <w:br/>
        <w:t>Définition et justification</w:t>
        <w:br/>
        <w:t>Sources de données et méthode de collecte</w:t>
        <w:br/>
        <w:t>Contenu</w:t>
        <w:br/>
        <w:t>Nom de l’indicateur, cible et objectif</w:t>
        <w:br/>
        <w:t>Définition et justification</w:t>
        <w:br/>
        <w:t>Sources de données et méthode de collecte</w:t>
        <w:br/>
        <w:t>Méthode de calcul et autres considérations méthodologiques</w:t>
        <w:br/>
        <w:t>Désagrégation des données</w:t>
        <w:br/>
        <w:t>Références</w:t>
        <w:br/>
        <w:t>Organisation(s) internationale(s) de surveillance mondiale</w:t>
        <w:br/>
        <w:t xml:space="preserve"> Indicateur 6.5.2 : Proportion de la superficie des bassins transfrontaliers bénéficiant d'un dispositif opérationnel de coopération dans le domaine de l'eau</w:t>
        <w:br/>
        <w:t xml:space="preserve">Cible 6.5 : D’ici 2030, mettre en œuvre une gestion intégrée des ressources en eau à tous les niveaux, notamment par le biais de la coopération transfrontalière. </w:t>
        <w:br/>
        <w:t>approprié</w:t>
        <w:br/>
        <w:t>Objectif 6 : Assurer la disponibilité et la gestion durable de l’eau et de l’assainissement pour tous</w:t>
        <w:br/>
        <w:t>Définition :</w:t>
        <w:br/>
        <w:t xml:space="preserve">Cet indicateur est défini comme le pourcentage de la superficie d'un bassin transfrontalier au sein d'un pays disposant d'un accord opérationnel de coopération dans le domaine de l'eau. </w:t>
        <w:br/>
        <w:t xml:space="preserve">avec d'autres pays. </w:t>
        <w:br/>
        <w:t>Concepts :</w:t>
        <w:br/>
        <w:t xml:space="preserve">Les bassins transfrontaliers comprennent les bassins fluviaux et lacustres et les aquifères partagés entre deux ou plusieurs États souverains. Aux fins de ce </w:t>
        <w:br/>
        <w:t xml:space="preserve">En tant qu’indicateur, l’étendue du bassin correspond au bassin versant des bassins fluviaux et lacustres, ainsi qu’à la superficie des systèmes aquifères transfrontaliers. </w:t>
        <w:br/>
        <w:t xml:space="preserve">An est un traité, une convention, un accord bilatéral ou multilatéral ou tout autre arrangement formel entre un accord de coopération dans le domaine de l'eau. </w:t>
        <w:br/>
        <w:t xml:space="preserve">pays riverains qui fournit un cadre de coopération en matière de gestion des eaux transfrontalières. </w:t>
        <w:br/>
        <w:t xml:space="preserve">Pour qu’un accord de coopération dans le domaine de l’eau soit pris en compte, tous les critères suivants doivent être remplis : opérationnel, </w:t>
        <w:br/>
        <w:t>(1)    Il existe un organe, un mécanisme ou une commission conjoint pour la coopération transfrontalière ;</w:t>
        <w:br/>
        <w:t>(2)    Il existe des communications formelles régulières (au moins une fois par an) entre les pays riverains sous la forme de réunions ;</w:t>
        <w:br/>
        <w:t>(3)    Il existe un ou plusieurs plans de gestion de l'eau conjoints ou coordonnés, ou des objectifs communs établis ont été fixés ; et</w:t>
        <w:br/>
        <w:t xml:space="preserve">(4)    Il existe un échange régulier (au moins une fois par an) de données et d'informations entre les pays riverains.  </w:t>
        <w:br/>
        <w:t>Justification et interprétation :</w:t>
        <w:br/>
        <w:t xml:space="preserve">La plupart des ressources en eau de la planète sont partagées. Une grande partie de la population mondiale réside - et dépend directement de l'approvisionnement en eau -- </w:t>
        <w:br/>
        <w:t xml:space="preserve">par des bassins fluviaux et lacustres ou des aquifères partagés.  Les développements, tels que la régulation des débits ou la pollution, de ces ressources en eau partagées peuvent avoir </w:t>
        <w:br/>
        <w:t>impacts au-delà des frontières souveraines. Des accords spécifiques ou autres arrangements entre pays riverains sont une condition préalable pour garantir une</w:t>
        <w:br/>
        <w:t>à terme, une coopération équitable et durable de ces eaux.</w:t>
        <w:br/>
        <w:t xml:space="preserve">Droit international coutumier de l'eau - tel que reflété dans la Convention sur le droit relatif aux utilisations des cours d'eau internationaux à des fins autres que la navigation (Nouvelle </w:t>
        <w:br/>
        <w:t xml:space="preserve">York, 1997), la Convention sur la protection et l'utilisation des cours d'eau transfrontaliers et des lacs internationaux (Helsinki, 1992) et le projet </w:t>
        <w:br/>
        <w:t xml:space="preserve">Articles sur le droit des aquifères transfrontaliers (2008 ; résolutions 63/124, 66/104 et 68/118 de l'Assemblée générale des Nations Unies) - et le droit contemporain </w:t>
        <w:br/>
        <w:t xml:space="preserve">pratique des États du cours d’eau, souligne la nécessité de certaines exigences minimales afin de favoriser la coopération dans le domaine des eaux transfrontalières. Ces </w:t>
        <w:br/>
        <w:t xml:space="preserve">les exigences minimales sont reflétées dans les quatre critères d’opérationnalité intégrés dans cet indicateur. </w:t>
        <w:br/>
        <w:t xml:space="preserve">Ministères et agences responsables des ressources en eaux de surface et en eaux souterraines (le plus souvent ministère de l'Environnement, de l'Eau, des Ressources Naturelles) </w:t>
        <w:br/>
        <w:t xml:space="preserve">ressources, énergie ou agriculture ; affaires étrangères, instituts des ressources en eau, d'hydrologie ou de géologie, ou études géologiques) maintiennent généralement </w:t>
        <w:br/>
        <w:t xml:space="preserve">des informations spatiales sur l'emplacement et l'étendue des limites des bassins d'eau de surface et les délimitations des aquifères sous forme de fichiers de formes SIG. Informations sur </w:t>
        <w:br/>
        <w:t>dispositif existant et leur fonctionnement est maintenu par les mêmes institutions.</w:t>
      </w:r>
    </w:p>
    <w:p>
      <w:pPr>
        <w:pStyle w:val="Heading2"/>
      </w:pPr>
      <w:r>
        <w:t>Page 180</w:t>
      </w:r>
    </w:p>
    <w:p>
      <w:r>
        <w:t>Texte d'en-tête</w:t>
        <w:br/>
        <w:t>Texte de pied de page</w:t>
        <w:br/>
        <w:t>Méthode de calcul et autres considérations méthodologiques</w:t>
        <w:br/>
        <w:t>Désagrégation des données</w:t>
        <w:br/>
        <w:t>Références</w:t>
        <w:br/>
        <w:t>Approche méthodologique :</w:t>
        <w:br/>
        <w:t xml:space="preserve">Un modèle de rapport lié à l'indicateur ODD 6.5.2 est communiqué au pays par les agences dépositaires. Le modèle fournit étape par étape </w:t>
        <w:br/>
        <w:t xml:space="preserve">approche par laquelle les pays peuvent calculer la valeur de l’indicateur. Afin de justifier le calcul et de fournir une image plus complète de </w:t>
        <w:br/>
        <w:t>coopération dans le domaine des eaux transfrontalières, les pays sont invités à remplir le modèle de rapport complet, qui contient une série de questions liées à la coopération internationale dans le domaine des eaux transfrontalières.</w:t>
        <w:br/>
        <w:t xml:space="preserve">coopération dans le domaine des eaux transfrontalières au niveau national, accords et arrangements au niveau des bassins, organes communs, données et informations, entre autres. </w:t>
        <w:br/>
        <w:t xml:space="preserve">l’échange, le suivi et l’évaluation conjoints et la participation du public.  Les pays sont également encouragés à mener de larges consultations au niveau national, et </w:t>
        <w:br/>
        <w:t xml:space="preserve">le cas échéant, d'autres pays partageant des bassins transfrontaliers, afin de compléter le modèle de rapport. </w:t>
        <w:br/>
        <w:t>Méthode de calcul :</w:t>
        <w:br/>
        <w:t xml:space="preserve">Le calcul de la valeur de l'indicateur comporte plusieurs étapes : </w:t>
        <w:br/>
        <w:t xml:space="preserve">Étape 1 : L’identification des bassins fluviaux et lacustres et des aquifères transfrontaliers situés dans un pays. S'il n'y a pas de rivière transfrontalière </w:t>
        <w:br/>
        <w:t xml:space="preserve">ou des bassins lacustres ou des aquifères, la déclaration n’est pas requise. </w:t>
        <w:br/>
        <w:t>Étape 2 : Un calcul de la superficie (en km ) de tous les bassins fluviaux et lacustres transfrontaliers identifiés. S'il y en a 2 sur le territoire du pays</w:t>
        <w:br/>
        <w:t xml:space="preserve">plus d'un bassin fluvial et lacustre transfrontalier, la superficie avec le territoire du pays de chaque bassin doit être additionnée pour obtenir </w:t>
        <w:br/>
        <w:t xml:space="preserve">la superficie totale des bassins fluviaux et lacustres transfrontaliers sur le territoire du pays.   Ensuite, en utilisant la même approche, la surface </w:t>
        <w:br/>
        <w:t>(en km ) sur le territoire du pays de tout aquifère transfrontalier doit être calculé. La superficie totale du pays de 2</w:t>
        <w:br/>
        <w:t xml:space="preserve">les bassins fluviaux et lacustres transfrontaliers et les aquifères transfrontaliers doivent être additionnés pour calculer la surface totale du bassin transfrontalier. </w:t>
        <w:br/>
        <w:t xml:space="preserve">superficie pour le pays. Cela peut être fait facilement en utilisant les techniques des systèmes d'information géographique (SIG) et les ressources nationales ou nationales disponibles. </w:t>
        <w:br/>
        <w:t xml:space="preserve">bases de données internationales. </w:t>
        <w:br/>
        <w:t xml:space="preserve">Étape 3 : Examiner les arrangements existants en matière de coopération transfrontalière en matière de gestion de l'eau et vérifier quelles zones de bassins transfrontaliers </w:t>
        <w:br/>
        <w:t xml:space="preserve">(bassins fluviaux et lacustres transfrontaliers et/ou aquifères transfrontaliers ou parties de ceux-ci) sont couverts par ces arrangements.    </w:t>
        <w:br/>
        <w:t xml:space="preserve">Étape 4 : Vérifier lesquels des dispositifs existants sont opérationnels, en utilisant les quatre critères d'opérationnalité. </w:t>
        <w:br/>
        <w:t>Étape 5 : Calculer le pourcentage de la superficie du bassin transfrontalier dans un pays doté d'un accord opérationnel de coopération dans le domaine de l'eau u(P ) TAOCA</w:t>
        <w:br/>
        <w:t xml:space="preserve">chanter la formule : </w:t>
        <w:br/>
        <w:t>où,</w:t>
        <w:br/>
        <w:t xml:space="preserve">Une OCA est la superficie des bassins fluviaux et lacustres et aquifères transfrontaliers d’un pays qui sont couverts par un accord opérationnel pour </w:t>
        <w:br/>
        <w:t>coopération dans le domaine de l'eau (résultats des étapes 3 et 4) ; et</w:t>
        <w:br/>
        <w:t xml:space="preserve">ATotal est la superficie totale des bassins fluviaux et lacustres et des aquifères transfrontaliers dans un pays (résultats des étapes 1 et 2). </w:t>
        <w:br/>
        <w:t>Commentaires et limites :</w:t>
        <w:br/>
        <w:t xml:space="preserve">Les informations spatiales sur les bassins fluviaux et lacustres transfrontaliers et leurs bassins versants sont facilement disponibles. Cependant, les informations sur le </w:t>
        <w:br/>
        <w:t xml:space="preserve">Le nombre et l’étendue des aquifères transfrontaliers reposent souvent sur des connaissances limitées qui peuvent évoluer au fil du temps et sur l’actualisation de la valeur. </w:t>
        <w:br/>
        <w:t xml:space="preserve">peuvent être nécessaires à chaque cycle de reporting. </w:t>
        <w:br/>
        <w:t xml:space="preserve">La base juridique de la coopération se développe lentement et prend plusieurs années, contrairement à certains des quatre critères qui évaluent l'opérationnalité de la coopération. </w:t>
        <w:br/>
        <w:t xml:space="preserve">des arrangements qui sont plus dynamiques et peuvent évoluer sur des délais plus courts.   </w:t>
        <w:br/>
        <w:t xml:space="preserve">La situation de chaque rivière, lac et aquifère est évaluée pour le calcul de l'indicateur national mais l'indicateur se concentre sur le </w:t>
        <w:br/>
        <w:t xml:space="preserve">échelle transfrontalière.  L'harmonisation des données entre les pays partageant les mêmes rivières, lacs et aquifères transfrontaliers devrait donc être </w:t>
        <w:br/>
        <w:t>couvert.</w:t>
        <w:br/>
        <w:t xml:space="preserve">Bien qu'il soit important de calculer la valeur de l'indicateur pour toutes les eaux transfrontalières au sein d'un décompte ry, la valeur de l'indicateur peut être présentée séparément </w:t>
        <w:br/>
        <w:t>pour les bassins fluviaux et lacustres et les aquifères.</w:t>
      </w:r>
    </w:p>
    <w:p>
      <w:pPr>
        <w:pStyle w:val="Heading2"/>
      </w:pPr>
      <w:r>
        <w:t>Page 181</w:t>
      </w:r>
    </w:p>
    <w:p>
      <w:r>
        <w:t>Texte d'en-tête</w:t>
        <w:br/>
        <w:t>Texte de pied de page</w:t>
        <w:br/>
        <w:t>Organisation(s) internationale(s) de surveillance mondiale</w:t>
        <w:br/>
        <w:t>URL officielle des métadonnées ODD</w:t>
        <w:br/>
        <w:t xml:space="preserve">https://unstats.un.org/sdgs/metadata/files/Additional-SDG-indicator-metadata-JUL2017.zip  </w:t>
        <w:br/>
        <w:t>Méthodologie reconnue au niveau international et URL des lignes directrices</w:t>
        <w:br/>
        <w:t xml:space="preserve">http://www.unwater.org/publications/step-step-methodology-monitoring-transboundary-cooperation-6-5-2/ </w:t>
        <w:br/>
        <w:t>Autres références</w:t>
        <w:br/>
        <w:t>ONU (1997). New York. Disponible sur : Convention sur le droit relatif aux utilisations des cours d'eau internationaux à des fins autres que la navigation. http://legal.un.org/ilc/texts</w:t>
        <w:br/>
        <w:t>/instruments/anglais/conventions/8_3_1997.pdf</w:t>
        <w:br/>
        <w:t>CEE-ONU (1992). Helsinki. Disponible sur : Convention sur la protection et l'utilisation des cours d'eau transfrontaliers et des lacs internationaux. https://www</w:t>
        <w:br/>
        <w:t>w.unece.org/fileadmin/DAM/env/water/publications/WAT_Text/ECE_MP.WAT_41.pdf</w:t>
        <w:br/>
        <w:t>ONU (2008). AGNU, 63 session, Supplément n° 10 (A/63/10). New York. Disponible sur : Projet d'articles sur le droit des aquifères transfrontaliers. ème http</w:t>
        <w:br/>
        <w:t>s://www.internationalwaterlaw.org/documents/intldocs/Draft_articles_on_the_Law_of_Transboundary_Aquifers-2008.pdf</w:t>
        <w:br/>
        <w:t xml:space="preserve">CEE-ONU. Site Internet : Convention sur la protection et l'utilisation des cours d'eau transfrontaliers et des lacs internationaux : un cadre mondialisant. </w:t>
        <w:br/>
        <w:t>http://www.unece.org/env/water.html</w:t>
        <w:br/>
        <w:t>CEE-ONU. Genève. Disponible sur : Rapports au titre de la Convention sur l’eau et suivi de l’indicateur mondial des ODD 6.5.2.  https://www.unece.org</w:t>
        <w:br/>
        <w:t>/fileadmin/DAM/env/water/meetings/Water_Convention/2016/10Oct_From_Practitioner_to_Practitioner/Presentations/6.3.</w:t>
        <w:br/>
        <w:t>Présentation_reporting_TtT.pdf</w:t>
        <w:br/>
        <w:t>CEE-ONU et UNESCO (2018).  Disponible sur : Progrès en matière de coopération dans le domaine des eaux transfrontalières – Base de référence mondiale pour l’indicateur ODD 6.5.2. http://www.</w:t>
        <w:br/>
        <w:t>unwater.org/publications/progress-on-transboundary-water-cooperation-652</w:t>
        <w:br/>
        <w:t>ONU-Eau. Suivi intégré des cibles des ODD liées à l’eau et à l’assainissement : indicateur 6.5.2 – Coopération transfrontalière. Site Internet : http://w</w:t>
        <w:br/>
        <w:t>www.sdg6monitoring.org/indicators/target-65/indicators652/</w:t>
        <w:br/>
        <w:t>FEM. Site Internet : Programme d'évaluation des eaux transfrontalières. http://www.geftwap.org/</w:t>
        <w:br/>
        <w:t>Université d'État de l'Oregon. Site Internet : Base de données sur les différends transfrontaliers liés à l'eau douce (TFDD). http://www.transboundarywaters.orst.edu</w:t>
        <w:br/>
        <w:t>/publications/atlas/index.html</w:t>
        <w:br/>
        <w:t>Université d'État de l'Oregon. Site Internet : Base de données de l'Organisation internationale des bassins hydrographiques (RBO). http://www.transboundarywaters.orst.edu/research</w:t>
        <w:br/>
        <w:t>/RBO/index.html</w:t>
        <w:br/>
        <w:t>CEE-ONU (2011). Disponible sur : Deuxième évaluation des rivières, lacs et eaux souterraines transfrontalières. http://www.unece.org/env/water</w:t>
        <w:br/>
        <w:t>/publications/pub/second_assessment.html</w:t>
        <w:br/>
        <w:t>ISARM. Site Internet : Inventaires régionaux des eaux souterraines transfrontalières. http://www.isarm.org/</w:t>
        <w:br/>
        <w:t xml:space="preserve">Ce document a été préparé sur la base des contributions du Programme hydrologique international des Nations Unies pour l'éducation, la science et la culture. </w:t>
        <w:br/>
        <w:t>Organisation (UNESCO-PHI) et Commission économique des Nations Unies pour l'Europe (UNECE).</w:t>
        <w:br/>
        <w:t>Pour obtenir des informations sur les points focaux pour cet indicateur, veuillez visiter https://unstats.un.org/sdgs/dataContacts/</w:t>
      </w:r>
    </w:p>
    <w:p>
      <w:pPr>
        <w:pStyle w:val="Heading2"/>
      </w:pPr>
      <w:r>
        <w:t>Page 182</w:t>
      </w:r>
    </w:p>
    <w:p>
      <w:r>
        <w:t>Texte d'en-tête</w:t>
        <w:br/>
        <w:t>Texte de pied de page</w:t>
        <w:br/>
        <w:t>Indicateur 6.a.1</w:t>
        <w:br/>
        <w:t>Page d'accueil du manuel électronique</w:t>
        <w:br/>
        <w:t xml:space="preserve"> </w:t>
        <w:br/>
        <w:t>Nom de l’indicateur, cible et objectif</w:t>
        <w:br/>
        <w:t>Définition et justification</w:t>
        <w:br/>
        <w:t>Sources de données et méthode de collecte</w:t>
        <w:br/>
        <w:t>Contenu</w:t>
        <w:br/>
        <w:t>Nom de l’indicateur, cible et objectif</w:t>
        <w:br/>
        <w:t>Définition et justification</w:t>
        <w:br/>
        <w:t>Sources de données et méthode de collecte</w:t>
        <w:br/>
        <w:t>Méthode de calcul et autres considérations méthodologiques</w:t>
        <w:br/>
        <w:t>Désagrégation des données</w:t>
        <w:br/>
        <w:t>Références</w:t>
        <w:br/>
        <w:t>Organisation(s) internationale(s) de surveillance mondiale</w:t>
        <w:br/>
        <w:t xml:space="preserve"> Indicateur 6.a.1 : Montant de l'aide publique au développement liée à l'eau et à l'assainissement qui fait partie d'un plan de dépenses coordonné par le gouvernement</w:t>
        <w:br/>
        <w:t xml:space="preserve">Cible 6.a : D’ici 2030, étendre la coopération internationale et le soutien au renforcement des capacités des pays en développement dans les domaines de l’eau et de l’assainissement. </w:t>
        <w:br/>
        <w:t>activités et programmes, y compris la collecte de l'eau, le dessalement, l'efficacité de l'eau, le traitement des eaux usées, les technologies de recyclage et de réutilisation</w:t>
        <w:br/>
        <w:t>Objectif 6 : Assurer la disponibilité et la gestion durable de l’eau et de l’assainissement pour tous</w:t>
        <w:br/>
        <w:t>Définition :</w:t>
        <w:br/>
        <w:t xml:space="preserve">Cet indicateur est défini comme le pourcentage du total des décaissements d’aide publique au développement (APD) liés à l’eau et à l’assainissement qui sont </w:t>
        <w:br/>
        <w:t xml:space="preserve">inclus dans le budget gouvernemental des pays en développement. </w:t>
        <w:br/>
        <w:t>Concepts :</w:t>
        <w:br/>
        <w:t xml:space="preserve">L’APD est définie comme les flux vers les pays et territoires figurant sur la liste des bénéficiaires de l’APD du Comité d’aide au développement (CAD) et vers </w:t>
        <w:br/>
        <w:t>institutions multilatérales qui sont</w:t>
        <w:br/>
        <w:t>(1)    Fournis par des agences officielles, y compris les gouvernements nationaux et locaux, ou par les agences exécutives ; et</w:t>
        <w:br/>
        <w:t>(2)    Chaque transaction :</w:t>
        <w:br/>
        <w:t>une. est administré avec la promotion du développement économique et du bien-être des pays en développement comme objectif principal ; et</w:t>
        <w:br/>
        <w:t xml:space="preserve">b. a un caractère concessionnel et comporte un élément de don d'au moins 25 % (calculé avec un taux d'actualisation de 10 %). </w:t>
        <w:br/>
        <w:t xml:space="preserve">Les pays en développement font référence aux pays qui sont éligibles à recevoir de l’APD selon la liste des bénéficiaires de l’APD du CAD. </w:t>
        <w:br/>
        <w:t xml:space="preserve">Les activités et programmes liés à l'eau et à l'assainissement comprennent ceux liés à l'approvisionnement en eau, à l'assainissement et à l'hygiène (WASH) (cibles 6.1, 6.2), </w:t>
        <w:br/>
        <w:t>eaux usées et qualité de l’eau (6.3), efficacité de l’eau (6.4), gestion des ressources en eau (6.5) et écosystèmes liés à l’eau (6.6). Conformément à l'objectif 6.</w:t>
        <w:br/>
        <w:t xml:space="preserve">a, il comprend également des activités et des programmes pour la collecte de l'eau, le dessalement, l'efficacité de l'eau, le traitement des eaux usées, le recyclage et la réutilisation. </w:t>
        <w:br/>
        <w:t xml:space="preserve">technologies. </w:t>
        <w:br/>
        <w:t xml:space="preserve">A est défini comme un plan/budget de financement, pour le secteur de l'eau et de l'assainissement, qui évalue clairement le plan de dépenses coordonné par le gouvernement. </w:t>
        <w:br/>
        <w:t xml:space="preserve">sources de financement disponibles et stratégies de financement des besoins futurs. </w:t>
        <w:br/>
        <w:t xml:space="preserve">Justification et interprétation : </w:t>
        <w:br/>
        <w:t xml:space="preserve">En mesurant le pourcentage de l’APD pour l’eau et l’assainissement inclus dans le budget gouvernemental, il est possible de mieux comprendre </w:t>
        <w:br/>
        <w:t xml:space="preserve">de savoir si les donateurs sont alignés sur les gouvernements nationaux tout en mettant en évidence les décaissements totaux d'APD liés à l'eau et à l'assainissement au fil du temps. </w:t>
        <w:br/>
        <w:t xml:space="preserve">Une faible valeur de cet indicateur (proche de 0 %) suggérerait que les donateurs internationaux investissent dans des activités liées à l'eau et à l'assainissement et </w:t>
        <w:br/>
        <w:t xml:space="preserve">programmes totalement non alignés sur le gouvernement national. Au contraire, une valeur élevée (proche de 100 %) indiquerait un alignement plus fort. </w:t>
        <w:br/>
        <w:t>des donateurs avec le gouvernement national et les politiques en matière d’eau et d’assainissement.</w:t>
      </w:r>
    </w:p>
    <w:p>
      <w:pPr>
        <w:pStyle w:val="Heading2"/>
      </w:pPr>
      <w:r>
        <w:t>Page 183</w:t>
      </w:r>
    </w:p>
    <w:p>
      <w:r>
        <w:t>Texte d'en-tête</w:t>
        <w:br/>
        <w:t>Texte de pied de page</w:t>
        <w:br/>
        <w:t>Méthode de calcul et autres considérations méthodologiques</w:t>
        <w:br/>
        <w:t>Désagrégation des données</w:t>
        <w:br/>
        <w:t>Références</w:t>
        <w:br/>
        <w:t xml:space="preserve">Les données pour le numérateur de cet indicateur sont collectées à partir des statistiques des rapports gouvernementaux sur le montant des dons des donateurs qui ont été inclus dans le </w:t>
        <w:br/>
        <w:t xml:space="preserve">budget du gouvernement. Certains pays fournissent ces informations au Programme mondial d'analyse et d'évaluation de l'assainissement et de l'eau potable de l'ONU-Eau. </w:t>
        <w:br/>
        <w:t xml:space="preserve">(Enquête GLAAS). Un projet de réponse à l'enquête est compilé par un point focal désigné sur la base des commentaires des parties prenantes, puis finalisé par </w:t>
        <w:br/>
        <w:t xml:space="preserve">un examen national multipartite. Ministères ayant des responsabilités liées aux finances, à l'approvisionnement en eau et à l'assainissement, à l'agriculture et aux ressources en eau </w:t>
        <w:br/>
        <w:t xml:space="preserve">le développement et la gestion, l’environnement et les affaires étrangères contribueraient aux réponses à l’enquête. </w:t>
        <w:br/>
        <w:t xml:space="preserve">Le dénominateur est calculé à l’aide des codes-objet de la série 14000 du Système de déclaration des créanciers (CRS) de l’OCDE pour le secteur de l’eau et de l’objet </w:t>
        <w:br/>
        <w:t xml:space="preserve">codes 31140 pour les ressources en eau agricoles, 41050 pour la prévention et le contrôle des inondations et 23220 pour les centrales hydroélectriques. </w:t>
        <w:br/>
        <w:t>Méthode de calcul :</w:t>
        <w:br/>
        <w:t xml:space="preserve">Le pourcentage du total des décaissements d'aide publique au développement (APD) liés à l'eau et à l'assainissement qui sont inclus dans le budget du gouvernement. </w:t>
        <w:br/>
        <w:t>Le budget des pays en développement peut être calculé à l'aide de la formule suivante :(P )ODA-WS</w:t>
        <w:br/>
        <w:t>où,</w:t>
        <w:br/>
        <w:t>GOVODA-WS est le montant de l’APD liée à l’eau et à l’assainissement qui est inclus dans le budget de l’État ; et</w:t>
        <w:br/>
        <w:t xml:space="preserve">TOTODA-WS est le montant total de l’APD liée à l’eau et à l’assainissement. </w:t>
        <w:br/>
        <w:t>Commentaires et limites :</w:t>
        <w:br/>
        <w:t xml:space="preserve">Comme le numérateur et le dénominateur proviennent de sources différentes, il existe une possibilité d'hypothèses sous-jacentes différentes concernant ce qui devrait être </w:t>
        <w:br/>
        <w:t xml:space="preserve">être inclus/exclus dans les chiffres de l’APD. Cela peut conduire à des erreurs dans le calcul de cet indicateur. Pour remédier à ce problème, les pays fourniraient </w:t>
        <w:br/>
        <w:t xml:space="preserve">données pour le numérateur en faisant correspondre les chiffres de l’APD au niveau des projets de l’OCDE avec leurs données de projets inscrites au budget. </w:t>
        <w:br/>
        <w:t xml:space="preserve">Le Système de notification des pays créanciers (CRS) de l’OCDE répartit actuellement l’APD destinée à l’eau et à l’assainissement en plusieurs catégories, notamment : </w:t>
        <w:br/>
        <w:t xml:space="preserve">politique et administration sectorielles, protection des ressources en eau, grands systèmes d'eau et d'assainissement de base, infrastructures des bassins fluviaux, déchets </w:t>
        <w:br/>
        <w:t xml:space="preserve">la gestion, les ressources en eau agricoles, ainsi que l’éducation et la formation. Bien que ces catégories ne correspondent pas directement aux domaines cibles des ODD </w:t>
        <w:br/>
        <w:t xml:space="preserve">6 individuellement, ce qui limite la ventilation de l’APD entre les domaines cibles des ODD, l’APD combinée de ces catégories s’aligne sur un </w:t>
        <w:br/>
        <w:t xml:space="preserve">La majorité de l’APD déclarée est destinée au secteur de l’eau. </w:t>
        <w:br/>
        <w:t xml:space="preserve">L’APD ne représente qu’un aspect de la coopération internationale. Pour capter d’autres dimensions, d’autres indicateurs comme ceux du Collaborative </w:t>
        <w:br/>
        <w:t xml:space="preserve">Les comportements identifiés par le partenariat Assainissement et eau pour tous (SWA) devraient également être examinés. Pour plus d’informations sur le Collaboratif </w:t>
        <w:br/>
        <w:t>Comportements voir : http://sanitationandwaterforall.org/about/the-four-swa-collaborative-behaviours/</w:t>
        <w:br/>
        <w:t>Indicateurs proxy, alternatifs et complémentaires :</w:t>
        <w:br/>
        <w:t>Montant total de l’APD liée à l’eau et à l’assainissement</w:t>
        <w:br/>
        <w:t xml:space="preserve">Le montant absolu de l’APD liée à l’eau et à l’assainissement (dénominateur) est exprimé en dollars constants. Cela fournira une indication de l'ampleur et </w:t>
        <w:br/>
        <w:t xml:space="preserve">évaluer si les niveaux absolus de l’APD augmentent ou diminuent au fil du temps. </w:t>
        <w:br/>
        <w:t>Cet indicateur peut être désagrégé par code CRS.</w:t>
      </w:r>
    </w:p>
    <w:p>
      <w:pPr>
        <w:pStyle w:val="Heading2"/>
      </w:pPr>
      <w:r>
        <w:t>Page 184</w:t>
      </w:r>
    </w:p>
    <w:p>
      <w:r>
        <w:t>Texte d'en-tête</w:t>
        <w:br/>
        <w:t>Texte de pied de page</w:t>
        <w:br/>
        <w:t>Organisation(s) internationale(s) de surveillance mondiale</w:t>
        <w:br/>
        <w:t>URL officielle des métadonnées ODD</w:t>
        <w:br/>
        <w:t xml:space="preserve">https://unstats.un.org/sdgs/metadata/files/Metadata-06-0A-01.pdf  </w:t>
        <w:br/>
        <w:t>Méthodologie reconnue au niveau international et URL des lignes directrices</w:t>
        <w:br/>
        <w:t xml:space="preserve">http://www.unwater.org/app/uploads/2017/05/Methodological-note-6a-and-6b_7-March-2017.pdf (en cours de révision) </w:t>
        <w:br/>
        <w:t>Autres références</w:t>
        <w:br/>
        <w:t>QUI. Genève. Site Internet : Analyse et évaluation mondiales de l'ONU-Eau sur l'assainissement et l'eau potable (GLAAS). http://www.who.int</w:t>
        <w:br/>
        <w:t>/water_sanitation_health/monitoring/investments/glaas/fr/</w:t>
        <w:br/>
        <w:t>OCDE. Paris. Site Internet : Données sur le financement du développement. http://www.oecd.org/dac/financing-sustainable-development/development-finance-data/</w:t>
        <w:br/>
        <w:t>ONU-Eau (2008). Disponible sur : Rapport de situation sur la gestion intégrée des ressources en eau et les plans d'efficacité de l'eau à la CDD 16. http://www.</w:t>
        <w:br/>
        <w:t>unwater.org/publications/status-report-integrated-water-resource-management-water-efficiency-plans-csd-16/</w:t>
        <w:br/>
        <w:t>ONU-Eau (2012). Disponible à : Rapport de situation sur l'application des approches intégrées de gestion des ressources en eau. http://www.un.org</w:t>
        <w:br/>
        <w:t>/waterforlifedecade/pdf/un_water_status_report_2012.pdf</w:t>
        <w:br/>
        <w:t>PNUE-DHI. Disponible à : Rapport de situation 2012 sur l'application des approches intégrées à la gestion des ressources en eau : base de données. http://www.</w:t>
        <w:br/>
        <w:t>unepdhi.org/rioplus20</w:t>
        <w:br/>
        <w:t xml:space="preserve">PNUE-DHI (2016). AGEMI : Surveillance intégrée des cibles des ODD liées à l’eau et à l’assainissement – ​​Projet de questionnaire d’enquête pour l’indicateur 6.5.1. </w:t>
        <w:br/>
        <w:t>disponible sur : http://www.unepdhi.org/whatwedo/gemi</w:t>
        <w:br/>
        <w:t xml:space="preserve">OCDE. Site Internet : Système de déclaration des créanciers. http://www.oecd.org/dac/stats/data.htm </w:t>
        <w:br/>
        <w:t xml:space="preserve">Exemples de pays </w:t>
        <w:br/>
        <w:t>N/D</w:t>
        <w:br/>
        <w:t xml:space="preserve">Ce document a été préparé sur la base des contributions de l'Organisation mondiale de la santé (OMS) et de l'Organisation de coopération et de coopération économiques. </w:t>
        <w:br/>
        <w:t>Développement (OCDE).</w:t>
        <w:br/>
        <w:t>Pour obtenir des informations sur les points focaux pour cet indicateur, veuillez visiter https://unstats.un.org/sdgs/dataContacts/</w:t>
      </w:r>
    </w:p>
    <w:p>
      <w:pPr>
        <w:pStyle w:val="Heading2"/>
      </w:pPr>
      <w:r>
        <w:t>Page 185</w:t>
      </w:r>
    </w:p>
    <w:p>
      <w:r>
        <w:t>Texte d'en-tête</w:t>
        <w:br/>
        <w:t>Texte de pied de page</w:t>
        <w:br/>
        <w:t>Indicateur 6.b.1</w:t>
        <w:br/>
        <w:t>Page d'accueil du manuel électronique</w:t>
        <w:br/>
        <w:t xml:space="preserve"> </w:t>
        <w:br/>
        <w:t>Nom de l’indicateur, cible et objectif</w:t>
        <w:br/>
        <w:t>Définition et justification</w:t>
        <w:br/>
        <w:t>Sources de données et méthode de collecte</w:t>
        <w:br/>
        <w:t>Contenu</w:t>
        <w:br/>
        <w:t>Nom de l’indicateur, cible et objectif</w:t>
        <w:br/>
        <w:t>Définition et justification</w:t>
        <w:br/>
        <w:t>Sources de données et méthode de collecte</w:t>
        <w:br/>
        <w:t>Méthode de calcul et autres considérations méthodologiques</w:t>
        <w:br/>
        <w:t>Désagrégation des données</w:t>
        <w:br/>
        <w:t>Références</w:t>
        <w:br/>
        <w:t>Organisation(s) internationale(s) de surveillance mondiale</w:t>
        <w:br/>
        <w:t xml:space="preserve"> Indicateur 6.b.1 : Proportion d'unités administratives locales dotées de politiques et de procédures établies et opérationnelles pour la participation des collectivités locales. </w:t>
        <w:br/>
        <w:t xml:space="preserve">communautés dans la gestion de l’eau et de l’assainissement  </w:t>
        <w:br/>
        <w:t>Cible 6.b : Soutenir et renforcer la participation des communautés locales à l’amélioration de la gestion de l’eau et de l’assainissement</w:t>
        <w:br/>
        <w:t>Objectif 6 : Assurer la disponibilité et la gestion durable de l’eau et de l’assainissement pour tous</w:t>
        <w:br/>
        <w:t>Définition :</w:t>
        <w:br/>
        <w:t xml:space="preserve">Cet indicateur est défini comme le pourcentage d'unités administratives locales (telles que définies par le gouvernement national) qui ont établi et </w:t>
        <w:br/>
        <w:t xml:space="preserve">politiques et procédures opérationnelles par lesquelles les individus et les communautés peuvent participer à la prise de décision en matière d'eau et d'assainissement </w:t>
        <w:br/>
        <w:t xml:space="preserve">gestion. </w:t>
        <w:br/>
        <w:t>Concepts :</w:t>
        <w:br/>
        <w:t xml:space="preserve">Les unités administratives locales font référence aux sous-districts, municipalités, communes ou autres unités communautaires locales qui ne se chevauchent pas et qui couvrent à la fois </w:t>
        <w:br/>
        <w:t xml:space="preserve">zones urbaines et rurales telles que définies par le gouvernement. </w:t>
        <w:br/>
        <w:t xml:space="preserve">Les politiques et procédures de participation des communautés locales suggèrent la présence de mécanismes formels/légaux pour garantir la participation des utilisateurs dans </w:t>
        <w:br/>
        <w:t xml:space="preserve">planifier les activités liées à l’eau et à l’assainissement. </w:t>
        <w:br/>
        <w:t xml:space="preserve">Des mécanismes formels ou juridiques sont envisagés s'ils sont mis en œuvre, avec un financement approprié en place et s'ils disposent de moyens de vérification opérationnels. </w:t>
        <w:br/>
        <w:t xml:space="preserve">cette participation a eu lieu. </w:t>
        <w:br/>
        <w:t xml:space="preserve">Les activités et programmes liés à l'eau et à l'assainissement comprennent ceux liés à l'approvisionnement en eau, à l'assainissement et à l'hygiène (WASH) (cibles 6.1, 6.2), </w:t>
        <w:br/>
        <w:t xml:space="preserve">eaux usées et qualité de l’eau (6.3), efficacité de l’eau (6.4), gestion des ressources en eau (6.5) et écosystèmes liés à l’eau (6.6). </w:t>
        <w:br/>
        <w:t>Justification et interprétation :</w:t>
        <w:br/>
        <w:t xml:space="preserve">La participation des communautés locales est essentielle pour garantir que les besoins de toute la communauté sont satisfaits, y compris les plus vulnérables, et encourage également </w:t>
        <w:br/>
        <w:t xml:space="preserve">l’appropriation des projets, ce qui contribue à leur tour à leur pérennité. Définir les procédures dans la politique ou la loi indique un degré de formalisation </w:t>
        <w:br/>
        <w:t xml:space="preserve">et la cohérence dans la mise en œuvre de ces procédures. </w:t>
        <w:br/>
        <w:t xml:space="preserve">Une valeur faible de cet indicateur suggère que la participation des communautés locales à la gestion de l'eau et de l'assainissement est faible, alors qu'une valeur élevée </w:t>
        <w:br/>
        <w:t xml:space="preserve">Cette valeur indiquerait des niveaux élevés de participation, ce qui indiquerait une plus grande appropriation et une probabilité plus élevée de fourniture et de gestion durables de </w:t>
        <w:br/>
        <w:t>services d’eau et d’assainissement.</w:t>
      </w:r>
    </w:p>
    <w:p>
      <w:pPr>
        <w:pStyle w:val="Heading2"/>
      </w:pPr>
      <w:r>
        <w:t>Page 186</w:t>
      </w:r>
    </w:p>
    <w:p>
      <w:r>
        <w:t>Texte d'en-tête</w:t>
        <w:br/>
        <w:t>Texte de pied de page</w:t>
        <w:br/>
        <w:t>Méthode de calcul et autres considérations méthodologiques</w:t>
        <w:br/>
        <w:t>Désagrégation des données</w:t>
        <w:br/>
        <w:t>Les sources de données potentielles ou les mécanismes de suivi qui pourraient être utilisés par les gouvernements nationaux pour collecter ces données sont les suivants :</w:t>
        <w:br/>
        <w:t xml:space="preserve">Recensement des municipalités (en supposant que les municipalités couvrent à la fois les localités urbaines et rurales et que le gouvernement mène déjà ou est en train de le faire) </w:t>
        <w:br/>
        <w:t>envisageant de réaliser des recensements périodiques des municipalités) ; alternativement par le biais d'une enquête auprès d'un échantillon représentatif des municipalités.</w:t>
        <w:br/>
        <w:t>Inclure une ou plusieurs questions dans un module communautaire d’une enquête nationale.</w:t>
        <w:br/>
        <w:t>Inclure cet indicateur dans les données administratives ou WASH MIS à collecter au niveau de l’unité administrative locale.</w:t>
        <w:br/>
        <w:t xml:space="preserve">Utiliser des groupes de discussion et/ou des dialogues communautaires sur la participation locale avec des informateurs clés, des membres du grand public (Voir : PNUD. </w:t>
        <w:br/>
        <w:t>Un guide de l’utilisateur pour mesurer la gouvernance locale. Disponible sur http://www.undp.org/content/dam/aplaws/publication/en/publications</w:t>
        <w:br/>
        <w:t>), et les ONG actives /democratic-governance/dg-publications-for-website/a-users-guide-to-measuring-local-governance-/LG%20Guide.pdf</w:t>
        <w:br/>
        <w:t>dans la communauté.</w:t>
        <w:br/>
        <w:t>Collecte d'informations à travers des projets existants au niveau des unités administratives locales.</w:t>
        <w:br/>
        <w:t xml:space="preserve">Des méthodes innovantes de collecte de données telles que le crowdsourcing ou les enquêtes SMS. </w:t>
        <w:br/>
        <w:t xml:space="preserve">Pour certains pays, les données pour le numérateur et le dénominateur de cet indicateur sont également collectées par le biais de l'analyse mondiale et de l'ONU-Eau. </w:t>
        <w:br/>
        <w:t>, qui collecte des statistiques sur les fonds des donateurs inclus dans l'enquête gouvernementale d'évaluation de l'assainissement et de l'eau potable (GLAAS).</w:t>
        <w:br/>
        <w:t xml:space="preserve">budgétaire. </w:t>
        <w:br/>
        <w:t>Un projet de réponse à l'enquête est compilé par un point focal désigné sur la base des contributions des parties prenantes, puis finalisé dans le cadre d'une enquête multinationale nationale.</w:t>
        <w:br/>
        <w:t xml:space="preserve">examen des parties prenantes. Ministères ayant des responsabilités liées aux finances, à l'approvisionnement en eau et à l'assainissement, à l'agriculture, au développement des ressources en eau et </w:t>
        <w:br/>
        <w:t xml:space="preserve">la gestion, l’environnement et les affaires étrangères contribueraient aux réponses à l’enquête. </w:t>
        <w:br/>
        <w:t>Méthode de calcul :</w:t>
        <w:br/>
        <w:t xml:space="preserve">Le pourcentage d'unités administratives locales dotées de politiques et de procédures établies et opérationnelles pour la participation des communautés locales à </w:t>
        <w:br/>
        <w:t>la gestion de l'eau et de l'assainissement est calculée comme suit : (P ) LAP</w:t>
        <w:br/>
        <w:t>Commentaires et limites :</w:t>
        <w:br/>
        <w:t xml:space="preserve">L’indicateur étant calculé en pourcentage des unités administratives locales, il ne reflète pas le pourcentage de la population couverte par les politiques. </w:t>
        <w:br/>
        <w:t xml:space="preserve">et les procédures de participation communautaire. </w:t>
        <w:br/>
        <w:t xml:space="preserve">Les unités administratives locales étant définies pays par pays, la population couverte par chaque unité peut varier considérablement au sein et entre les pays. </w:t>
        <w:br/>
        <w:t xml:space="preserve">Il peut y avoir d’importants écarts au sein d’un pays en ce qui concerne la population par unité administrative locale entre les zones urbaines et rurales. Par conséquent, </w:t>
        <w:br/>
        <w:t xml:space="preserve">la comparabilité de cet indicateur entre les pays est limitée. </w:t>
        <w:br/>
        <w:t xml:space="preserve">Il existe un certain degré de subjectivité dans ce qui constitue une politique ou une procédure « établie et opérationnelle », ainsi que dans la définition de </w:t>
        <w:br/>
        <w:t xml:space="preserve">«participation». Des études plus approfondies sont actuellement en cours pour mieux définir ces concepts concernant la participation communautaire. </w:t>
        <w:br/>
        <w:t xml:space="preserve">Les politiques et procédures sont souvent établies au niveau central, mais leur mise en œuvre n’est pas toujours contrôlée de manière centralisée. De plus, établi </w:t>
        <w:br/>
        <w:t xml:space="preserve">et les politiques et procédures opérationnelles ne conduisent pas nécessairement à des niveaux élevés de participation. </w:t>
        <w:br/>
        <w:t xml:space="preserve">L'indicateur n'est pas nécessairement corrélé à la qualité de la gestion de l'eau et de l'assainissement : une forte participation communautaire ne conduit pas toujours </w:t>
        <w:br/>
        <w:t xml:space="preserve">à une meilleure gestion de l’eau et de l’assainissement, et une faible participation n’indique pas que la gestion de l’eau et de l’assainissement est mauvaise. </w:t>
        <w:br/>
        <w:t xml:space="preserve">L’indicateur ne prend pas en compte les procédures de participation informelles, qui peuvent être tout aussi efficaces que celles qui sont formellement définies. </w:t>
        <w:br/>
        <w:t>Indicateurs proxy, alternatifs et complémentaires :</w:t>
        <w:br/>
        <w:t>Les derniers cycles de l'ONU ont inclus une enquête mondiale d'analyse et d'évaluation de l'assainissement et de l'eau potable (GLAAS) de l'ONU-Eau.</w:t>
        <w:br/>
        <w:t xml:space="preserve">question sur la présence de procédures clairement définies dans les lois ou politiques au niveau national pour la participation locale aux programmes de planification, comme </w:t>
        <w:br/>
        <w:t xml:space="preserve">nous ainsi que sur le degré de participation (faible/modéré/élevé). Les réponses sont ventilées selon l’assainissement urbain et rural, la consommation d’alcool en milieu urbain et rural. </w:t>
        <w:br/>
        <w:t>l’approvisionnement en eau, la promotion de l’hygiène et la gestion des ressources en eau. Les données suivantes sont disponibles :</w:t>
        <w:br/>
        <w:t xml:space="preserve">présence ou absence dans un pays de procédures clairement définies dans la loi ou dans la politique pour la participation des utilisateurs/communautés du service à </w:t>
        <w:br/>
        <w:t>programme de planification en gestion de l’eau, de l’assainissement et de l’hygiène</w:t>
        <w:br/>
        <w:t xml:space="preserve">présence ou absence dans un pays d'un niveau élevé d'utilisateurs/communautés participant aux programmes de planification en matière d'eau, d'assainissement et </w:t>
        <w:br/>
        <w:t>gestion de l'hygiène</w:t>
        <w:br/>
        <w:t xml:space="preserve">Le Cadre d’indicateurs de l’OCDE sur la gouvernance de l’eau, lancé en mars 2018, comprend des indicateurs sur l’engagement des parties prenantes pour évaluer la </w:t>
        <w:br/>
        <w:t xml:space="preserve">existence et niveau de mise en œuvre de cadres juridiques pour impliquer les parties prenantes dans la prise de décision liée à l'eau (Principe 10). L'indicateur </w:t>
        <w:br/>
        <w:t>peut informer sur la participation communautaire.</w:t>
      </w:r>
    </w:p>
    <w:p>
      <w:pPr>
        <w:pStyle w:val="Heading2"/>
      </w:pPr>
      <w:r>
        <w:t>Page 187</w:t>
      </w:r>
    </w:p>
    <w:p>
      <w:r>
        <w:t>Texte d'en-tête</w:t>
        <w:br/>
        <w:t>Texte de pied de page</w:t>
        <w:br/>
        <w:t>Références</w:t>
        <w:br/>
        <w:t>Organisation(s) internationale(s) de surveillance mondiale</w:t>
        <w:br/>
        <w:t xml:space="preserve">Il n'est pas nécessaire que cet indicateur soit ventilé, mais il peut l'être par sous-secteur (eau potable et assainissement urbain/rural, eau potable). </w:t>
        <w:br/>
        <w:t>gestion des ressources).</w:t>
        <w:br/>
        <w:t>URL officielle des métadonnées ODD</w:t>
        <w:br/>
        <w:t xml:space="preserve">https://unstats.un.org/sdgs/metadata/files/Metadata-06-0B-01.pdf  </w:t>
        <w:br/>
        <w:t>Méthodologie reconnue au niveau international et URL des lignes directrices</w:t>
        <w:br/>
        <w:t>http://www.unwater.org/app/uploads/2017/05/Methodological-note-6a-and-6b_7-March-2017.pdf (en cours de révision)</w:t>
        <w:br/>
        <w:t>Autres références</w:t>
        <w:br/>
        <w:t>QUI.  Genève. Site Internet : Analyse et évaluation mondiales de l'ONU-Eau pour l'assainissement et l'eau potable (GLAAS). http://www.who.int</w:t>
        <w:br/>
        <w:t>/water_sanitation_health/monitoring/investments/glaas/fr/</w:t>
        <w:br/>
        <w:t>OCDE. Paris. Site Internet : Programme de gouvernance de l'eau. http://www.oecd.org/env/watergovernanceprogramme.htm</w:t>
        <w:br/>
        <w:t xml:space="preserve">OCDE (2018), Mise en œuvre des principes de l'OCDE sur la gouvernance de l'eau : cadre d'indicateurs et pratiques en évolution, Études de l'OCDE sur l'eau, </w:t>
        <w:br/>
        <w:t>Éditions OCDE, Paris, .https://doi.org/10.1787/9789264292659-en</w:t>
        <w:br/>
        <w:t>OCDE (2015a). Disponible sur : Principes de l'OCDE sur la gouvernance de l'eau. https://www.oecd.org/gov/regionalpolicy/OECD-Principles-on-Water-</w:t>
        <w:br/>
        <w:t xml:space="preserve">  Brochure-gouvernance.pdf</w:t>
        <w:br/>
        <w:t>OCDE (2015b). . Études de l'OCDE sur l'eau, Éditions OCDE. Paris. Disponible sur : Engagement des parties prenantes pour une gouvernance inclusive de l’eau http://</w:t>
        <w:br/>
        <w:t>dx.doi.org/10.1787/9789264231122-fr</w:t>
        <w:br/>
        <w:t>ONU-Eau (2008). Disponible sur : Rapport de situation sur la gestion intégrée des ressources en eau et les plans d'efficacité de l'eau à la CDD 16. http://www.</w:t>
        <w:br/>
        <w:t>unwater.org/publications/status-report-integrated-water-resource-management-water-efficiency-plans-csd-16/</w:t>
        <w:br/>
        <w:t>ONU-Eau (2012). Disponible à : Rapport de situation sur l'application des approches intégrées de gestion des ressources en eau. http://www.un.org</w:t>
        <w:br/>
        <w:t>/waterforlifedecade/pdf/un_water_status_report_2012.pdf</w:t>
        <w:br/>
        <w:t>PNUE-DHI. Disponible à : Rapport de situation 2012 sur l'application des approches intégrées à la gestion des ressources en eau : base de données. http://www.</w:t>
        <w:br/>
        <w:t>unepdhi.org/rioplus20</w:t>
        <w:br/>
        <w:t xml:space="preserve">PNUE-DHI (2016). AGEMI : Surveillance intégrée des cibles des ODD liées à l’eau et à l’assainissement – ​​Projet de questionnaire d’enquête pour l’indicateur 6.5.1. </w:t>
        <w:br/>
        <w:t xml:space="preserve">disponible sur : http://www.unepdhi.org/whatwedo/gemi </w:t>
        <w:br/>
        <w:t xml:space="preserve">Exemples de pays </w:t>
        <w:br/>
        <w:t>N/D</w:t>
        <w:br/>
        <w:t xml:space="preserve">Ce document a été préparé sur la base des contributions de l'Organisation mondiale de la santé (OMS) et de l'Organisation de coopération et de coopération économiques. </w:t>
        <w:br/>
        <w:t>Développement (OCDE).</w:t>
        <w:br/>
        <w:t>Pour obtenir des informations sur les points focaux pour cet indicateur, veuillez visiter https://unstats.un.org/sdgs/dataContacts/</w:t>
      </w:r>
    </w:p>
    <w:p>
      <w:pPr>
        <w:pStyle w:val="Heading2"/>
      </w:pPr>
      <w:r>
        <w:t>Page 188</w:t>
      </w:r>
    </w:p>
    <w:p>
      <w:r>
        <w:t>Texte d'en-tête</w:t>
        <w:br/>
        <w:t>Texte de pied de page</w:t>
        <w:br/>
        <w:t>Objectif 7</w:t>
        <w:br/>
        <w:t xml:space="preserve">Garantir l’accès à des services abordables, fiables, durables et modernes </w:t>
        <w:br/>
        <w:t>de l'énergie pour tous</w:t>
        <w:br/>
        <w:t>Page d'accueil du manuel électronique</w:t>
        <w:br/>
        <w:t>Dans cet objectif :</w:t>
        <w:br/>
        <w:t xml:space="preserve">La Division de statistique des Nations Unies (DSNU) a travaillé en consultation avec l'agence(s) dépositaire(s) de chaque indicateur pour préparer ces chapitres. Pour </w:t>
        <w:br/>
        <w:t>les indicateurs qui n’ont pas encore de chapitre ici, sont en cours de préparation et seront téléchargés ici dès qu’ils seront disponibles.</w:t>
        <w:br/>
        <w:t>Si vous avez des questions sur le manuel électronique, n'hésitez pas à contacter M. Yuxi Zhang ( yuxi.zhang@un.org) avec copie à M. Ze Yar Min (min@</w:t>
        <w:br/>
        <w:t>.un.org)</w:t>
      </w:r>
    </w:p>
    <w:p>
      <w:pPr>
        <w:pStyle w:val="Heading2"/>
      </w:pPr>
      <w:r>
        <w:t>Page 189</w:t>
      </w:r>
    </w:p>
    <w:p>
      <w:r>
        <w:t>Texte d'en-tête</w:t>
        <w:br/>
        <w:t>Texte de pied de page</w:t>
        <w:br/>
        <w:t>Indicateur 7.1.2</w:t>
        <w:br/>
        <w:t>Page d'accueil du manuel électronique</w:t>
        <w:br/>
        <w:t>Nom de l’indicateur, cible et objectif</w:t>
        <w:br/>
        <w:t>Définition et justification</w:t>
        <w:br/>
        <w:t>Sources de données et méthode de collecte</w:t>
        <w:br/>
        <w:t>Méthode de calcul et autres considérations méthodologiques</w:t>
        <w:br/>
        <w:t>Contenu</w:t>
        <w:br/>
        <w:t>Nom de l’indicateur, cible et objectif</w:t>
        <w:br/>
        <w:t>Définition et justification</w:t>
        <w:br/>
        <w:t>Sources de données et méthode de collecte</w:t>
        <w:br/>
        <w:t>Méthode de calcul et autres considérations méthodologiques</w:t>
        <w:br/>
        <w:t>Désagrégation des données</w:t>
        <w:br/>
        <w:t>Références</w:t>
        <w:br/>
        <w:t>Organisation(s) internationale(s) de surveillance mondiale</w:t>
        <w:br/>
        <w:t xml:space="preserve"> Indicateur 7.1.2 : Proportion de la population dépendant principalement des carburants et des technologies propres</w:t>
        <w:br/>
        <w:t>Cible 7.1 : D’ici 2030, garantir l’accès universel à des services énergétiques abordables, fiables et modernes</w:t>
        <w:br/>
        <w:t>Objectif 7 : Garantir l’accès de tous à une énergie abordable, fiable, durable et moderne</w:t>
        <w:br/>
        <w:t>Définition :</w:t>
        <w:br/>
        <w:t xml:space="preserve">Cet indicateur est défini comme le nombre de personnes utilisant des combustibles et des technologies propres pour la cuisine, le chauffage et l'éclairage domestiques, divisé par le nombre total de personnes. </w:t>
        <w:br/>
        <w:t xml:space="preserve">population déclarant cuisiner, chauffer ou éclairer. Il est exprimé en pourcentage. </w:t>
        <w:br/>
        <w:t>Concepts :</w:t>
        <w:br/>
        <w:t xml:space="preserve">Les carburants et technologies propres sont définis par les objectifs de taux d’émission et les recommandations spécifiques en matière de carburants contenues dans les « Lignes directrices pour </w:t>
        <w:br/>
        <w:t xml:space="preserve">rapport de l'OMS [ ].Indoor Air Quality: Household Fuel Combustion' http://www.who.int/indoorair/guidelines/hhfc/en/  </w:t>
        <w:br/>
        <w:t>Justification et interprétation :</w:t>
        <w:br/>
        <w:t xml:space="preserve">La cuisine, l’éclairage et le chauffage représentent une part importante de la consommation d’énergie des ménages dans les pays à revenu faible ou intermédiaire. Les carburants associés à </w:t>
        <w:br/>
        <w:t xml:space="preserve">les technologies inefficaces (telles que les feux ouverts, les poêles, les radiateurs et les lampes inefficaces) sont associées à des niveaux élevés d’air domestique (intérieur) </w:t>
        <w:br/>
        <w:t xml:space="preserve">la pollution, qui, rien que pour la cuisine, causerait plus de 4 millions de décès par an. Cependant, ces décès sont évitables grâce à l'adoption </w:t>
        <w:br/>
        <w:t xml:space="preserve">de carburants et de technologies propres. Cet indicateur mesure la part de cette adoption dans la population totale. </w:t>
        <w:br/>
        <w:t>On suppose que les pays classés comme à revenu élevé avec un revenu national brut (RNB) supérieur à 12 234 dollars par habitant ont réalisé un [1]</w:t>
        <w:br/>
        <w:t xml:space="preserve">transition complète vers l’utilisation de carburants et de technologies propres comme principale source d’énergie domestique. Pour le chauffage et l’éclairage, même méthodologie </w:t>
        <w:br/>
        <w:t>avec les mêmes hypothèses mentionnées ci-dessus seront utilisées.</w:t>
        <w:br/>
        <w:t>[1] Tel que défini par la dernière classification des revenus de la Banque mondiale. https://blogs.worldbank.org/opendata/new-country-classifications- Income-level-</w:t>
        <w:br/>
        <w:t xml:space="preserve"> ou 2017-2018 databank.worldbank.org/data/download/site-content/CLASS.xls</w:t>
        <w:br/>
        <w:t xml:space="preserve">Les données pour cet indicateur peuvent être régulièrement collectées au niveau national dans la plupart des pays à l’aide de recensements et d’enquêtes auprès des ménages, notamment : </w:t>
        <w:br/>
        <w:t xml:space="preserve">Enquêtes démographiques et sanitaires (EDS) soutenues par l'Agence des États pour le développement international (USAID) ; Fonds des Nations Unies pour l'enfance </w:t>
        <w:br/>
        <w:t xml:space="preserve">les enquêtes en grappes à indicateurs multiples (MICS) financées par l'UNICEF ; Enquêtes sur la santé mondiale (WHS) soutenues par l'OMS ; Le niveau de vie de la Banque mondiale </w:t>
        <w:br/>
        <w:t xml:space="preserve">Enquêtes de mesure (LSMS) et autres enquêtes nationales fiables et représentatives au niveau national. </w:t>
        <w:br/>
        <w:t xml:space="preserve">En outre, l'Organisation mondiale de la santé compile une base de données de statistiques sur l'accès aux carburants et technologies propres et polluants dont elle dispose. </w:t>
        <w:br/>
        <w:t xml:space="preserve">recueillies à partir de l’ensemble des enquêtes mondiales auprès des ménages sur la cuisine, le chauffage et l’éclairage. Actuellement, la base de données de l'OMS couvre l'énergie de cuisson </w:t>
        <w:br/>
        <w:t>pour 157 pays et un territoire pour la période 1970-2016 et est mis à jour régulièrement et accessible au public.</w:t>
      </w:r>
    </w:p>
    <w:p>
      <w:pPr>
        <w:pStyle w:val="Heading2"/>
      </w:pPr>
      <w:r>
        <w:t>Page 190</w:t>
      </w:r>
    </w:p>
    <w:p>
      <w:r>
        <w:t>Texte d'en-tête</w:t>
        <w:br/>
        <w:t>Texte de pied de page</w:t>
        <w:br/>
        <w:t>Désagrégation des données</w:t>
        <w:br/>
        <w:t>Références</w:t>
        <w:br/>
        <w:t>Méthode de calcul :</w:t>
        <w:br/>
        <w:t>L'indicateur est calculé comme suit :</w:t>
        <w:br/>
        <w:t xml:space="preserve">Veuillez noter que cet indicateur est actuellement calculé par l'OMS et rapporté au niveau mondial en fonction du principal type de combustible pour la cuisson. </w:t>
        <w:br/>
        <w:t xml:space="preserve">Actuellement, la cuisine propre est définie comme l’utilisation principale de l’électricité, du biogaz, des carburants alcoolisés, du gaz de pétrole liquéfié ou du gaz naturel canalisé. Cuisine </w:t>
        <w:br/>
        <w:t xml:space="preserve">représente la plus grande part des besoins énergétiques globaux des ménages. Les informations sur le principal combustible utilisé pour la cuisson sont largement disponibles dans les enquêtes auprès des ménages. </w:t>
        <w:br/>
        <w:t xml:space="preserve">et sert de substitut à l’accès à l’énergie domestique. Actuellement, la collecte limitée de données sur les technologies de cuisson, de chauffage et d'éclairage </w:t>
        <w:br/>
        <w:t xml:space="preserve">Cela constitue une contrainte pour élargir cet indicateur afin d’inclure les combustibles et les technologies utilisés pour d’autres utilisations finales de l’énergie domestique. Cependant dans le </w:t>
        <w:br/>
        <w:t xml:space="preserve">À l'avenir, les combustibles et les technologies utilisés à la fois pour l'éclairage et le chauffage, ainsi que la cuisinière elle-même, seront inclus dans les rapports, à mesure que le pays </w:t>
        <w:br/>
        <w:t>les données de niveau deviennent de plus en plus disponibles avec une surveillance plus robuste.</w:t>
        <w:br/>
        <w:t xml:space="preserve">L'indicateur est actuellement modélisé dans le but de suivre les tendances et de fournir des estimations ponctuelles pour les pays et les régions au cours d'années spécifiques. </w:t>
        <w:br/>
        <w:t>Commentaires et limites :</w:t>
        <w:br/>
        <w:t xml:space="preserve">Les ménages peuvent utiliser d’autres combustibles de cuisson secondaires et des fourneaux qui peuvent être nocifs, mais ne sont pas pris en compte par cet indicateur. En fonction du climat </w:t>
        <w:br/>
        <w:t xml:space="preserve">et les conditions géographiques, le chauffage et l'éclairage utilisant des combustibles polluants et des combinaisons technologiques (qui ne sont pas non plus pris en compte par cet indicateur) peuvent également être </w:t>
        <w:br/>
        <w:t xml:space="preserve">un contributeur aux niveaux de pollution de l’air domestique (en plus de contribuer à la pollution de l’air extérieur). </w:t>
        <w:br/>
        <w:t xml:space="preserve">Actuellement, il existe une quantité limitée de données disponibles sur le type de cuisinières, le combustible et les appareils utilisés dans la maison pour le chauffage et </w:t>
        <w:br/>
        <w:t xml:space="preserve">éclairage. Des progrès sont en cours vers le développement et le pilotage de nouvelles méthodologies telles que le cadre de suivi multiniveau de la Banque mondiale pour </w:t>
        <w:br/>
        <w:t xml:space="preserve">capturer le type de combustible et les appareils technologiques utilisés dans les ménages pour la cuisine, le chauffage et l’éclairage. </w:t>
        <w:br/>
        <w:t>Indicateurs proxy, alternatifs et supplémentaires : N/A</w:t>
        <w:br/>
        <w:t>Cet indicateur peut être ventilé par lieu de résidence urbain/rural, par estimations pour différentes utilisations finales et par types de combustibles.</w:t>
        <w:br/>
        <w:t>URL officielle des métadonnées ODD</w:t>
        <w:br/>
        <w:t xml:space="preserve">https://unstats.un.org/sdgs/metadata/files/Metadata-07-01-02.pdf  </w:t>
        <w:br/>
        <w:t xml:space="preserve">Méthodologie reconnue au niveau international et URL des lignes directrices </w:t>
        <w:br/>
        <w:t xml:space="preserve">http://apps.who.int/gho/data/node.wrapper.imr?x-id=318  </w:t>
        <w:br/>
        <w:t>Autres références</w:t>
        <w:br/>
        <w:t>Banque mondiale (2017). Washington, D.C. Disponible sur : Sustainable Energy for All 2013-2014 : Global Tracking Framework. http://gtf.esmap.org</w:t>
        <w:br/>
        <w:t>/téléchargements</w:t>
        <w:br/>
        <w:t>Cadre de suivi mondial. Site Internet : Disponible sur : Suivi des progrès vers les objectifs énergétiques durables. http://gtf.esmap.org/</w:t>
        <w:br/>
        <w:t>Banque mondiale (2015). Washington, D.C. Disponible sur : Sustainable Energy for All 2013-2014 : Global Tracking Framework. http://gtf.esmap.org</w:t>
        <w:br/>
        <w:t>/téléchargements</w:t>
        <w:br/>
        <w:t>Banque mondiale (2013). Washington, D.C. Disponible sur : Sustainable Energy for All 2013-2014 : Global Tracking Framework. http://gtf.esmap.org</w:t>
        <w:br/>
        <w:t>/téléchargements</w:t>
        <w:br/>
        <w:t>Banque mondiale (2015).  ESMAP. Washington, D.C. Disponible sur : Au-delà des connexions : l'accès à l'énergie redéfini. https://openknowledge.worldbank.</w:t>
        <w:br/>
        <w:t>org/bitstream/handle/10986/24368/Beyond0connect0d000technical0report.pdf?sequence=1&amp;isAllowed=y</w:t>
        <w:br/>
        <w:t>Banque mondiale (2015). Washington, D.C. Disponible : Cadre multiniveau pour mesurer l'accès à l'énergie. https://www.esmap.org/node/55526</w:t>
        <w:br/>
        <w:t>OMS (2014). Genève. Disponible sur : Lignes directrices de l'OMS pour la qualité de l'air intérieur : combustion de combustibles domestiques. http://www.who.int/indoorair/guidelines</w:t>
        <w:br/>
        <w:t>/hhfc/fr/</w:t>
        <w:br/>
        <w:t xml:space="preserve">Bonjour S. et coll. (2013). Utilisation de combustibles solides en matière de santé environnementale pour la cuisine domestique : estimations nationales et régionales pour 1980-2010. </w:t>
        <w:br/>
        <w:t>Perspectives. DOI : 10.1289/eHP.1205987. Disponible sur : https://ehp.niehs.nih.gov/wp-content/uploads/121/7/ehp.1205987.pdf</w:t>
        <w:br/>
        <w:t xml:space="preserve">QUI. Genève. ^ « Observatoire mondial de la santé : Population utilisant des combustibles solides » . http://apps.who.int/gho/data/node.wrapper.imr?x-id=318 </w:t>
        <w:br/>
        <w:t>Exemples de pays</w:t>
        <w:br/>
        <w:t>N/D</w:t>
      </w:r>
    </w:p>
    <w:p>
      <w:pPr>
        <w:pStyle w:val="Heading2"/>
      </w:pPr>
      <w:r>
        <w:t>Page 191</w:t>
      </w:r>
    </w:p>
    <w:p>
      <w:r>
        <w:t>Texte d'en-tête</w:t>
        <w:br/>
        <w:t>Texte de pied de page</w:t>
        <w:br/>
        <w:t>Organisation(s) internationale(s) de surveillance mondiale</w:t>
        <w:br/>
        <w:t>Ce document a été préparé sur la base des contributions de l'Organisation mondiale de la santé (OMS).</w:t>
        <w:br/>
        <w:t>Pour obtenir des informations sur les points focaux pour cet indicateur, veuillez visiter https://unstats.un.org/sdgs/dataContacts/</w:t>
      </w:r>
    </w:p>
    <w:p>
      <w:pPr>
        <w:pStyle w:val="Heading2"/>
      </w:pPr>
      <w:r>
        <w:t>Page 192</w:t>
      </w:r>
    </w:p>
    <w:p>
      <w:r>
        <w:t>Texte d'en-tête</w:t>
        <w:br/>
        <w:t>Texte de pied de page</w:t>
        <w:br/>
        <w:t>Indicateur 7.2.1</w:t>
        <w:br/>
        <w:t>Page d'accueil du manuel électronique</w:t>
        <w:br/>
        <w:t xml:space="preserve"> </w:t>
        <w:br/>
        <w:t>Nom de l’indicateur, cible et objectif</w:t>
        <w:br/>
        <w:t>Définition et justification</w:t>
        <w:br/>
        <w:t>Sources de données et méthode de collecte</w:t>
        <w:br/>
        <w:t>Méthode de calcul et autres considérations méthodologiques</w:t>
        <w:br/>
        <w:t>Contenu</w:t>
        <w:br/>
        <w:t>Nom de l’indicateur, cible et objectif</w:t>
        <w:br/>
        <w:t>Définition et justification</w:t>
        <w:br/>
        <w:t>Sources de données et méthode de collecte</w:t>
        <w:br/>
        <w:t>Méthode de calcul et autres considérations méthodologiques</w:t>
        <w:br/>
        <w:t>Désagrégation des données</w:t>
        <w:br/>
        <w:t>Références</w:t>
        <w:br/>
        <w:t>Organisation(s) internationale(s) de surveillance mondiale</w:t>
        <w:br/>
        <w:t xml:space="preserve"> Indicateur 7.2.1 : Part des énergies renouvelables dans la consommation finale totale d’énergie</w:t>
        <w:br/>
        <w:t>Cible 7.2 : D’ici 2030, augmenter considérablement la part des énergies renouvelables dans le mix énergétique mondial</w:t>
        <w:br/>
        <w:t>Objectif 7 : Garantir l’accès de tous à une énergie abordable, fiable, durable et moderne</w:t>
        <w:br/>
        <w:t>Définition :</w:t>
        <w:br/>
        <w:t xml:space="preserve">La part des énergies renouvelables dans la consommation finale totale est le pourcentage de la consommation finale d’énergie dérivée de ressources renouvelables. </w:t>
        <w:br/>
        <w:t>Concepts :</w:t>
        <w:br/>
        <w:t xml:space="preserve">La consommation d'énergie renouvelable comprend la consommation d'énergie dérivée de : l'hydroélectricité, les biocarburants solides, l'éolien, le solaire, les biocarburants liquides, le biogaz, </w:t>
        <w:br/>
        <w:t xml:space="preserve">géothermie, marine et déchets. La consommation finale totale d'énergie est calculée à partir des bilans et statistiques nationaux en tant que consommation finale totale. </w:t>
        <w:br/>
        <w:t>moins la consommation non énergétique.</w:t>
        <w:br/>
        <w:t>Commentaires concernant des ressources énergétiques renouvelables spécifiques :</w:t>
        <w:br/>
        <w:t>La consommation d'énergie solaire comprend le solaire photovoltaïque et le solaire thermique</w:t>
        <w:br/>
        <w:t>La consommation d'énergie des biocarburants liquides comprend la bioessence, les biodiesels et autres biocarburants liquides.</w:t>
        <w:br/>
        <w:t>La consommation de biocarburants solides comprend le bois de chauffage, les déchets animaux, les déchets végétaux, la liqueur noire, la bagasse et le charbon de bois.</w:t>
        <w:br/>
        <w:t xml:space="preserve">L’énergie des déchets couvre l’énergie issue des déchets municipaux renouvelables </w:t>
        <w:br/>
        <w:t>Justification et interprétation :</w:t>
        <w:br/>
        <w:t xml:space="preserve">L’objectif « D’ici 2030, augmenter considérablement la part des énergies renouvelables dans le mix énergétique mondial » a un impact sur les trois dimensions du développement durable. </w:t>
        <w:br/>
        <w:t xml:space="preserve">développement. Les technologies des énergies renouvelables représentent un élément majeur des stratégies visant à rendre les économies vertes partout dans le monde et à </w:t>
        <w:br/>
        <w:t xml:space="preserve">s’attaquer au problème mondial critique du changement climatique. Il existe un certain nombre de définitions de l'énergie renouvelable ; ce qu'ils ont en commun c'est </w:t>
        <w:br/>
        <w:t xml:space="preserve">en soulignant comme renouvelables toutes les formes d'énergie dont la consommation n'épuise pas leur disponibilité dans le futur. Il s’agit notamment du solaire, de l’éolien, </w:t>
        <w:br/>
        <w:t xml:space="preserve">océan, hydroélectricité, ressources géothermiques et bioénergie (dans le cas de la bioénergie, qui peut être épuisée, les sources de bioénergie peuvent être </w:t>
        <w:br/>
        <w:t xml:space="preserve">remplacé dans un délai court ou moyen terme). Il est important de noter que cet indicateur se concentre sur la quantité d'énergie renouvelable réellement consommée plutôt que sur la quantité d'énergie renouvelable réellement consommée. </w:t>
        <w:br/>
        <w:t xml:space="preserve">que la capacité de production d’énergie renouvelable, qui ne peut pas toujours être pleinement utilisée. En se concentrant sur la consommation de l'utilisateur final, on évite </w:t>
        <w:br/>
        <w:t>les distorsions causées par le fait que les sources d’énergie conventionnelles sont soumises à d’importantes pertes d’énergie tout au long de la chaîne de production.</w:t>
        <w:br/>
        <w:t xml:space="preserve">Des enquêtes spécialisées sur l'industrie (par exemple sur l'utilisation de la bioénergie) ou des enquêtes auprès des ménages (en combinaison avec la mesure d'autres indicateurs) seraient </w:t>
        <w:br/>
        <w:t xml:space="preserve">approches réalisables en matière de collecte de données (par exemple pour l'utilisation du bois de chauffage, l'énergie solaire hors réseau). </w:t>
        <w:br/>
        <w:t xml:space="preserve">Les données sur la consommation d'énergie renouvelable sont également disponibles dans les bilans énergétiques nationaux produits par l'Agence internationale de l'énergie et </w:t>
        <w:br/>
        <w:t xml:space="preserve">la Division de statistique des Nations Unies (DSNU) pour plus de 180 pays. Les bilans énergétiques permettent de tracer toutes les différentes sources </w:t>
        <w:br/>
        <w:t>et les utilisations de l'énergie au niveau national.</w:t>
      </w:r>
    </w:p>
    <w:p>
      <w:pPr>
        <w:pStyle w:val="Heading2"/>
      </w:pPr>
      <w:r>
        <w:t>Page 193</w:t>
      </w:r>
    </w:p>
    <w:p>
      <w:r>
        <w:t>Texte d'en-tête</w:t>
        <w:br/>
        <w:t>Texte de pied de page</w:t>
        <w:br/>
        <w:t>Désagrégation des données</w:t>
        <w:br/>
        <w:t>Références</w:t>
        <w:br/>
        <w:t>Méthode de calcul :</w:t>
        <w:br/>
        <w:t>Le pourcentage d'énergie renouvelable dans la consommation totale d'énergie finale (P) est calculé comme suit : RE</w:t>
        <w:br/>
        <w:t>où,</w:t>
        <w:br/>
        <w:t>ECRE est la consommation d'énergie provenant de toutes les sources renouvelables (mégajoules) ; et</w:t>
        <w:br/>
        <w:t xml:space="preserve">ECTotal est la consommation finale totale d’énergie (mégajoules). </w:t>
        <w:br/>
        <w:t xml:space="preserve">Cet indicateur est basé sur le développement de statistiques énergétiques complètes sur l’offre et la demande pour toutes les sources d’énergie – statistiques utilisées </w:t>
        <w:br/>
        <w:t xml:space="preserve">réaliser un bilan énergétique national.  Une fois le bilan énergétique national établi, l'indicateur peut être calculé en divisant la consommation de </w:t>
        <w:br/>
        <w:t xml:space="preserve">l’énergie provenant de toutes les sources renouvelables par la consommation finale totale d’énergie.  La consommation d'énergie renouvelable est dérivée de trois tableaux de l'AIE </w:t>
        <w:br/>
        <w:t xml:space="preserve">statistiques et bilans énergétiques mondiaux : consommation finale totale, production d’électricité et production de chaleur. </w:t>
        <w:br/>
        <w:t>Commentaires et limites :</w:t>
        <w:br/>
        <w:t xml:space="preserve">Une limite des statistiques existantes sur les énergies renouvelables est qu’elles ne sont pas en mesure de distinguer si les énergies renouvelables sont durables. </w:t>
        <w:br/>
        <w:t xml:space="preserve">produit. Par exemple, une part substantielle de la consommation actuelle d’énergies renouvelables provient de l’utilisation du bois et du charbon de bois par les ménages. </w:t>
        <w:br/>
        <w:t xml:space="preserve">dans les pays en développement, qui peuvent parfois être associées à des pratiques forestières non durables. Des efforts sont en cours pour améliorer </w:t>
        <w:br/>
        <w:t xml:space="preserve">capacité à mesurer la durabilité de la bioénergie, même si cela reste un défi important. </w:t>
        <w:br/>
        <w:t xml:space="preserve">Les données sur les énergies renouvelables hors réseau sont limitées et pas suffisamment prises en compte dans les statistiques énergétiques </w:t>
        <w:br/>
        <w:t xml:space="preserve">La méthode de répartition de la consommation d'énergie renouvelable issue de la production d'électricité et de chaleur suppose que la part du transport et </w:t>
        <w:br/>
        <w:t xml:space="preserve">les pertes de distribution sont les mêmes entre toutes les technologies. Cependant, cela n’est pas toujours vrai car les énergies renouvelables sont généralement situées dans des régions plus éloignées. </w:t>
        <w:br/>
        <w:t xml:space="preserve">des zones éloignées des centres de consommation et pourraient subir des pertes plus importantes. </w:t>
        <w:br/>
        <w:t xml:space="preserve">De même, les importations et les exportations d'électricité et de chaleur sont supposées suivre la part du caractère renouvelable de la production d'électricité et de chaleur, </w:t>
        <w:br/>
        <w:t xml:space="preserve">respectivement. Il s'agit d'une simplification qui, dans de nombreux cas, n'affectera pas trop l'indicateur, mais qui pourrait en avoir un dans certains cas, par exemple : </w:t>
        <w:br/>
        <w:t xml:space="preserve">lorsqu’un pays produit uniquement de l’électricité à partir de combustibles fossiles mais importe une grande partie de l’électricité qu’il utilise du pays voisin </w:t>
        <w:br/>
        <w:t xml:space="preserve">centrale hydroélectrique. </w:t>
        <w:br/>
        <w:t xml:space="preserve">Les défis méthodologiques associés à la définition et à la mesure des énergies renouvelables sont décrits plus en détail dans le Global Tracking Framework. </w:t>
        <w:br/>
        <w:t xml:space="preserve">(AIE et Banque mondiale, 2013) Chapitre 4, Section 1, pages 194-200. Les données sur l’utilisation traditionnelle des biocarburants solides sont généralement rares à l’échelle mondiale, et </w:t>
        <w:br/>
        <w:t xml:space="preserve">le développement des capacités de suivi de cette consommation d’énergie, y compris la réalisation d’enquêtes au niveau national, est essentiel pour un suivi efficace de l’énergie mondiale. </w:t>
        <w:br/>
        <w:t xml:space="preserve">Les importations et exportations d’électricité des pays voisins peuvent également avoir des implications mineures dans le calcul de cet indicateur. </w:t>
        <w:br/>
        <w:t>Indicateurs proxy, alternatifs et supplémentaires : N/A</w:t>
        <w:br/>
        <w:t xml:space="preserve">la ventilation des données sur la consommation d’énergie renouvelable par secteur de ressources et d’utilisation finale pourrait fournir un aperçu d’autres dimensions de la question. </w:t>
        <w:br/>
        <w:t>objectif, comme l’abordabilité et la fiabilité. Pour l’énergie solaire, il peut également être utile de ventiler la capacité du réseau et celle hors réseau.</w:t>
      </w:r>
    </w:p>
    <w:p>
      <w:pPr>
        <w:pStyle w:val="Heading2"/>
      </w:pPr>
      <w:r>
        <w:t>Page 194</w:t>
      </w:r>
    </w:p>
    <w:p>
      <w:r>
        <w:t>Texte d'en-tête</w:t>
        <w:br/>
        <w:t>Texte de pied de page</w:t>
        <w:br/>
        <w:t>Organisation(s) internationale(s) de surveillance mondiale</w:t>
        <w:br/>
        <w:t>URL officielle des métadonnées ODD</w:t>
        <w:br/>
        <w:t xml:space="preserve">https://unstats.un.org/sdgs/metadata/files/Metadata-07-02-01.pdf  </w:t>
        <w:br/>
        <w:t>Méthodologie reconnue au niveau international et URL des lignes directrices</w:t>
        <w:br/>
        <w:t>https://unstats.un.org/unsd/energy/ires/.</w:t>
        <w:br/>
        <w:t>Autres références</w:t>
        <w:br/>
        <w:t>Banque mondiale (2017). Washington, D.C. Disponible sur : Sustainable Energy for All 2013-2014 : Global Tracking Framework. http://gtf.esmap.org</w:t>
        <w:br/>
        <w:t>/téléchargements</w:t>
        <w:br/>
        <w:t>Banque mondiale (2015). Washington, D.C. Disponible sur : Sustainable Energy for All 2013-2014 : Global Tracking Framework. http://gtf.esmap.org</w:t>
        <w:br/>
        <w:t>/téléchargements</w:t>
        <w:br/>
        <w:t>Banque mondiale (2013). Washington, D.C. Disponible sur : Sustainable Energy for All 2013-2014 : Global Tracking Framework. http://gtf.esmap.org</w:t>
        <w:br/>
        <w:t>/téléchargements</w:t>
        <w:br/>
        <w:t>Banque mondiale (2015). Washington, D.C. Disponible sur : Base de données Global Tracking Framework. https://data.worldbank.org/data-catalog/sustainable-</w:t>
        <w:br/>
        <w:t>l'énergie pour tous</w:t>
        <w:br/>
        <w:t>DSNU. Site Internet : Base de données des statistiques de l'énergie des Nations Unies. https://unstats.un.org/unsd/energy/edbase.htm</w:t>
        <w:br/>
        <w:t>AIE. Site Internet : Bilans et statistiques énergétiques de l'AIE. http://www.iea.org/statistics/topics/energybalances/</w:t>
        <w:br/>
        <w:t xml:space="preserve">IRÈNE. Site Internet : Base de données IRENA sur les énergies renouvelables. http://resourceirena.irena.org/gateway/dashboard/ </w:t>
        <w:br/>
        <w:t>Exemples de pays</w:t>
        <w:br/>
        <w:t>N/D</w:t>
        <w:br/>
        <w:t xml:space="preserve">Ce document a été préparé sur la base des contributions de la Division de statistique des Nations Unies (UNSD), de l'Agence internationale de l'énergie (AIE) et de l'International </w:t>
        <w:br/>
        <w:t>Agence des énergies renouvelables (IRENA).</w:t>
        <w:br/>
        <w:t>Pour obtenir des informations sur les points focaux pour cet indicateur, veuillez visiter https://unstats.un.org/sdgs/dataContacts/</w:t>
      </w:r>
    </w:p>
    <w:p>
      <w:pPr>
        <w:pStyle w:val="Heading2"/>
      </w:pPr>
      <w:r>
        <w:t>Page 195</w:t>
      </w:r>
    </w:p>
    <w:p>
      <w:r>
        <w:t>Texte d'en-tête</w:t>
        <w:br/>
        <w:t>Texte de pied de page</w:t>
        <w:br/>
        <w:t>Indicateur 7.3.1</w:t>
        <w:br/>
        <w:t>Page d'accueil du manuel électronique</w:t>
        <w:br/>
        <w:t xml:space="preserve"> </w:t>
        <w:br/>
        <w:t>Nom de l’indicateur, cible et objectif</w:t>
        <w:br/>
        <w:t>Définition et justification</w:t>
        <w:br/>
        <w:t>Sources de données et méthode de collecte</w:t>
        <w:br/>
        <w:t>Méthode de calcul et autres considérations méthodologiques</w:t>
        <w:br/>
        <w:t>Contenu</w:t>
        <w:br/>
        <w:t>Nom de l’indicateur, cible et objectif</w:t>
        <w:br/>
        <w:t>Définition et justification</w:t>
        <w:br/>
        <w:t>Sources de données et méthode de collecte</w:t>
        <w:br/>
        <w:t>Méthode de calcul et autres considérations méthodologiques</w:t>
        <w:br/>
        <w:t>Désagrégation des données</w:t>
        <w:br/>
        <w:t>Références</w:t>
        <w:br/>
        <w:t>Organisation(s) internationale(s) de surveillance mondiale</w:t>
        <w:br/>
        <w:t xml:space="preserve"> Indicateur 7.3.1 : Intensité énergétique mesurée en termes d’énergie primaire et de PIB</w:t>
        <w:br/>
        <w:t>Cible 7.3 : D’ici 2030, doubler le taux mondial d’amélioration de l’efficacité énergétique</w:t>
        <w:br/>
        <w:t xml:space="preserve">Objectif 7 : Garantir l’accès de tous à une énergie abordable, fiable, durable et moderne </w:t>
        <w:br/>
        <w:t>Définition :</w:t>
        <w:br/>
        <w:t xml:space="preserve">L’intensité énergétique est définie comme l’énergie totale fournie à l’économie par valeur unitaire de production économique. Il est mesuré en mégajoules par </w:t>
        <w:br/>
        <w:t xml:space="preserve">Dollar américain. </w:t>
        <w:br/>
        <w:t>Concepts :</w:t>
        <w:br/>
        <w:t xml:space="preserve">Approvisionnement énergétique total, tel que défini par les Recommandations internationales pour les statistiques énergétiques (IRES), composé de la production plus les importations nettes </w:t>
        <w:br/>
        <w:t xml:space="preserve">moins les bunkers maritimes et aéronautiques internationaux, plus les variations de stocks. Le produit intérieur brut (PIB) est la mesure de la production économique. Pour </w:t>
        <w:br/>
        <w:t xml:space="preserve">à des fins de comparaison internationale, le PIB est mesuré en termes constants à parité de pouvoir d'achat </w:t>
        <w:br/>
        <w:t>Justification et interprétation :</w:t>
        <w:br/>
        <w:t xml:space="preserve">L’intensité énergétique est une indication de la quantité d’énergie utilisée pour produire une unité de production économique. Il s'agit d'un indicateur de l'efficacité avec laquelle un </w:t>
        <w:br/>
        <w:t>L’économie est capable d’utiliser l’énergie pour produire une production économique. Un ratio inférieur indique que moins d’énergie est utilisée pour produire une unité de production.</w:t>
        <w:br/>
        <w:t xml:space="preserve">L'approvisionnement total en énergie est généralement calculé lors de l'établissement des bilans énergétiques nationaux, qui sont tenus à jour par les ministères de l'énergie ou les autorités nationales. </w:t>
        <w:br/>
        <w:t xml:space="preserve">bureaux de statistique dans les pays. Les chiffres du PIB sont également calculés par les bureaux nationaux de statistique ou d'autres agences compétentes dans le cadre de leurs </w:t>
        <w:br/>
        <w:t>collecte de données macroéconomiques et tenue de registres statistiques.</w:t>
      </w:r>
    </w:p>
    <w:p>
      <w:pPr>
        <w:pStyle w:val="Heading2"/>
      </w:pPr>
      <w:r>
        <w:t>Page 196</w:t>
      </w:r>
    </w:p>
    <w:p>
      <w:r>
        <w:t>Texte d'en-tête</w:t>
        <w:br/>
        <w:t>Texte de pied de page</w:t>
        <w:br/>
        <w:t>Désagrégation des données</w:t>
        <w:br/>
        <w:t>Références</w:t>
        <w:br/>
        <w:t>Organisation(s) internationale(s) de surveillance mondiale</w:t>
        <w:br/>
        <w:t>Méthode de calcul :</w:t>
        <w:br/>
        <w:t>L'intensité énergétique peut être calculée à l'aide de la formule suivante :(EI)</w:t>
        <w:br/>
        <w:t xml:space="preserve">Cet indicateur est basé sur le développement de statistiques énergétiques complètes sur l’offre et la demande pour toutes les sources d’énergie – statistiques utilisées </w:t>
        <w:br/>
        <w:t xml:space="preserve">réaliser un bilan énergétique national. Les méthodologies internationalement reconnues pour les statistiques de l’énergie sont décrites dans le « International </w:t>
        <w:br/>
        <w:t xml:space="preserve">Recommandations pour les statistiques énergétiques » (IRES), adoptées par la Commission de statistique des Nations Unies, disponible sur : .https://unstats.un.org/unsd/energy/ires/  </w:t>
        <w:br/>
        <w:t>Commentaires et limites :</w:t>
        <w:br/>
        <w:t xml:space="preserve">L’intensité énergétique n’est qu’un indicateur imparfait de l’efficacité énergétique. Elle peut être affectée par un certain nombre de facteurs, tels que le climat, la structure du </w:t>
        <w:br/>
        <w:t xml:space="preserve">l’économie, la nature des activités économiques, etc. qui ne sont pas nécessairement liés à l’efficacité pure. </w:t>
        <w:br/>
        <w:t>Indicateurs proxy, alternatifs et complémentaires :</w:t>
        <w:br/>
        <w:t xml:space="preserve">Ventilation de l'intensité énergétique, par ex. par secteur, pourrait fournir des informations supplémentaires sur les progrès vers l’efficacité énergétique. À l'heure actuelle, c'est seulement </w:t>
        <w:br/>
        <w:t xml:space="preserve">Il est possible de calculer de telles ventilations sectorielles pour les secteurs suivants – industrie, résidentiel, transports, agriculture, ménages – comme indiqué </w:t>
        <w:br/>
        <w:t xml:space="preserve">dans le cadre de suivi mondial. Il serait souhaitable, au fil du temps, d'élaborer des indicateurs d'intensité énergétique sectoriels plus raffinés qui permettent de </w:t>
        <w:br/>
        <w:t xml:space="preserve">Il est possible d’examiner l’intensité énergétique par industrie (par exemple le ciment, l’acier) ou par type de véhicule (par exemple les voitures, les camions), par exemple. Cela ne sera pas </w:t>
        <w:br/>
        <w:t>possible sans collaboration statistique avec les secteurs consommateurs d’énergie concernés.</w:t>
        <w:br/>
        <w:t xml:space="preserve">L'analyse de décomposition des tendances de l'intensité énergétique cherche à filtrer les facteurs qui affectent la demande d'énergie, tels que l'échelle économique à l'échelle </w:t>
        <w:br/>
        <w:t xml:space="preserve">changements de structure, à partir de changements d’intensité énergétique plus étroitement définis. La méthodologie applique une analyse de décomposition pour isoler un </w:t>
        <w:br/>
        <w:t xml:space="preserve">mesure de l’intensité énergétique, une mesure qui élimine le décalage temporel des pondérations relatives des secteurs. Cette analyse est également rapportée dans le Global Tracking </w:t>
        <w:br/>
        <w:t>Cadre.</w:t>
        <w:br/>
        <w:t>URL officielle des métadonnées ODD</w:t>
        <w:br/>
        <w:t xml:space="preserve">https://unstats.un.org/sdgs/metadata/files/Metadata-07-03-01.pdf  </w:t>
        <w:br/>
        <w:t>Méthodologie reconnue au niveau international et URL des lignes directrices</w:t>
        <w:br/>
        <w:t>Recommandations internationales sur les statistiques énergétiques (IRES) https://unstats.un.org/unsd/energy/ires/</w:t>
        <w:br/>
        <w:t>Autres références</w:t>
        <w:br/>
        <w:t>Banque mondiale (2017). Washington, D.C. Disponible sur : Sustainable Energy for All 2013-2014 : Global Tracking Framework. http://gtf.esmap.org</w:t>
        <w:br/>
        <w:t>/téléchargements</w:t>
        <w:br/>
        <w:t>Banque mondiale (2015). Washington, D.C. Disponible sur : Sustainable Energy for All 2013-2014 : Global Tracking Framework. http://gtf.esmap.org</w:t>
        <w:br/>
        <w:t>/téléchargements</w:t>
        <w:br/>
        <w:t>Banque mondiale (2013). Washington, D.C. Disponible sur : Sustainable Energy for All 2013-2014 : Global Tracking Framework. http://gtf.esmap.org</w:t>
        <w:br/>
        <w:t>/téléchargements</w:t>
        <w:br/>
        <w:t>Banque mondiale (2015). Washington, D.C. Disponible sur : Base de données Global Tracking Framework. https://data.worldbank.org/data-catalog/sustainable-</w:t>
        <w:br/>
        <w:t>l'énergie pour tous</w:t>
        <w:br/>
        <w:t>DSNU. Site Internet : Disponible sur : Base de données des statistiques de l'énergie des Nations Unies. https://unstats.un.org/unsd/energy/edbase.htm</w:t>
        <w:br/>
        <w:t>AIE. Site Internet : Disponible sur : AIE Energy Balances and Statistics. http://www.iea.org/statistics/topics/energybalances/</w:t>
        <w:br/>
        <w:t xml:space="preserve">Page Web de l'AIE sur l'ODD 7 : http://www.iea.org/sdg7 </w:t>
        <w:br/>
        <w:t>Exemples de pays</w:t>
        <w:br/>
        <w:t>N/D</w:t>
        <w:br/>
        <w:t>Ce document a été préparé sur la base des contributions de la Division de statistique des Nations Unies (UNSD) et de l'Agence internationale de l'énergie (AIE).</w:t>
        <w:br/>
        <w:t>Pour obtenir des informations sur les points focaux pour cet indicateur, veuillez visiter https://unstats.un.org/sdgs/dataContacts/</w:t>
      </w:r>
    </w:p>
    <w:p>
      <w:pPr>
        <w:pStyle w:val="Heading2"/>
      </w:pPr>
      <w:r>
        <w:t>Page 197</w:t>
      </w:r>
    </w:p>
    <w:p>
      <w:r>
        <w:t>Texte d'en-tête</w:t>
        <w:br/>
        <w:t>Texte de pied de page</w:t>
        <w:br/>
        <w:t>Indicateur 7.a.1</w:t>
        <w:br/>
        <w:t>Page d'accueil du manuel électronique</w:t>
        <w:br/>
        <w:t xml:space="preserve"> </w:t>
        <w:br/>
        <w:t>Nom de l’indicateur, cible et objectif</w:t>
        <w:br/>
        <w:t>Définition et justification</w:t>
        <w:br/>
        <w:t>Contenu</w:t>
        <w:br/>
        <w:t>Nom de l’indicateur, cible et objectif</w:t>
        <w:br/>
        <w:t>Définition et justification</w:t>
        <w:br/>
        <w:t>Sources de données et méthode de collecte</w:t>
        <w:br/>
        <w:t>Méthode de calcul et autres considérations méthodologiques</w:t>
        <w:br/>
        <w:t>Désagrégation des données</w:t>
        <w:br/>
        <w:t>Références</w:t>
        <w:br/>
        <w:t>Organisation(s) internationale(s) de surveillance mondiale</w:t>
        <w:br/>
        <w:t xml:space="preserve"> Indicateur 7.a.1 : Flux financiers internationaux vers les pays en développement à l’appui de la recherche-développement sur les énergies propres et les énergies renouvelables </w:t>
        <w:br/>
        <w:t>production, y compris dans les systèmes hybrides</w:t>
        <w:br/>
        <w:t xml:space="preserve">Cible 7.a : D’ici 2030, renforcer la coopération internationale pour faciliter l’accès à la recherche et aux technologies relatives aux énergies propres, y compris les énergies renouvelables. </w:t>
        <w:br/>
        <w:t xml:space="preserve">l’énergie, l’efficacité énergétique et les technologies avancées et plus propres liées aux combustibles fossiles, et promouvoir les investissements dans les infrastructures énergétiques et les énergies propres </w:t>
        <w:br/>
        <w:t>technologie</w:t>
        <w:br/>
        <w:t>Objectif 7 : Garantir l’accès de tous à une énergie abordable, fiable, durable et moderne</w:t>
      </w:r>
    </w:p>
    <w:p>
      <w:pPr>
        <w:pStyle w:val="Heading2"/>
      </w:pPr>
      <w:r>
        <w:t>Page 198</w:t>
      </w:r>
    </w:p>
    <w:p>
      <w:r>
        <w:t>Texte d'en-tête</w:t>
        <w:br/>
        <w:t>Texte de pied de page</w:t>
        <w:br/>
        <w:t>Sources de données et méthode de collecte</w:t>
        <w:br/>
        <w:t>Définition :</w:t>
        <w:br/>
        <w:t xml:space="preserve">Cet indicateur est défini comme le total des flux financiers publics internationaux, c'est-à-dire l'APD, l'OOF et les flux IRENA, vers les pays en développement en </w:t>
        <w:br/>
        <w:t xml:space="preserve">le soutien à la recherche et au développement d’énergies propres et à la production d’énergies renouvelables, y compris dans les systèmes hybrides. Ils sont exprimés en courant </w:t>
        <w:br/>
        <w:t xml:space="preserve">Dollars américains (USD). </w:t>
        <w:br/>
        <w:t>Concepts :</w:t>
        <w:br/>
        <w:t xml:space="preserve">L’aide publique au développement (APD) est définie par le Comité d’aide au développement (CAD) de l’OCDE comme les flux vers les pays et </w:t>
        <w:br/>
        <w:t>territoires figurant sur la liste du CAD des bénéficiaires de l’APD et aux institutions multilatérales qui sont :</w:t>
        <w:br/>
        <w:t>(1)    Fournis par des agences officielles, y compris les gouvernements des États et locaux, ou par leurs agences exécutives ; et</w:t>
        <w:br/>
        <w:t>(2)    Chaque transaction si :</w:t>
        <w:br/>
        <w:t>(a) est administré avec pour objectif principal la promotion du développement économique et du bien-être des pays en développement ; et</w:t>
        <w:br/>
        <w:t xml:space="preserve">(b) est de caractère concessionnel et comporte un élément de don d'au moins 25 pour cent (calculé avec un taux d'actualisation de 10 pour cent). </w:t>
        <w:br/>
        <w:t xml:space="preserve">Les autres flux officiels (OOF) sont définis comme des transactions du secteur officiel qui ne remplissent pas les conditions d'éligibilité à l'APD, que ce soit </w:t>
        <w:br/>
        <w:t xml:space="preserve">parce qu’ils ne visent pas principalement le développement, ou parce qu’ils ne sont pas suffisamment concessionnels. Ils excluent également les programmes officiellement pris en charge. </w:t>
        <w:br/>
        <w:t xml:space="preserve">crédits à l'exportation. </w:t>
        <w:br/>
        <w:t xml:space="preserve">La recherche et le développement d'énergies propres et la production d'énergies renouvelables, y compris dans les systèmes hybrides, couvrent les codes sectoriels suivants : </w:t>
        <w:br/>
        <w:t xml:space="preserve">23210 Production d'énergie, sources renouvelables – technologies multiples - Programmes de production d'énergie renouvelable qui ne peuvent être attribués à </w:t>
        <w:br/>
        <w:t>une seule technologie (codes 23220 à 23280 ci-dessous). La production de bois de feu/charbon de bois doit être incluse sous la rubrique foresterie 31261 ;</w:t>
        <w:br/>
        <w:t>23220 Centrales hydroélectriques - Y compris les barges fluviales produisant de l'énergie ;</w:t>
        <w:br/>
        <w:t>23230 Énergie solaire - Y compris les cellules photovoltaïques, les applications solaires thermiques et le chauffage solaire ;</w:t>
        <w:br/>
        <w:t>23240 Énergie éolienne - Énergie éolienne pour le pompage de l'eau et la production d'énergie électrique ;</w:t>
        <w:br/>
        <w:t>23250 Énergie marine - Y compris la conversion de l'énergie thermique des océans, l'énergie marémotrice et houlomotrice ;</w:t>
        <w:br/>
        <w:t>23260 Énergie géothermique - Utilisation de l'énergie géothermique pour produire de l'énergie électrique ou directement comme chaleur pour l'agriculture, etc. ; et</w:t>
        <w:br/>
        <w:t xml:space="preserve">23270 Centrales électriques alimentées aux biocarburants Utilisation de solides et de liquides produits à partir de la biomasse pour la production directe d'électricité. Comprend également les biogaz provenant de </w:t>
        <w:br/>
        <w:t xml:space="preserve">fermentation anaérobie (par exemple gaz de décharge, gaz de boues d'épuration, fermentation de cultures énergétiques et de fumier) et les processus thermiques (également appelés </w:t>
        <w:br/>
        <w:t xml:space="preserve">gaz de synthèse); centrales électriques alimentées par déchets utilisant des déchets municipaux biodégradables (ordures ménagères et déchets d'entreprises et publics). </w:t>
        <w:br/>
        <w:t xml:space="preserve">les services assimilés aux déchets ménagers, collectés dans des installations spécialement conçues pour leur élimination avec valorisation des liquides combustibles, </w:t>
        <w:br/>
        <w:t xml:space="preserve">gaz ou chaleur). Voir le code 23360 pour les centrales électriques à déchets non renouvelables. </w:t>
        <w:br/>
        <w:t xml:space="preserve">La recherche et le développement de technologies et de mesures d’efficacité énergétique sont répertoriés sous le code sectoriel CRS 23182 sur la recherche énergétique. Le </w:t>
        <w:br/>
        <w:t xml:space="preserve">Les flux ci-dessus comprennent également l’assistance technique fournie pour soutenir la production, la recherche et le développement tels que définis ci-dessus. </w:t>
        <w:br/>
        <w:t xml:space="preserve">Les flux IRENA sont définis comme tous les prêts, subventions et prises de participation supplémentaires reçus par les pays en développement (définis comme les pays en </w:t>
        <w:br/>
        <w:t xml:space="preserve">régions en développement, telles que répertoriées dans la composition des régions M49 de l'ONU) de tous les gouvernements étrangers, des agences multilatérales et d'autres </w:t>
        <w:br/>
        <w:t xml:space="preserve">institutions de financement du développement (y compris les crédits à l’exportation, le cas échéant) à des fins de recherche et de développement sur les énergies propres et </w:t>
        <w:br/>
        <w:t xml:space="preserve">production d’énergies renouvelables, y compris dans les systèmes hybrides. Ces flux supplémentaires couvrent les mêmes technologies et autres activités (recherche et </w:t>
        <w:br/>
        <w:t xml:space="preserve">développement, assistance technique, etc.) comme indiqué ci-dessus et exclut tous les flux extraits du Système de déclaration des créanciers (CRS) du CAD de l'OCDE. </w:t>
        <w:br/>
        <w:t>Justification et interprétation :</w:t>
        <w:br/>
        <w:t xml:space="preserve">Les flux totaux d’APD et d’OOF vers les pays en développement quantifient l’effort financier public (hors crédits à l’exportation) que les donateurs fournissent aux pays en développement. </w:t>
        <w:br/>
        <w:t xml:space="preserve">pays à renouveler énergies bles. Les flux supplémentaires (de la base de données IRENA) capturent les flux vers les bénéficiaires non-APD des pays en développement. </w:t>
        <w:br/>
        <w:t xml:space="preserve">régions, les flux provenant de pays et d’institutions qui ne communiquent pas actuellement de données au CAD et certains autres types de flux, tels que les crédits à l’exportation. </w:t>
        <w:br/>
        <w:t xml:space="preserve">L'accès à l'énergie constitue une contrainte majeure au développement dans de nombreux pays en développement et, même si elle part d'un niveau relativement faible, la demande énergétique est </w:t>
        <w:br/>
        <w:t xml:space="preserve">devrait croître très rapidement dans nombre de ces pays à l’avenir. Cela représente une opportunité pour les pays en développement d'utiliser des produits propres et </w:t>
        <w:br/>
        <w:t xml:space="preserve">technologies renouvelables pour répondre à leurs besoins énergétiques futurs s’ils peuvent accéder aux technologies et à l’expertise appropriées. Cet indicateur </w:t>
        <w:br/>
        <w:t>fournit une mesure appropriée du soutien international apporté aux pays en développement pour accéder à ces technologies.</w:t>
      </w:r>
    </w:p>
    <w:p>
      <w:pPr>
        <w:pStyle w:val="Heading2"/>
      </w:pPr>
      <w:r>
        <w:t>Page 199</w:t>
      </w:r>
    </w:p>
    <w:p>
      <w:r>
        <w:t>Texte d'en-tête</w:t>
        <w:br/>
        <w:t>Texte de pied de page</w:t>
        <w:br/>
        <w:t>Méthode de calcul et autres considérations méthodologiques</w:t>
        <w:br/>
        <w:t>Désagrégation des données</w:t>
        <w:br/>
        <w:t>Références</w:t>
        <w:br/>
        <w:t>Organisation(s) internationale(s) de surveillance mondiale</w:t>
        <w:br/>
        <w:t xml:space="preserve">Le CAD/OCDE a collecté des données sur les flux de ressources publiques et privées depuis 1960 au niveau agrégé et 1973 au niveau des activités. </w:t>
        <w:br/>
        <w:t xml:space="preserve">via le système de déclaration des créanciers (les données CRS sont considérées comme complètes à partir de 1995 pour les engagements au niveau des activités et de 2002 pour les engagements au niveau des activités). </w:t>
        <w:br/>
        <w:t xml:space="preserve">décaissements). Les données sont communiquées sur une base annuelle par année civile par les statisticiens des administrations nationales (agences d'aide, ministères de l'Éducation). </w:t>
        <w:br/>
        <w:t xml:space="preserve">Affaires étrangères ou Finances, etc.). </w:t>
        <w:br/>
        <w:t xml:space="preserve">Les données de l’IRENA sur les flux financiers provenant de sources publiques en faveur des énergies renouvelables sont disponibles dans le document Public Renewable Energy de l’IRENA. </w:t>
        <w:br/>
        <w:t xml:space="preserve">Base de données d'investissement. L'IRENA collecte ces données à partir d'un large éventail de sources accessibles au public, notamment les bases de données et les rapports annuels de tous les pays. </w:t>
        <w:br/>
        <w:t xml:space="preserve">des principales institutions de financement du développement et de 20 autres agences bilatérales et multilatérales investissant dans les énergies renouvelables. La base de données est </w:t>
        <w:br/>
        <w:t xml:space="preserve">mis à jour chaque année et (fin 2016) couvre les investissements publics dans les énergies renouvelables destinés à 29 pays développés et 104 pays en développement, </w:t>
        <w:br/>
        <w:t xml:space="preserve">pour la période 2009-2015. À mesure que de nouvelles institutions financières publiques commencent à investir dans les énergies renouvelables, la base de données IRENA s'étendra à </w:t>
        <w:br/>
        <w:t>inclure ces nouveaux investisseurs au fil du temps.</w:t>
        <w:br/>
        <w:t>Méthode de calcul :</w:t>
        <w:br/>
        <w:t xml:space="preserve">L’APD et l’OOF sont calculés en prenant le total des flux officiels provenant des pays membres du CAD, des organisations multilatérales et d’autres fournisseurs d’aide financière. </w:t>
        <w:br/>
        <w:t xml:space="preserve">aide au développement aux secteurs énumérés ci-dessus. </w:t>
        <w:br/>
        <w:t xml:space="preserve">Les flux (supplémentaires) de l’IRENA sont calculés en prenant le total des flux d’investissement public provenant de l’investissement public dans les énergies renouvelables de l’IRENA. </w:t>
        <w:br/>
        <w:t xml:space="preserve">Base de données et excluant : les flux financiers intérieurs ; flux internationaux vers des pays situés en dehors des régions en développement ; et les flux déclarés par l'OCDE (comme </w:t>
        <w:br/>
        <w:t xml:space="preserve">décrit ci-dessus). Les flux sont mesurés en dollars américains (USD) courants. </w:t>
        <w:br/>
        <w:t>Commentaires et limites :</w:t>
        <w:br/>
        <w:t xml:space="preserve">Les données du SNPC sont disponibles à partir de 1973. Toutefois, la couverture des données est considérée comme complète depuis 1995 pour les engagements au niveau des activités et </w:t>
        <w:br/>
        <w:t xml:space="preserve">2002 pour les décaissements. À l'heure actuelle, les flux vers la recherche et le développement d'énergies propres ne sont que partiellement couverts par la base de données et par quelques autres </w:t>
        <w:br/>
        <w:t xml:space="preserve">certains domaines (par exemple, l’approvisionnement en électricité hors réseau, les investissements dans des projets de foyers améliorés) peuvent n’être couverts que partiellement. </w:t>
        <w:br/>
        <w:t xml:space="preserve">La base de données IRENA ne couvre actuellement que les institutions financières qui ont investi au total 400 millions de dollars ou plus dans les énergies renouvelables. Le </w:t>
        <w:br/>
        <w:t xml:space="preserve">le processus d'amélioration continue de la base de données comprend la vérification des données par rapport aux données produites par les banques multilatérales de développement pour </w:t>
        <w:br/>
        <w:t xml:space="preserve">rapports sur le financement climatique et en comparant les données avec d’autres rapports indépendants rédigés par des agences internationales de financement du développement. </w:t>
        <w:br/>
        <w:t>Sous-indicateur, indicateurs alternatifs et supplémentaires : N/A</w:t>
        <w:br/>
        <w:t xml:space="preserve">Les données du CAD/OCDE peuvent être ventilées par type de flux (APD ou OOF), par donateur, pays bénéficiaire, type de financement, type d'aide (projet, </w:t>
        <w:br/>
        <w:t xml:space="preserve">sous-secteur agricole, etc.). </w:t>
        <w:br/>
        <w:t xml:space="preserve">Les données de l'IRENA peuvent être ventilées par technologies (c'est-à-dire bioénergie, énergie géothermique, hydroélectricité, énergie océanique, énergie solaire et éolienne). </w:t>
        <w:br/>
        <w:t xml:space="preserve">énergie) et sous-technologies (par exemple l'éolien terrestre et offshore), par géographie (à la fois au niveau national et régional), par instrument financier et </w:t>
        <w:br/>
        <w:t>par type de destinataire.</w:t>
        <w:br/>
        <w:t xml:space="preserve">URL officielle des métadonnées ODD </w:t>
        <w:br/>
        <w:t xml:space="preserve">https://unstats.un.org/sdgs/metadata/files/Metadata-07-0a-01.pdf </w:t>
        <w:br/>
        <w:t xml:space="preserve">Méthodologie reconnue au niveau international et URL des lignes directrices </w:t>
        <w:br/>
        <w:t xml:space="preserve">N/D </w:t>
        <w:br/>
        <w:t>Autres références</w:t>
        <w:br/>
        <w:t>CRS : voir tous les liens ici : http://www.oecd.org/dac/stats/methodology.htm</w:t>
        <w:br/>
        <w:t>Flux financiers de l'IRENA pour les énergies renouvelables : http://resourceirena.irena.org/gateway/dashboard/?topic=6&amp;subTopic=8</w:t>
        <w:br/>
        <w:t xml:space="preserve">Exemples de pays </w:t>
        <w:br/>
        <w:t>N/D</w:t>
        <w:br/>
        <w:t xml:space="preserve">Ce document a été préparé sur la base des contributions de l'Organisation de coopération et de développement économiques (OCDE) et de la communauté internationale. </w:t>
        <w:br/>
        <w:t>Agence des énergies renouvelables (IRENA).</w:t>
        <w:br/>
        <w:t>Pour obtenir des informations sur les points focaux pour cet indicateur, veuillez visiter https://unstats.un.org/sdgs/dataContacts/</w:t>
      </w:r>
    </w:p>
    <w:p>
      <w:pPr>
        <w:pStyle w:val="Heading2"/>
      </w:pPr>
      <w:r>
        <w:t>Page 200</w:t>
      </w:r>
    </w:p>
    <w:p>
      <w:r>
        <w:t>Texte d'en-tête</w:t>
        <w:br/>
        <w:t>Texte de pied de page</w:t>
      </w:r>
    </w:p>
    <w:p>
      <w:pPr>
        <w:pStyle w:val="Heading2"/>
      </w:pPr>
      <w:r>
        <w:t>Page 201</w:t>
      </w:r>
    </w:p>
    <w:p>
      <w:r>
        <w:t>Texte d'en-tête</w:t>
        <w:br/>
        <w:t>Texte de pied de page</w:t>
        <w:br/>
        <w:t>Objectif 8</w:t>
        <w:br/>
        <w:t xml:space="preserve">Promouvoir une croissance économique soutenue, inclusive et durable, </w:t>
        <w:br/>
        <w:t>plein emploi productif et travail décent pour tous</w:t>
        <w:br/>
        <w:t>Page d'accueil du manuel électronique</w:t>
        <w:br/>
        <w:t>Dans cet objectif :</w:t>
        <w:br/>
        <w:t xml:space="preserve">La Division de statistique des Nations Unies (DSNU) a travaillé en consultation avec l'agence(s) dépositaire(s) de chaque indicateur pour préparer ces chapitres. Pour </w:t>
        <w:br/>
        <w:t>les indicateurs qui n’ont pas encore de chapitre ici, sont en cours de préparation et seront téléchargés ici dès qu’ils seront disponibles.</w:t>
        <w:br/>
        <w:t>Si vous avez des questions sur le manuel électronique, n'hésitez pas à contacter M. Yuxi Zhang ( yuxi.zhang@un.org) avec copie à M. Ze Yar Min (min@</w:t>
        <w:br/>
        <w:t>.un.org)</w:t>
      </w:r>
    </w:p>
    <w:p>
      <w:pPr>
        <w:pStyle w:val="Heading2"/>
      </w:pPr>
      <w:r>
        <w:t>Page 202</w:t>
      </w:r>
    </w:p>
    <w:p>
      <w:r>
        <w:t>Texte d'en-tête</w:t>
        <w:br/>
        <w:t>Texte de pied de page</w:t>
        <w:br/>
        <w:t>Indicateur 8.1.1</w:t>
        <w:br/>
        <w:t>Page d'accueil du manuel électronique</w:t>
        <w:br/>
        <w:t xml:space="preserve"> </w:t>
        <w:br/>
        <w:t>Nom de l’indicateur, cible et objectif</w:t>
        <w:br/>
        <w:t>Définition et justification</w:t>
        <w:br/>
        <w:t>Sources de données et méthode de collecte</w:t>
        <w:br/>
        <w:t>Contenu</w:t>
        <w:br/>
        <w:t>Nom de l’indicateur, cible et objectif</w:t>
        <w:br/>
        <w:t>Définition et justification</w:t>
        <w:br/>
        <w:t>Sources de données et méthode de collecte</w:t>
        <w:br/>
        <w:t>Méthode de calcul et autres considérations méthodologiques</w:t>
        <w:br/>
        <w:t>Désagrégation des données</w:t>
        <w:br/>
        <w:t>Références</w:t>
        <w:br/>
        <w:t>Organisation(s) internationale(s) de surveillance mondiale</w:t>
        <w:br/>
        <w:t xml:space="preserve"> Indicateur 8.1.1 : Taux de croissance annuel du PIB réel par habitant</w:t>
        <w:br/>
        <w:t xml:space="preserve">Cible 8.1 : Maintenir une croissance économique par habitant adaptée aux circonstances nationales et, en particulier, une croissance intérieure brute d'au moins 7 % </w:t>
        <w:br/>
        <w:t>croissance annuelle des produits dans les pays les moins avancés</w:t>
        <w:br/>
        <w:t xml:space="preserve">Objectif 8 : Promouvoir une croissance économique soutenue, inclusive et durable, le plein emploi productif et un travail décent pour tous </w:t>
        <w:br/>
        <w:t>Définition :</w:t>
        <w:br/>
        <w:t xml:space="preserve">Cet indicateur est défini comme la variation en pourcentage du PIB réel par habitant entre deux années consécutives. </w:t>
        <w:br/>
        <w:t>Concepts :</w:t>
        <w:br/>
        <w:t xml:space="preserve">Le PIB est la mesure de la valeur monétaire des biens et services finaux produits sur un territoire/pays économique à un moment donné. </w:t>
        <w:br/>
        <w:t xml:space="preserve">période.  Il est calculé sans déduction de la dépréciation des actifs produits ni de l’épuisement et de la dégradation des ressources naturelles. Il </w:t>
        <w:br/>
        <w:t>peut être mesuré soit par :</w:t>
        <w:br/>
        <w:t>(1)    La méthode des dépenses – la somme des dépenses consacrées à la consommation finale, à la formation brute de capital et aux exportations nettes ; ou</w:t>
        <w:br/>
        <w:t>(2)    La méthode de production – la valeur des produits finaux moins toute consommation intermédiaire, plus les impôts nets (impôts moins subventions) ; ou</w:t>
        <w:br/>
        <w:t xml:space="preserve">(3)    L'approche par le revenu – la somme de la rémunération des salariés, de l'excédent brut d'exploitation, des revenus mixtes bruts et des impôts nets sur les deux </w:t>
        <w:br/>
        <w:t xml:space="preserve">production et importations. </w:t>
        <w:br/>
        <w:t xml:space="preserve">Le PIB réel est le PIB ajusté des variations de prix en utilisant le rapport entre les prix de l'année en cours et les prix d'une année de référence donnée. </w:t>
        <w:br/>
        <w:t xml:space="preserve">Le PIB réel par habitant est le PIB réel divisé par la population d'un pays. </w:t>
        <w:br/>
        <w:t xml:space="preserve">La population d'un pays peut comprendre soit tous les résidents habituels du pays, soit toutes les personnes présentes dans le pays au moment d'une population. </w:t>
        <w:br/>
        <w:t xml:space="preserve">recensement. </w:t>
        <w:br/>
        <w:t>Justification et interprétation :</w:t>
        <w:br/>
        <w:t xml:space="preserve">Mesurer le taux de croissance annuel du PIB réel par habitant permet de suivre directement l’objectif 8.1. Il sert également d'indicateur de la norme moyenne </w:t>
        <w:br/>
        <w:t xml:space="preserve">de vie des résidents d'un pays. </w:t>
        <w:br/>
        <w:t xml:space="preserve">Une variation positive en pourcentage du PIB réel annuel par habitant peut être interprétée comme une augmentation du niveau de vie moyen des résidents. </w:t>
        <w:br/>
        <w:t>dans un pays.</w:t>
      </w:r>
    </w:p>
    <w:p>
      <w:pPr>
        <w:pStyle w:val="Heading2"/>
      </w:pPr>
      <w:r>
        <w:t>Page 203</w:t>
      </w:r>
    </w:p>
    <w:p>
      <w:r>
        <w:t>Texte d'en-tête</w:t>
        <w:br/>
        <w:t>Texte de pied de page</w:t>
        <w:br/>
        <w:t>Méthode de calcul et autres considérations méthodologiques</w:t>
        <w:br/>
        <w:t>Désagrégation des données</w:t>
        <w:br/>
        <w:t xml:space="preserve">Le PIB est calculé dans le cadre de la compilation des données des comptes nationaux d'un pays.  Les comptes nationaux et les données démographiques d'un pays </w:t>
        <w:br/>
        <w:t xml:space="preserve">sont généralement compilées par les autorités statistiques d'un pays (Office statistique, Banque centrale, ministères concernés, etc.). Les données sous-jacentes pour </w:t>
        <w:br/>
        <w:t xml:space="preserve">l’établissement des comptes nationaux et du PIB, peut provenir soit d’enquêtes statistiques, soit de sources administratives. La méthode d'enquête collecte des données </w:t>
        <w:br/>
        <w:t xml:space="preserve">en utilisant des enquêtes auprès des entreprises représentatives au niveau national, des enquêtes sur le budget des ménages et des enquêtes sur les prix à la consommation, etc. Données administratives </w:t>
        <w:br/>
        <w:t xml:space="preserve">Les sources sont les dépenses et les recettes publiques, les déclarations fiscales, la balance des paiements, l’immatriculation des véhicules, les données sur l’emploi, etc. </w:t>
        <w:br/>
        <w:t xml:space="preserve">La norme statistique internationale pour l'établissement des comptes nationaux d'un pays est le Système de comptabilité nationale 2008 (SCN 2008), qui </w:t>
        <w:br/>
        <w:t>fournit des indications détaillées sur le calcul du PIB, voir : . Des conseils supplémentaires sont disponibles sur https://unstats.un.org/unsd/nationalaccount/sna2008.asp.</w:t>
        <w:br/>
        <w:t>également fourni dans les publications suivantes : National Accounts : A Practical introduction, voir : https://unstats.un.org/unsd/publication/SeriesF</w:t>
        <w:br/>
        <w:t xml:space="preserve"> /sérieF_85.pdf</w:t>
        <w:br/>
        <w:t>Comprendre les comptes nationaux, voir : http://www.oecd.org/sdd/UNA-2014.pdf</w:t>
        <w:br/>
        <w:t>SCN essentiel : construire les bases, voir : http://ec.europa.eu/eurostat/documents/3859598/5937349/KS-GQ-14-008-EN.PDF/dead3c43-51bb-</w:t>
        <w:br/>
        <w:t xml:space="preserve"> 4833-b4c5-f2f0d951bc52</w:t>
        <w:br/>
        <w:t xml:space="preserve">Les statistiques démographiques sont obtenues à partir de recensements et d'enquêtes démographiques. Les principes et recommandations pour la population et le logement </w:t>
        <w:br/>
        <w:t>Les recensements fournissent des principes et des recommandations internationaux pour mener des recensements de population, voir : https://unstats.un.org/unsd/publication</w:t>
        <w:br/>
        <w:t xml:space="preserve"> . /seriesM/Series_M67rev3fr.pdf</w:t>
        <w:br/>
        <w:t xml:space="preserve">La publication Perspectives de la population mondiale La révision 2017, Méthodologie des estimations et projections démographiques des Nations Unies </w:t>
        <w:br/>
        <w:t>fournit des conseils sur les estimations de population, voir : https://esa.un.org/unpd/wpp/Publications/Files/WPP2017_Methodology.pdf</w:t>
        <w:br/>
        <w:t>Méthode de calcul :</w:t>
        <w:br/>
        <w:t xml:space="preserve">Afin de calculer le taux de croissance annuel du PIB réel par habitant, les étapes suivantes doivent être suivies : </w:t>
        <w:br/>
        <w:t xml:space="preserve">Étape 1 : Divisez le PIB réel par année et par la population totale du pays au cours des années respectives pour obtenir le PIB réel par habitant pour le t t+1 </w:t>
        <w:br/>
        <w:t xml:space="preserve">deux années consécutives. </w:t>
        <w:br/>
        <w:t>où,</w:t>
        <w:br/>
        <w:t xml:space="preserve">G t est le PIB réel par habitant pour l'année ett ; </w:t>
        <w:br/>
        <w:t>G t+1 est le PIB réel par habitant pour l'année t+1.</w:t>
        <w:br/>
        <w:t xml:space="preserve">Étape 2 : Le taux de croissance annuel du PIB réel par habitant est ensuite calculé comme suit :   </w:t>
        <w:br/>
        <w:t>Commentaires et limites :</w:t>
        <w:br/>
        <w:t xml:space="preserve">Bien que les pays ou zones calculent le PIB en utilisant les principes et recommandations communs du Système de </w:t>
        <w:br/>
        <w:t xml:space="preserve">(SCN), la comparabilité internationale des estimations du PIB pose encore des problèmes en raison du fait que les pays utilisent potentiellement des versions différentes de ces estimations. </w:t>
        <w:br/>
        <w:t xml:space="preserve">le SCN (par exemple 1968, 1993 ou 2008) ou différents degrés de couverture des activités économiques informelles et non observées dans les estimations du PIB. </w:t>
        <w:br/>
        <w:t xml:space="preserve">Une limitation fréquemment citée du PIB est qu’il ne prend pas en compte les coûts sociaux et environnementaux de la production. Il est cependant désigné comme </w:t>
        <w:br/>
        <w:t xml:space="preserve">une mesure du niveau de bien-être général. </w:t>
        <w:br/>
        <w:t>Indicateurs proxy, alternatifs et supplémentaires : N/A</w:t>
        <w:br/>
        <w:t xml:space="preserve">Il est possible de ventiler les données nationales par région et par secteur économique, si les données régionales sous-jacentes sont disponibles et cohérentes avec les </w:t>
        <w:br/>
        <w:t>comptes nationaux.</w:t>
      </w:r>
    </w:p>
    <w:p>
      <w:pPr>
        <w:pStyle w:val="Heading2"/>
      </w:pPr>
      <w:r>
        <w:t>Page 204</w:t>
      </w:r>
    </w:p>
    <w:p>
      <w:r>
        <w:t>Texte d'en-tête</w:t>
        <w:br/>
        <w:t>Texte de pied de page</w:t>
        <w:br/>
        <w:t>Références</w:t>
        <w:br/>
        <w:t>Organisation(s) internationale(s) de surveillance mondiale</w:t>
        <w:br/>
        <w:t>URL officielle des métadonnées ODD</w:t>
        <w:br/>
        <w:t xml:space="preserve">https://unstats.un.org/sdgs/metadata/files/Metadata-08-01-01.pdf  </w:t>
        <w:br/>
        <w:t>Méthodologie reconnue au niveau international et URL des lignes directrices</w:t>
        <w:br/>
        <w:t xml:space="preserve">Le SCN 2008, voir : https://unstats.un.org/unsd/nationalaccount/sna2008.asp </w:t>
        <w:br/>
        <w:t>Autres références</w:t>
        <w:br/>
        <w:t>DSNU. Comptes nationaux, voir : https://unstats.un.org/unsd/nationalaccount/default.asp</w:t>
        <w:br/>
        <w:t>DSNU. voir : Données des comptes nationaux. https://unstats.un.org/unsd/nationalaccount/data.asp</w:t>
        <w:br/>
        <w:t>Nations Unies. voir : Division de la population : Perspectives de la population mondiale 2017. https://esa.un.org/unpd/wpp/</w:t>
        <w:br/>
        <w:t>Ce document a été préparé sur la base des contributions de la Division de statistique des Nations Unies (DSNU).</w:t>
        <w:br/>
        <w:t>Pour obtenir des informations sur les points focaux pour cet indicateur, veuillez visiter https://unstats.un.org/sdgs/dataContacts/</w:t>
      </w:r>
    </w:p>
    <w:p>
      <w:pPr>
        <w:pStyle w:val="Heading2"/>
      </w:pPr>
      <w:r>
        <w:t>Page 205</w:t>
      </w:r>
    </w:p>
    <w:p>
      <w:r>
        <w:t>Texte d'en-tête</w:t>
        <w:br/>
        <w:t>Texte de pied de page</w:t>
        <w:br/>
        <w:t>Indicateur 8.2.1</w:t>
        <w:br/>
        <w:t>Page d'accueil du manuel électronique</w:t>
        <w:br/>
        <w:t xml:space="preserve"> </w:t>
        <w:br/>
        <w:t>Nom de l’indicateur, cible et objectif</w:t>
        <w:br/>
        <w:t>Définition et justification</w:t>
        <w:br/>
        <w:t>Sources de données et méthode de collecte</w:t>
        <w:br/>
        <w:t>Contenu</w:t>
        <w:br/>
        <w:t>Nom de l’indicateur, cible et objectif</w:t>
        <w:br/>
        <w:t>Définition et justification</w:t>
        <w:br/>
        <w:t>Sources de données et méthode de collecte</w:t>
        <w:br/>
        <w:t>Méthode de calcul et autres considérations méthodologiques</w:t>
        <w:br/>
        <w:t>Désagrégation des données</w:t>
        <w:br/>
        <w:t>Références</w:t>
        <w:br/>
        <w:t>Organisation(s) internationale(s) de surveillance mondiale</w:t>
        <w:br/>
        <w:t xml:space="preserve"> Indicateur 8.2.1 : Taux de croissance annuel du PIB réel par personne occupée</w:t>
        <w:br/>
        <w:t xml:space="preserve">Cible 8.2 : Atteindre des niveaux plus élevés de productivité économique grâce à la diversification, à la modernisation technologique et à l’innovation, notamment grâce à un </w:t>
        <w:br/>
        <w:t>se concentrer sur les secteurs à forte valeur ajoutée et à forte intensité de main d’œuvre</w:t>
        <w:br/>
        <w:t>Objectif 8 : Promouvoir une croissance économique soutenue, inclusive et durable, le plein emploi productif et un travail décent pour tous</w:t>
        <w:br/>
        <w:t>Définition :</w:t>
        <w:br/>
        <w:t xml:space="preserve">Cet indicateur traduit le taux de croissance du PIB réel produit par unité de travail. Cet indicateur est généralement défini comme la variation en pourcentage </w:t>
        <w:br/>
        <w:t>du PIB réel (aux prix constants de l’année de base) par personne occupée – également appelé productivité du travail – entre deux années consécutives.</w:t>
        <w:br/>
        <w:t xml:space="preserve">Cependant, le facteur travail fait plus largement référence à toutes les personnes qui contribuent à la production de biens et de services dans le cadre de la production du SCN. </w:t>
        <w:br/>
        <w:t xml:space="preserve">frontière, pas seulement les employés. En effet, selon les nouvelles normes énoncées dans la Résolution de 2013 concernant les statistiques du travail, </w:t>
        <w:br/>
        <w:t>, le facteur travail contribuant au PIB ne comprend pas seulement l'emploi (le travail effectué pour être utilisé par d'autres, l'emploi et la sous-utilisation de la main-d'œuvre</w:t>
        <w:br/>
        <w:t xml:space="preserve">contre rémunération ou profit), mais aussi la production de biens pour son propre usage, le travail de stagiaire non rémunéré et certaines formes de travail bénévole. </w:t>
        <w:br/>
        <w:t>Concepts :</w:t>
        <w:br/>
        <w:t xml:space="preserve">Le PIB est la mesure de la valeur monétaire des biens et services finaux achetés par l'utilisateur final et produits dans un contexte économique. </w:t>
        <w:br/>
        <w:t xml:space="preserve">territoire/pays au cours d’une année donnée.  Il est calculé sans déduction pour la dépréciation des actifs fabriqués ou pour l'épuisement et </w:t>
        <w:br/>
        <w:t>dégradation des ressources naturelles. Elle peut être mesurée soit par :</w:t>
        <w:br/>
        <w:t>(1)    La méthode des dépenses – la somme des dépenses consacrées à la consommation finale, à la formation brute de capital et aux exportations nettes ; ou</w:t>
        <w:br/>
        <w:t>(2)    La méthode de production – la valeur des produits finaux moins toute consommation intermédiaire, plus les impôts nets (impôts moins subventions) ; ou</w:t>
        <w:br/>
        <w:t xml:space="preserve">(3)    L'approche par le revenu – la somme de la rémunération des salariés, de l'excédent brut d'exploitation, des revenus mixtes bruts et des impôts nets sur les deux </w:t>
        <w:br/>
        <w:t xml:space="preserve">production et importations. </w:t>
        <w:br/>
        <w:t xml:space="preserve">Le PIB réel est le chiffre du PIB ajusté des variations de prix (c'est-à-dire l'inflation ou la déflation). Il est ajusté en fonction du rapport entre les prix de l'année en cours et ceux de </w:t>
        <w:br/>
        <w:t xml:space="preserve">prix au cours d’une année de référence donnée. </w:t>
        <w:br/>
        <w:t xml:space="preserve">L'emploi comprend toutes les personnes en âge de travailler qui, pendant une courte période de référence (une semaine), ont exercé une activité visant à produire </w:t>
        <w:br/>
        <w:t xml:space="preserve">biens ou fournir des services contre rémunération ou profit. La population en âge de travailler est généralement définie comme les personnes âgées de 15 ans et plus. </w:t>
        <w:br/>
        <w:t>Justification et interprétation :</w:t>
        <w:br/>
        <w:t xml:space="preserve">PIB réel par unité de facteur de travail (en termes d'une personne contribuant à la production de biens et de services dans le cadre de la production du SCN </w:t>
        <w:br/>
        <w:t xml:space="preserve">limite, ou comme défini plus généralement, en termes d'une personne employée) est une mesure de la productivité du travail. Lorsqu'il est surveillé au fil du temps, il </w:t>
        <w:br/>
        <w:t xml:space="preserve">offre un aperçu de la croissance de la productivité du travail et de l'évolution, de l'efficacité et de la qualité du capital humain dans le processus de production. Économique </w:t>
        <w:br/>
        <w:t xml:space="preserve">la croissance dans un pays peut être attribuée soit à une augmentation de la main-d’œuvre, soit à un travail plus efficace de ceux qui ont un emploi. Cet indicateur jette </w:t>
        <w:br/>
        <w:t xml:space="preserve">la lumière sur ce dernier effet, constituant donc une mesure clé de la performance économique. Les estimations de la productivité du travail (et de la croissance) peuvent étayer l’hypothèse </w:t>
        <w:br/>
        <w:t xml:space="preserve">formulation de politiques du marché du travail et suivi de leurs effets. Ils peuvent également contribuer à comprendre comment la performance du marché du travail </w:t>
        <w:br/>
        <w:t>affecte le niveau de vie.</w:t>
      </w:r>
    </w:p>
    <w:p>
      <w:pPr>
        <w:pStyle w:val="Heading2"/>
      </w:pPr>
      <w:r>
        <w:t>Page 206</w:t>
      </w:r>
    </w:p>
    <w:p>
      <w:r>
        <w:t>Texte d'en-tête</w:t>
        <w:br/>
        <w:t>Texte de pied de page</w:t>
        <w:br/>
        <w:t>Méthode de calcul et autres considérations méthodologiques</w:t>
        <w:br/>
        <w:t>Désagrégation des données</w:t>
        <w:br/>
        <w:t>Références</w:t>
        <w:br/>
        <w:t xml:space="preserve">Les données sur le PIB utilisées pour l'indicateur sont compilées par les bureaux nationaux de statistique, les ministères des finances ou de l'économie, dans le cadre de leurs politiques nationales. </w:t>
        <w:br/>
        <w:t xml:space="preserve">activités comptables. </w:t>
        <w:br/>
        <w:t xml:space="preserve">Les données sur l'emploi ou sur le facteur travail sont dérivées de la population active ou d'autres enquêtes auprès des ménages représentatives au niveau national avec une approche appropriée. </w:t>
        <w:br/>
        <w:t xml:space="preserve">module, qui sont également menées par les bureaux nationaux de statistique ou les ministères du travail. En l’absence de telles enquêtes, l’établissement/la société </w:t>
        <w:br/>
        <w:t xml:space="preserve">des enquêtes, des dossiers administratifs ou d’autres estimations officielles basées sur des sources fiables telles que le recensement de la population peuvent être utilisés. Il est important de </w:t>
        <w:br/>
        <w:t xml:space="preserve">Il convient toutefois de noter que les enquêtes auprès des établissements ne capturent que le nombre d'emplois, et non le nombre de personnes occupées, et peuvent également se limiter aux </w:t>
        <w:br/>
        <w:t xml:space="preserve">le secteur formel. </w:t>
        <w:br/>
        <w:t>Méthode de calcul :</w:t>
        <w:br/>
        <w:t xml:space="preserve">Premièrement, le PIB par personne employée est obtenu en divisant le PIB de cette année par le nombre de personnes employées dans le pays au cours de la même année. </w:t>
        <w:br/>
        <w:t xml:space="preserve">année en utilisant la formule : </w:t>
        <w:br/>
        <w:t xml:space="preserve">Ensuite, le taux de croissance annuel par personne occupée du PIB réel pour l’année t est calculé comme suit : </w:t>
        <w:br/>
        <w:t xml:space="preserve"> </w:t>
        <w:br/>
        <w:t>où,</w:t>
        <w:br/>
        <w:t xml:space="preserve">LP t est le PIB réel par personne occupée (productivité du travail) aux prix de base constants pour l'année ett ; </w:t>
        <w:br/>
        <w:t>LP t-1 est le PIB réel par personne employée (productivité du travail) aux prix de base constants pour l'année t-1.</w:t>
        <w:br/>
        <w:t>Commentaires et limites :</w:t>
        <w:br/>
        <w:t xml:space="preserve">Le PIB est principalement calculé sur la base du SCN. Toutefois, des problèmes importants subsistent en matière de cohérence internationale des comptes nationaux. </w:t>
        <w:br/>
        <w:t xml:space="preserve">estimations dues à des facteurs tels que les différences dans le traitement de la production dans les secteurs de services, les différences dans les méthodes utilisées pour corriger la production </w:t>
        <w:br/>
        <w:t xml:space="preserve">mesures des variations de prix (en particulier, utilisation de différents systèmes de pondération pour obtenir des déflateurs) et différences dans le degré de couverture des </w:t>
        <w:br/>
        <w:t xml:space="preserve">activités économiques informelles. </w:t>
        <w:br/>
        <w:t xml:space="preserve">Le degré de fiabilité des estimations sur l'emploi ou le facteur travail dépend également du degré de couverture de toutes les activités productives, </w:t>
        <w:br/>
        <w:t xml:space="preserve">et particulièrement les activités informelles, selon la source statistique utilisée. </w:t>
        <w:br/>
        <w:t>Indicateurs proxy, alternatifs et supplémentaires : N/A</w:t>
        <w:br/>
        <w:t>La ventilation n’est pas requise pour cet indicateur. Toutefois, une ventilation par région et par secteur économique peut s’avérer bénéfique.</w:t>
      </w:r>
    </w:p>
    <w:p>
      <w:pPr>
        <w:pStyle w:val="Heading2"/>
      </w:pPr>
      <w:r>
        <w:t>Page 207</w:t>
      </w:r>
    </w:p>
    <w:p>
      <w:r>
        <w:t>Texte d'en-tête</w:t>
        <w:br/>
        <w:t>Texte de pied de page</w:t>
        <w:br/>
        <w:t>Organisation(s) internationale(s) de surveillance mondiale</w:t>
        <w:br/>
        <w:t>URL officielle des métadonnées ODD</w:t>
        <w:br/>
        <w:t xml:space="preserve">https://unstats.un.org/sdgs/metadata/files/Metadata-08-02-01.pdf  </w:t>
        <w:br/>
        <w:t>Méthodologie reconnue au niveau international et URL des lignes directrices</w:t>
        <w:br/>
        <w:t>(1)    https://www.ilo.org/global/statistics-and-databases/standards-and-guidelines/resolutions-adopted-by-international-conferences-of-labour-</w:t>
        <w:br/>
        <w:t>statisticiens/WCMS_230304/lang--en/index.htm</w:t>
        <w:br/>
        <w:t>(2)    http://www.ilo.org/empelm/projects/WCMS_114246/lang--en/index.htm</w:t>
        <w:br/>
        <w:t>(3)     http://unstats.un.org/unsd/nationalaccount/sna2008.asp</w:t>
        <w:br/>
        <w:t>Autres références</w:t>
        <w:br/>
        <w:t>OIT (2013). Genève. Disponible sur : Indicateurs du travail décent : Lignes directrices à l’intention des producteurs et des utilisateurs d’indicateurs du cadre statistique et juridique. http</w:t>
        <w:br/>
        <w:t>http://www.ilo.org/wcmsp5/groups/public/---dgreports/---stat/documents/publication/wcms_223121.pdf</w:t>
        <w:br/>
        <w:t>OIT (2015). Genève Disponible sur : Indicateurs clés du marché du travail. Tableau 16 – Productivité du travail. .  http://www.ilo.org/wcmsp5/groups</w:t>
        <w:br/>
        <w:t>/public/---dgreports/---stat/documents/publication/wcms_422456.pdf</w:t>
        <w:br/>
        <w:t>OIT (2013). 19 Résolution de la Conférence internationale du travail concernant les statistiques du travail, de l'emploi et de la sous-utilisation de la main-d'œuvre. e</w:t>
        <w:br/>
        <w:t>Statisticiens. Genève. Disponible sur : http://www.ilo.org/global/statistics-and-databases/standards-and-guidelines/resolutions-adopted-by-</w:t>
        <w:br/>
        <w:t>conférences-internationales-des-statisticiens-du-travail/WCMS_230304/lang--en/index.htm</w:t>
        <w:br/>
        <w:t>DSNU (2008). New York. Disponible sur : Système de comptabilité nationale 2008. https://unstats.un.org/unsd/nationalaccount/sna2008.asp</w:t>
        <w:br/>
        <w:t>OIT (2010). Genève. Disponible sur : Tendances des modèles économétriques : une revue de la méthodologie. http://www.ilo.org/empelm/pubs/WCMS_120382/lang--</w:t>
        <w:br/>
        <w:t>fr/index.htm</w:t>
        <w:br/>
        <w:t>Ce document a été préparé sur la base des contributions de l'Organisation internationale du travail (OIT).</w:t>
        <w:br/>
        <w:t>Pour obtenir des informations sur les points focaux pour cet indicateur, veuillez visiter https://unstats.un.org/sdgs/dataContacts/</w:t>
      </w:r>
    </w:p>
    <w:p>
      <w:pPr>
        <w:pStyle w:val="Heading2"/>
      </w:pPr>
      <w:r>
        <w:t>Page 208</w:t>
      </w:r>
    </w:p>
    <w:p>
      <w:r>
        <w:t>Texte d'en-tête</w:t>
        <w:br/>
        <w:t>Texte de pied de page</w:t>
        <w:br/>
        <w:t>Indicateur 8.3.1</w:t>
        <w:br/>
        <w:t>Page d'accueil du manuel électronique</w:t>
        <w:br/>
        <w:t>Nom de l’indicateur, cible et objectif</w:t>
        <w:br/>
        <w:t>Définition et justification</w:t>
        <w:br/>
        <w:t>Contenu</w:t>
        <w:br/>
        <w:t>Nom de l’indicateur, cible et objectif</w:t>
        <w:br/>
        <w:t>Définition et justification</w:t>
        <w:br/>
        <w:t>Sources de données et méthode de collecte</w:t>
        <w:br/>
        <w:t>Méthode de calcul et autres considérations méthodologiques</w:t>
        <w:br/>
        <w:t>Désagrégation des données</w:t>
        <w:br/>
        <w:t>Références</w:t>
        <w:br/>
        <w:t>Organisation(s) internationale(s) de surveillance mondiale</w:t>
        <w:br/>
        <w:t xml:space="preserve"> Indicateur 8.3.1 : Proportion de l'emploi informel dans l'emploi total, par secteur et sexe</w:t>
        <w:br/>
        <w:t xml:space="preserve">Cible 8.3 : Promouvoir des politiques axées sur le développement qui soutiennent les activités productives, la création d’emplois décents, l’entrepreneuriat, la créativité et </w:t>
        <w:br/>
        <w:t xml:space="preserve">l’innovation et encourager la formalisation et la croissance des micro, petites et moyennes entreprises, notamment grâce à l’accès aux financements. </w:t>
        <w:br/>
        <w:t>service</w:t>
        <w:br/>
        <w:t>Objectif 8 : Promouvoir une croissance économique soutenue, inclusive et durable, le plein emploi productif et un travail décent pour tous</w:t>
      </w:r>
    </w:p>
    <w:p>
      <w:pPr>
        <w:pStyle w:val="Heading2"/>
      </w:pPr>
      <w:r>
        <w:t>Page 209</w:t>
      </w:r>
    </w:p>
    <w:p>
      <w:r>
        <w:t>Texte d'en-tête</w:t>
        <w:br/>
        <w:t>Texte de pied de page</w:t>
        <w:br/>
        <w:t>Sources de données et méthode de collecte</w:t>
        <w:br/>
        <w:t>Méthode de calcul et autres considérations méthodologiques</w:t>
        <w:br/>
        <w:t>Définition :</w:t>
        <w:br/>
        <w:t xml:space="preserve">Cet indicateur est défini comme le pourcentage d’emplois non agricoles classés comme emplois informels. </w:t>
        <w:br/>
        <w:t xml:space="preserve">Concepts : </w:t>
        <w:br/>
        <w:t xml:space="preserve">L'emploi comprend toutes les personnes en âge de travailler qui, pendant une courte période de référence (une semaine), ont exercé une activité visant à produire </w:t>
        <w:br/>
        <w:t xml:space="preserve">biens ou fournir des services contre rémunération ou profit. La population en âge de travailler est généralement définie comme l’ensemble des personnes âgées de 15 ans et plus. </w:t>
        <w:br/>
        <w:t>L'emploi informel comprend les personnes qui, dans leur emploi principal ou secondaire, appartenaient à l'une des catégories suivantes :</w:t>
        <w:br/>
        <w:t xml:space="preserve">Les travailleurs à leur compte, les employeurs et les membres de coopératives de producteurs employés dans leurs propres entreprises du secteur informel (les </w:t>
        <w:br/>
        <w:t>les caractéristiques de l'entreprise déterminent le caractère informel de leurs emplois) ;</w:t>
        <w:br/>
        <w:t xml:space="preserve">Les travailleurs familiaux contributeurs, qu'ils travaillent dans des entreprises du secteur formel ou informel (ils n'ont généralement pas d'accords explicites, </w:t>
        <w:br/>
        <w:t xml:space="preserve">contrats de travail écrits et ne sont pas soumis à la législation du travail, aux réglementations de sécurité sociale, aux conventions collectives, etc., qui </w:t>
        <w:br/>
        <w:t>détermine le caractère informel de leur emploi);</w:t>
        <w:br/>
        <w:t xml:space="preserve">Employés occupant des emplois informels, qu'ils soient employés par des entreprises du secteur formel, des entreprises du secteur informel ou comme domestiques rémunérés </w:t>
        <w:br/>
        <w:t xml:space="preserve">travailleurs par ménages (les salariés sont considérés comme ayant un emploi informel si leur relation de travail n'est, en droit ou en pratique, pas </w:t>
        <w:br/>
        <w:t>soumis à la législation nationale du travail, à l'impôt sur le revenu, à la protection sociale ou au droit à certaines prestations d'emploi) ;   Opérationnel [1]</w:t>
        <w:br/>
        <w:t xml:space="preserve">Les critères utilisés par les pays pour définir les emplois informels des salariés incluent le manque de couverture par le système de sécurité sociale, le manque de </w:t>
        <w:br/>
        <w:t>le droit à des congés payés annuels ou de maladie et l’absence de contrat de travail écrit.</w:t>
        <w:br/>
        <w:t>Producteurs de biens exclusivement destinés à l'usage final propre de leur ménage (par exemple, agriculture de subsistance, aller chercher de l'eau, ramasser du bois de chauffage, [2]</w:t>
        <w:br/>
        <w:t xml:space="preserve">etc).  Les critères opérationnels utilisés par les pays pour définir les emplois informels des salariés incluent l'absence de couverture par la sécurité sociale. </w:t>
        <w:br/>
        <w:t>système, l’absence de droit à des congés payés annuels ou de maladie et l’absence de contrat de travail écrit.</w:t>
        <w:br/>
        <w:t>Une entreprise appartient au secteur informel si elle remplit les trois conditions suivantes :</w:t>
        <w:br/>
        <w:t xml:space="preserve">Il s'agit d'une entreprise non constituée en société (elle n'est pas constituée en tant qu'entité juridique distincte de ses propriétaires, et elle est détenue et contrôlée par un ou plusieurs </w:t>
        <w:br/>
        <w:t xml:space="preserve">plusieurs membres d'un ou plusieurs ménages, et ce n'est pas une quasi-société : elle ne dispose pas d'une comptabilité complète, comprenant </w:t>
        <w:br/>
        <w:t>bilans);</w:t>
        <w:br/>
        <w:t xml:space="preserve">C'est une entreprise marchande (elle vend au moins une partie des biens ou services qu'elle produit) ; </w:t>
        <w:br/>
        <w:t xml:space="preserve">L'entreprise n'est pas enregistrée ou les employés de l'entreprise ne sont pas enregistrés ou le nombre de personnes occupées sur un </w:t>
        <w:br/>
        <w:t xml:space="preserve">de manière continue est inférieur à un seuil déterminé par le pays. </w:t>
        <w:br/>
        <w:t xml:space="preserve">Les activités non agricoles sont définies selon la dernière révision de la Classification internationale type, par industrie, de toutes les activités économiques. </w:t>
        <w:br/>
        <w:t xml:space="preserve">Activités (CITI Rév.4). Elles correspondent aux sections B à U de la CITI Rév. 4, soit toutes les sections sauf la section A. Agriculture, sylviculture et </w:t>
        <w:br/>
        <w:t>pêche.</w:t>
        <w:br/>
        <w:t xml:space="preserve">Pour des informations plus détaillées sur les définitions de l'informalité, veuillez vous référer à la Résolution concernant les statistiques de l'emploi dans le secteur informel, </w:t>
        <w:br/>
        <w:t>adopté par la quinzième Conférence internationale des statisticiens du travail (janvier 1993), disponible sur http://ilo.org/global/statistics-and-databases</w:t>
        <w:br/>
        <w:t>, les /standards-and-guidelines/resolutions-adopted-by-international-conferences-of-labour-statisticians/WCMS_087484/lang--en/index.htm</w:t>
        <w:br/>
        <w:t xml:space="preserve">Lignes directrices concernant une définition statistique de l'emploi informel, adoptées par la soixante-dixième Conférence internationale des statisticiens du travail </w:t>
        <w:br/>
        <w:t>(novembre-décembre 2003) disponible sur http://ilo.org/global/statistics-and-databases/standards-and-guidelines/guidelines-adopted-by-</w:t>
        <w:br/>
        <w:t xml:space="preserve"> et le manuel de l'OIT Mesurer l'informalité : une statistique internationale-conférences-des-statisticiens du travail/WCMS_087622/lang--en/in dex.htm</w:t>
        <w:br/>
        <w:t>manuel sur le secteur informel et l'emploi informel disponible sur http://www.ilo.org/wcmsp5/groups/public/---dgreports/---dcomm/---publ</w:t>
        <w:br/>
        <w:t xml:space="preserve">./documents/publication/wcms_222979.pdf  </w:t>
        <w:br/>
        <w:t>Justification et interprétation :</w:t>
        <w:br/>
        <w:t xml:space="preserve">L'emploi informel offre une stratégie de survie nécessaire dans les pays dépourvus de filets de sécurité sociale, comme l'assurance chômage, ou dans ceux où </w:t>
        <w:br/>
        <w:t xml:space="preserve">les salaires et les retraites sont faibles, surtout dans le secteur public. Dans ces situations, des indicateurs tels que le taux de chômage et le temps </w:t>
        <w:br/>
        <w:t xml:space="preserve">le sous-emploi ne suffit pas à décrire complètement le marché du travail. Les statistiques sur l’économie informelle sont essentielles pour évaluer la qualité </w:t>
        <w:br/>
        <w:t xml:space="preserve">d’emploi dans une économie et sont pertinents aussi bien pour les pays en développement que pour les pays développés. </w:t>
        <w:br/>
        <w:t>La description de l'indicateur ILOSTAT pour l'informalité est disponible à l'adresse :  http://www.ilo.org/ilostat-files/Documents/description_IFL_EN.pdf</w:t>
        <w:br/>
        <w:t xml:space="preserve">Les données pour cet indicateur peuvent être collectées par le biais d'enquêtes sur la population active ou d'autres enquêtes auprès des ménages représentatives au niveau national avec un module sur </w:t>
        <w:br/>
        <w:t xml:space="preserve">emploi. Ces enquêtes doivent comporter suffisamment de questions pour déterminer si le travail du répondant est de nature formelle ou informelle, ou si le travail du répondant est de nature formelle ou informelle. </w:t>
        <w:br/>
        <w:t xml:space="preserve">nature formelle ou informelle de l’établissement employeur. Ces enquêtes sont menées par les bureaux nationaux de statistique des pays ou par les </w:t>
        <w:br/>
        <w:t>ministères ou bureaux du travail.</w:t>
        <w:br/>
        <w:t xml:space="preserve">Pour plus d'informations sur les pratiques nationales en termes de questions utilisées pour capturer des données sur l'informalité, se référer au rapport de l'OIT Les femmes et les hommes dans le monde. </w:t>
        <w:br/>
        <w:t xml:space="preserve"> (Troisième édition, 2018).Économie informelle : une image statistique</w:t>
      </w:r>
    </w:p>
    <w:p>
      <w:pPr>
        <w:pStyle w:val="Heading2"/>
      </w:pPr>
      <w:r>
        <w:t>Page 210</w:t>
      </w:r>
    </w:p>
    <w:p>
      <w:r>
        <w:t>Texte d'en-tête</w:t>
        <w:br/>
        <w:t>Texte de pied de page</w:t>
        <w:br/>
        <w:t>Désagrégation des données</w:t>
        <w:br/>
        <w:t>Références</w:t>
        <w:br/>
        <w:t>Organisation(s) internationale(s) de surveillance mondiale</w:t>
        <w:br/>
        <w:t>Méthode de calcul :</w:t>
        <w:br/>
        <w:t xml:space="preserve">Le pourcentage d’emplois non agricoles informels est calculé comme suit : </w:t>
        <w:br/>
        <w:t>Commentaires et limites :</w:t>
        <w:br/>
        <w:t xml:space="preserve">La diversité des concepts, des définitions et des critères opérationnels utilisés par les pays pour mesurer l'emploi informel entrave considérablement l'action internationale. </w:t>
        <w:br/>
        <w:t xml:space="preserve">comparabilité des statistiques obtenues. L'OIT s'efforce d'obtenir des statistiques harmonisées sur l'emploi informel à partir des données nationales sur les ménages. </w:t>
        <w:br/>
        <w:t>enquêtes suivant des définitions et des critères standard pour autant de pays que possible (disponibles sur ILOSTAT).</w:t>
        <w:br/>
        <w:t xml:space="preserve">Le champ d’application de cet indicateur est limité aux activités non agricoles. Cependant, pour avoir une vision plus complète de l'économie informelle, </w:t>
        <w:br/>
        <w:t xml:space="preserve">des statistiques sur l'emploi informel qui intègrent à la fois des activités agricoles et non agricoles peuvent être utiles. </w:t>
        <w:br/>
        <w:t>Indicateurs proxy, alternatifs et supplémentaires : N/A</w:t>
        <w:br/>
        <w:t xml:space="preserve">Afin de produire cet indicateur, les statistiques de l'emploi doivent être ventilées par emploi formel/informel et par activité économique. </w:t>
        <w:br/>
        <w:t xml:space="preserve">(agriculture/industrie/services etc.). Au-delà de cela, l’indicateur doit être ventilé par sexe. </w:t>
        <w:br/>
        <w:t>URL officielle des métadonnées ODD</w:t>
        <w:br/>
        <w:t xml:space="preserve">https://unstats.un.org/sdgs/metadata/files/Metadata-08-03-01.pdf  </w:t>
        <w:br/>
        <w:t>Méthodologie reconnue au niveau international et URL des lignes directrices</w:t>
        <w:br/>
        <w:t xml:space="preserve">http://www.ilo.org/wcmsp5/groups/public/---dgreports/---dcomm/---publ/documents/publication/wcms_222979.pdf  </w:t>
        <w:br/>
        <w:t>Autres références</w:t>
        <w:br/>
        <w:t>OIT (1993). . Quinzième Conférence internationale des statisticiens du travail. Résolution concernant les statistiques de l'emploi dans le secteur informel</w:t>
        <w:br/>
        <w:t>Disponible sur : http://ilo.org/global/statistics-and-databases/standards-and-guidelines/resolutions-adopted-byinternational-conferences-of-labour-</w:t>
        <w:br/>
        <w:t>statisticiens/WCMS_087484/lang--en/index.htm</w:t>
        <w:br/>
        <w:t>OIT (2003).  Soixante-dixième Conférence internationale des statisticiens du travail. Lignes directrices concernant une définition statistique de l’emploi informel.</w:t>
        <w:br/>
        <w:t>Disponible sur : http://ilo.org/global/statistics-and-databases/standards-and-guidelines/guidelines-adopted-byinternational-conferences-of-labour-</w:t>
        <w:br/>
        <w:t xml:space="preserve"> statisticiens/WCMS_087622/lang--en/index.htm</w:t>
        <w:br/>
        <w:t>OIT (2013). Disponible sur : Manuel Mesurer l’informalité : Un manuel statistique sur le secteur informel et l’emploi informel. http://www.ilo.org</w:t>
        <w:br/>
        <w:t>/wcmsp5/groups/public/---dgreports/---dcomm/---publ/documents/publication/wcms_222979.pdf</w:t>
        <w:br/>
        <w:t>OIT (2018).  (Troisième édition, 2018). Disponible sur : Les femmes et les hommes dans l’économie informelle : un aperçu statistique http://www.ilo.org/wcmsp5/groups</w:t>
        <w:br/>
        <w:t>/public/---dgreports/---dcomm/documents/publication/wcms_626831.pdf</w:t>
        <w:br/>
        <w:t>OIT. . Disponible sur : Description de l'indicateur de l'ILOSTAT sur l'informalité http://www.ilo.org/ilostatfiles/Documents/description_IFL_EN.pdf</w:t>
        <w:br/>
        <w:t xml:space="preserve">OIT (2013). Dix-neuvième Conférence internationale du travail Résolution concernant les statistiques du travail, de l'emploi et de la sous-utilisation de la main-d'œuvre. </w:t>
        <w:br/>
        <w:t>Statisticiens. Disponible sur : http://ilo.org/global/statistics-and-databases/standards-and-guidelines/resolutions-adopted-byinternational-conferences-</w:t>
        <w:br/>
        <w:t>des-statisticiens-du-travail/WCMS_230304/lang--en/index.htm</w:t>
        <w:br/>
        <w:t>DSNU (2008). . New York. Disponible sur : Classification internationale type par industrie, révision 4 (CITI Rév.4) https://unstats.un.org/unsd/cr</w:t>
        <w:br/>
        <w:t>/registre/isic-4.asp</w:t>
        <w:br/>
        <w:t xml:space="preserve">Exemples de pays </w:t>
        <w:br/>
        <w:t>N/D</w:t>
        <w:br/>
        <w:t>Ce document a été préparé sur la base des contributions de l'Organisation internationale du travail (OIT).</w:t>
        <w:br/>
        <w:t>Pour obtenir des informations sur les points focaux pour cet indicateur, veuillez visiter https://unstats.un.org/sdgs/dataContacts/</w:t>
      </w:r>
    </w:p>
    <w:p>
      <w:pPr>
        <w:pStyle w:val="Heading2"/>
      </w:pPr>
      <w:r>
        <w:t>Page 211</w:t>
      </w:r>
    </w:p>
    <w:p>
      <w:r>
        <w:t>Texte d'en-tête</w:t>
        <w:br/>
        <w:t>Texte de pied de page</w:t>
        <w:br/>
        <w:t>Indicateur 8.4.2</w:t>
        <w:br/>
        <w:t>Page d'accueil du manuel électronique</w:t>
        <w:br/>
        <w:t>Nom de l’indicateur, cible et objectif</w:t>
        <w:br/>
        <w:t>Définition et justification</w:t>
        <w:br/>
        <w:t>Sources de données et méthode de collecte</w:t>
        <w:br/>
        <w:t>Méthode de calcul et autres considérations méthodologiques</w:t>
        <w:br/>
        <w:t>Contenu</w:t>
        <w:br/>
        <w:t>Nom de l’indicateur, cible et objectif</w:t>
        <w:br/>
        <w:t>Définition et justification</w:t>
        <w:br/>
        <w:t>Sources de données et méthode de collecte</w:t>
        <w:br/>
        <w:t>Méthode de calcul et autres considérations méthodologiques</w:t>
        <w:br/>
        <w:t>Désagrégation des données</w:t>
        <w:br/>
        <w:t>Références</w:t>
        <w:br/>
        <w:t>Organisation(s) internationale(s) de surveillance mondiale</w:t>
        <w:br/>
        <w:t xml:space="preserve"> Indicateur 8.4.2 : Consommation intérieure de matières, consommation intérieure de matières par habitant et consommation intérieure de matières par PIB</w:t>
        <w:br/>
        <w:t xml:space="preserve">Cible 8.4 : Améliorer progressivement, jusqu’en 2030, l’efficacité mondiale des ressources dans la consommation et la production et s’efforcer de découpler les économies </w:t>
        <w:br/>
        <w:t xml:space="preserve">croissance résultant de la dégradation de l’environnement, conformément au Cadre décennal de programmation sur la consommation et la consommation durables. </w:t>
        <w:br/>
        <w:t>Production, avec les pays développés en tête</w:t>
        <w:br/>
        <w:t>Objectif 8 : Promouvoir une croissance économique soutenue, inclusive et durable, le plein emploi productif et un travail décent pour tous</w:t>
        <w:br/>
        <w:t>Définition :</w:t>
        <w:br/>
        <w:t xml:space="preserve">La consommation intérieure de matières (DMC) est un indicateur standard de comptabilité des flux de matières (MFA) et rend compte de la consommation annuelle apparente de </w:t>
        <w:br/>
        <w:t xml:space="preserve">matériaux dans une économie nationale. L'indicateur peut également être exprimé par habitant et par PIB. </w:t>
        <w:br/>
        <w:t>Concepts :</w:t>
        <w:br/>
        <w:t>À l'échelle de l'économie (EW-MFA), fournir un aperçu global, en milliers de tonnes par an, des flux de matières entrant et sortant des comptes de flux de matières.</w:t>
        <w:br/>
        <w:t xml:space="preserve">d'une économie. Les EW-MFA couvrent les matières solides, gazeuses et liquides, à l’exception des flux massifs d’eau et d’air. </w:t>
        <w:br/>
        <w:t xml:space="preserve">Le DMC mesure la quantité totale de matières directement utilisées dans une économie (c'est-à-dire à l'exclusion des flux indirects). DMC est défini de la même manière que les autres </w:t>
        <w:br/>
        <w:t xml:space="preserve">indicateurs physiques clés tels que la consommation intérieure brute d’énergie. DMC est égal à l’extraction nationale plus les importations moins les exportations. </w:t>
        <w:br/>
        <w:t>Justification et interprétation :</w:t>
        <w:br/>
        <w:t xml:space="preserve">En tant qu'indicateur territorial et de production, le DMC fait référence à la quantité de matériaux utilisés dans les processus de production au sein d'une économie. DMC </w:t>
        <w:br/>
        <w:t xml:space="preserve">décrit la dimension physique des processus et interactions économiques. Le DMC par habitant décrit le niveau moyen d'utilisation de matériaux dans un </w:t>
        <w:br/>
        <w:t>l’économie – un indicateur de pression environnementale – et est également appelé profil métabolique.</w:t>
        <w:br/>
        <w:t xml:space="preserve">Les données pour le calcul du DMC sont compilées par l'agence nationale compétente telle que le ministère du Commerce ou de l'Industrie, ou le </w:t>
        <w:br/>
        <w:t xml:space="preserve">office national de la statistique. </w:t>
        <w:br/>
        <w:t xml:space="preserve">Pour l’Europe, Eurostat compile des données sur les flux de matières à l’échelle de l’économie des pays. Pour les autres pays, le DMC se base sur les statistiques officielles </w:t>
        <w:br/>
        <w:t xml:space="preserve">puis les taux standard sont utilisés pour convertir les données en tonnes d'extraction, d'importation et d'exportation. Cela se fait par type de matériau en fonction du </w:t>
        <w:br/>
        <w:t xml:space="preserve">suivant : l'Agence internationale de l'énergie (AIE) dispose d'informations détaillées sur les combustibles fossiles ;  pour la biomasse, les principales cultures et produits végétaux, l'élevage </w:t>
        <w:br/>
        <w:t xml:space="preserve">et les produits d'origine animale, les produits forestiers et le poisson sont disponibles auprès de l'Organisation pour l'alimentation et l'agriculture (FAO) et pour les composants qui sont </w:t>
        <w:br/>
        <w:t xml:space="preserve">difficile à mesurer directement, par ex. biomasse pâturée, la FAO ne dispose généralement pas de données directes, mais les données communiquées à la FAO pour les animaux </w:t>
        <w:br/>
        <w:t xml:space="preserve">les produits ou le nombre de troupeaux sont utilisés comme données d'entrée pour faire une estimation ; pour les minerais métalliques, le United States Geological Survey (USGS) et le </w:t>
        <w:br/>
        <w:t xml:space="preserve">Le British Geological Survey (BGS) collecte des données sur la production de métaux et, dans certains cas, sur la production de minerais avec le commerce des minerais métalliques des Nations Unies. </w:t>
        <w:br/>
        <w:t xml:space="preserve">Base de données Comtrade ; et pour les minéraux non métalliques, l'USGS et le BGS disposent de certaines données et, lorsque les données manquent, elles sont basées sur les données. </w:t>
        <w:br/>
        <w:t>publiées par pays ou, dans certains cas, une estimation standard de la consommation par habitant pour des pays ayant des revenus par habitant différents.</w:t>
      </w:r>
    </w:p>
    <w:p>
      <w:pPr>
        <w:pStyle w:val="Heading2"/>
      </w:pPr>
      <w:r>
        <w:t>Page 212</w:t>
      </w:r>
    </w:p>
    <w:p>
      <w:r>
        <w:t>Texte d'en-tête</w:t>
        <w:br/>
        <w:t>Texte de pied de page</w:t>
        <w:br/>
        <w:t>Désagrégation des données</w:t>
        <w:br/>
        <w:t>Références</w:t>
        <w:br/>
        <w:t>Organisation(s) internationale(s) de surveillance mondiale</w:t>
        <w:br/>
        <w:t>Méthode de calcul :</w:t>
        <w:br/>
        <w:t xml:space="preserve">Il est calculé comme les importations directes (IM) de matières plus l'extraction nationale (DE) de matières moins les exportations directes (EX) de matières mesurées en </w:t>
        <w:br/>
        <w:t>tonnes métriques.</w:t>
        <w:br/>
        <w:t>DMC = IM + DE-EX</w:t>
        <w:br/>
        <w:t xml:space="preserve">L'ONU Environnement publie un manuel mondial qui devrait être publié d'ici juillet 2018. Ce manuel mondial est largement basé sur l'EUROSTAT. </w:t>
        <w:br/>
        <w:t xml:space="preserve">Guide de compilation de la comptabilité des flux de matières à l'échelle de l'économie 2013. La comptabilité MFA fait également partie du cadre central du système de </w:t>
        <w:br/>
        <w:t xml:space="preserve">Comptes économiques et environnementaux intégrés (SEEA). Plus d’informations sur les sources de données et la compilation sont fournies dans la section ci-dessous. </w:t>
        <w:br/>
        <w:t xml:space="preserve">La DMC doit être divisée par le PIB et la population du pays pour obtenir des mesures standardisées telles que la DMC par habitant et la DMC par PIB. </w:t>
        <w:br/>
        <w:t>Commentaires et limites :</w:t>
        <w:br/>
        <w:t xml:space="preserve">La DMC ne peut pas être ventilée en secteurs économiques car il n'existe aucun moyen de lier la consommation de matériaux à un secteur particulier. </w:t>
        <w:br/>
        <w:t xml:space="preserve">secteur économique. </w:t>
        <w:br/>
        <w:t xml:space="preserve">Le DMC et l’empreinte matérielle (MF) doivent être examinés en combinaison car ils couvrent les deux aspects de l’économie : (indicateur 12.2.1) </w:t>
        <w:br/>
        <w:t xml:space="preserve">production et consommation. Le DMC et le MF indiquent la quantité virtuelle requise tout au long de la chaîne d'approvisionnement pour répondre à la demande finale. Un </w:t>
        <w:br/>
        <w:t xml:space="preserve">Un pays peut, par exemple, avoir un DMC très élevé parce qu'il dispose d'un important secteur de production primaire destiné à l'exportation ou un DMC très faible parce qu'il a un important secteur de production primaire destiné à l'exportation. </w:t>
        <w:br/>
        <w:t xml:space="preserve">a externalisé la plupart des processus industriels à forte intensité matérielle vers d’autres pays. Analyser à la fois ces aspects de la production et de la consommation </w:t>
        <w:br/>
        <w:t xml:space="preserve">L’ensemble des indicateurs permet de mieux comprendre les schémas globaux d’utilisation des ressources d’un pays. </w:t>
        <w:br/>
        <w:t xml:space="preserve">Indicateurs proxy, alternatifs et supplémentaires : aucun proxy n'est nécessaire en raison de l'excellente couverture. Toutefois, des pays supplémentaires sont nécessaires </w:t>
        <w:br/>
        <w:t>validation.</w:t>
        <w:br/>
        <w:t xml:space="preserve">Le DMC peut être désagrégé par type de matériau et aux fins des ODD, quatre désagrégations proposées du DMC sont proposées : Biomasse, </w:t>
        <w:br/>
        <w:t>Combustibles fossiles, minerais métalliques et minéraux non métalliques.</w:t>
        <w:br/>
        <w:t>URL officielle des métadonnées ODD</w:t>
        <w:br/>
        <w:t>https://unstats.un.org/sdgs/metadata/files/Metadata-08-04-02.pdf</w:t>
        <w:br/>
        <w:t>Méthodologie reconnue au niveau international et URL des lignes directrices</w:t>
        <w:br/>
        <w:t>à paraître en 2018</w:t>
        <w:br/>
        <w:t>Autres références</w:t>
        <w:br/>
        <w:t>EUROSTAT (2013). . Guide d'élaboration 2013. Disponible sur : Comptes des flux de matières à l'échelle de l'économie http://ec.europa.eu/eurostat/documents</w:t>
        <w:br/>
        <w:t>/1798247/6191533/2013-EW-MFA-Guide-10Sep2013.pdf/</w:t>
        <w:br/>
        <w:t>Wiedmann, T., H. Schandl, M. Lenzen, D. Moran, S. Suh, J. West, K. Kanemoto, (2013) Proc. Nat. Acad. Sci. L'empreinte matérielle des nations,</w:t>
        <w:br/>
        <w:t>Disponible sur : http://www.pnas.org/content/112/20/6271.abstract</w:t>
        <w:br/>
        <w:t xml:space="preserve">Lenzen, M., Moran, D., Kanemoto, K., Geschke, A. (2013) Building Eora : A global-Regional Input/output Database at High Country and </w:t>
        <w:br/>
        <w:t>, Recherche sur les systèmes économiques, 25 : 1, 20-49. Disponible sur : Résolution sectorielle http://folk.ntnu.no/daniemor/pdf/ESR_BuildingEora.pdf</w:t>
        <w:br/>
        <w:t>Exemples de pays</w:t>
        <w:br/>
        <w:t>N/D</w:t>
        <w:br/>
        <w:t>Ce document a été préparé sur la base des contributions du Programme des Nations Unies pour l'environnement (PNUE).</w:t>
        <w:br/>
        <w:t>Pour obtenir des informations sur les points focaux pour cet indicateur, veuillez visiter https://unstats.un.org/sdgs/dataContacts/</w:t>
      </w:r>
    </w:p>
    <w:p>
      <w:pPr>
        <w:pStyle w:val="Heading2"/>
      </w:pPr>
      <w:r>
        <w:t>Page 213</w:t>
      </w:r>
    </w:p>
    <w:p>
      <w:r>
        <w:t>Texte d'en-tête</w:t>
        <w:br/>
        <w:t>Texte de pied de page</w:t>
        <w:br/>
        <w:t>Indicateur 8.5.1</w:t>
        <w:br/>
        <w:t>Page d'accueil du manuel électronique</w:t>
        <w:br/>
        <w:t>Nom de l’indicateur, cible et objectif</w:t>
        <w:br/>
        <w:t>Définition et justification</w:t>
        <w:br/>
        <w:t>Sources de données et méthode de collecte</w:t>
        <w:br/>
        <w:t>Méthode de calcul et autres considérations méthodologiques</w:t>
        <w:br/>
        <w:t>Contenu</w:t>
        <w:br/>
        <w:t>Nom de l’indicateur, cible et objectif</w:t>
        <w:br/>
        <w:t>Définition et justification</w:t>
        <w:br/>
        <w:t>Sources de données et méthode de collecte</w:t>
        <w:br/>
        <w:t>Méthode de calcul et autres considérations méthodologiques</w:t>
        <w:br/>
        <w:t>Désagrégation des données</w:t>
        <w:br/>
        <w:t>Références</w:t>
        <w:br/>
        <w:t>Organisation(s) internationale(s) de surveillance mondiale</w:t>
        <w:br/>
        <w:t xml:space="preserve"> Indicateur 8.5.1 : Gains horaires moyens des salariés, par sexe, âge, profession et personnes handicapées</w:t>
        <w:br/>
        <w:t xml:space="preserve">Cible 8.5 : D’ici 2030, parvenir au plein emploi productif et à un travail décent pour toutes les femmes et tous les hommes, y compris les jeunes et les personnes </w:t>
        <w:br/>
        <w:t>handicapés et un salaire égal pour un travail de valeur égale</w:t>
        <w:br/>
        <w:t>Objectif 8 : Promouvoir une croissance économique soutenue, inclusive et durable, le plein emploi productif et un travail décent pour tous</w:t>
        <w:br/>
        <w:t>Définition :</w:t>
        <w:br/>
        <w:t xml:space="preserve">Cet indicateur est défini comme le salaire horaire moyen des salariés provenant d'un emploi rémunéré, ventilé par sexe, profession, âge et handicap. </w:t>
        <w:br/>
        <w:t xml:space="preserve">statut. </w:t>
        <w:br/>
        <w:t>Concepts :</w:t>
        <w:br/>
        <w:t xml:space="preserve">Le salaire désigne la rémunération brute en espèces ou en nature versée aux salariés, en règle générale à intervalles réguliers, pour le temps travaillé ou le travail effectué, </w:t>
        <w:br/>
        <w:t xml:space="preserve">ainsi que la rémunération du temps non travaillé (c'est-à-dire les congés annuels, les congés payés ou les jours fériés). Les gains excluent les cotisations des employeurs pour </w:t>
        <w:br/>
        <w:t xml:space="preserve">les régimes de sécurité sociale et de retraite ou toutes prestations perçues par les salariés au titre de ces régimes. </w:t>
        <w:br/>
        <w:t xml:space="preserve">Les salariés sont les personnes occupant un emploi occupant le type d'emploi défini comme un emploi rémunéré (emplois pour lesquels les titulaires occupent des emplois explicites ou </w:t>
        <w:br/>
        <w:t xml:space="preserve">contrats de travail implicites qui leur confèrent une rémunération de base non directement dépendante des revenus de l'unité pour laquelle ils travaillent). </w:t>
        <w:br/>
        <w:t xml:space="preserve">L'emploi comprend toutes les personnes en âge de travailler qui, pendant une courte période de référence (une semaine), ont exercé une activité visant à produire </w:t>
        <w:br/>
        <w:t xml:space="preserve">biens ou fournir des services contre rémunération ou profit. La population en âge de travailler est généralement définie comme les personnes âgées de 15 ans et plus. </w:t>
        <w:br/>
        <w:t>Justification et interprétation :</w:t>
        <w:br/>
        <w:t xml:space="preserve">Les revenus sont un aspect clé de la qualité de l’emploi productif et des conditions de vie. Informations sur les gains horaires ventilées par divers </w:t>
        <w:br/>
        <w:t>Les classifications (sexe, âge, profession, statut de handicap) donnent une idée de la mesure dans laquelle l’égalité salariale est respectée ou réalisée.</w:t>
        <w:br/>
        <w:t xml:space="preserve">Il existe plusieurs sources de données sur les revenus. Les enquêtes auprès des établissements menées par les instituts nationaux de statistique sont généralement les plus fiables </w:t>
        <w:br/>
        <w:t xml:space="preserve">en raison du haut niveau d'exactitude des chiffres des revenus tirés de la masse salariale. C'est pourquoi les enquêtes auprès des établissements constituent la source privilégiée d'information. </w:t>
        <w:br/>
        <w:t xml:space="preserve">statistiques sur les revenus. Cependant, la portée des données est limitée à la couverture de l'enquête, qui exclut souvent les petits établissements, les établissements agricoles </w:t>
        <w:br/>
        <w:t xml:space="preserve">établissements et le secteur informel. </w:t>
        <w:br/>
        <w:t xml:space="preserve">Les enquêtes sur la population active auprès des ménages, ou d'autres enquêtes comportant un module sur l'emploi, peuvent fournir des statistiques sur les revenus couvrant toutes les activités économiques, </w:t>
        <w:br/>
        <w:t xml:space="preserve">types et tailles d’établissements. Mais la qualité des données dépend fortement de l’exactitude des réponses des répondants. </w:t>
        <w:br/>
        <w:t xml:space="preserve">Les données sur les gains peuvent également être dérivées de divers dossiers administratifs. La qualité des données dépendrait de la robustesse des méthodes </w:t>
        <w:br/>
        <w:t>qui sous-tendent les processus d’enregistrement, ainsi que la couverture et la portée du dossier.</w:t>
      </w:r>
    </w:p>
    <w:p>
      <w:pPr>
        <w:pStyle w:val="Heading2"/>
      </w:pPr>
      <w:r>
        <w:t>Page 214</w:t>
      </w:r>
    </w:p>
    <w:p>
      <w:r>
        <w:t>Texte d'en-tête</w:t>
        <w:br/>
        <w:t>Texte de pied de page</w:t>
        <w:br/>
        <w:t>Désagrégation des données</w:t>
        <w:br/>
        <w:t>Références</w:t>
        <w:br/>
        <w:t>Méthode de calcul :</w:t>
        <w:br/>
        <w:t>Le salaire horaire moyen des employés peut être calculé à l'aide de la formule suivante :(AHE) x,i</w:t>
        <w:br/>
        <w:t>Où,</w:t>
        <w:br/>
        <w:t>x est le groupe d'employés concerné, tel que le total, les hommes, les femmes, dans différents groupes d'âge ou les personnes handicapées, etc. ; et</w:t>
        <w:br/>
        <w:t>i est le secteur concerné.</w:t>
        <w:br/>
        <w:t xml:space="preserve">Ou </w:t>
        <w:br/>
        <w:t>La ventilation de cet indicateur est utilisée pour calculer l'écart salarial entre hommes et femmes comme suit : (GPG)</w:t>
        <w:br/>
        <w:t xml:space="preserve">Où et sont les gains horaires moyens des hommes et des femmes respectivement dans un pays donné.AHE hommes AHEfemmes  </w:t>
        <w:br/>
        <w:t>Commentaires et limites :</w:t>
        <w:br/>
        <w:t xml:space="preserve">Les statistiques sur les revenus peuvent provenir de diverses sources, notamment des enquêtes auprès des établissements, des enquêtes auprès des ménages et des dossiers administratifs. </w:t>
        <w:br/>
        <w:t xml:space="preserve">type de source ayant une couverture, une portée et des caractéristiques spécifiques. Cela rend la comparabilité internationale difficile. </w:t>
        <w:br/>
        <w:t xml:space="preserve">L’utilisation de définitions non standard et l’hétérogénéité des critères opérationnels appliqués entravent encore davantage les comparaisons entre pays. </w:t>
        <w:br/>
        <w:t>Indicateurs proxy, alternatifs et supplémentaires : N/A</w:t>
        <w:br/>
        <w:t>Cet indicateur doit être ventilé par sexe, profession, âge et statut de handicap.</w:t>
        <w:br/>
        <w:t>Il peut être utile de les ventiler également par région, activité économique et niveau de formation.</w:t>
      </w:r>
    </w:p>
    <w:p>
      <w:pPr>
        <w:pStyle w:val="Heading2"/>
      </w:pPr>
      <w:r>
        <w:t>Page 215</w:t>
      </w:r>
    </w:p>
    <w:p>
      <w:r>
        <w:t>Texte d'en-tête</w:t>
        <w:br/>
        <w:t>Texte de pied de page</w:t>
        <w:br/>
        <w:t>Organisation(s) internationale(s) de surveillance mondiale</w:t>
        <w:br/>
        <w:t>URL officielle des métadonnées ODD</w:t>
        <w:br/>
        <w:t xml:space="preserve">https://unstats.un.org/sdgs/metadata/files/Metadata-08-05-01.pdf  </w:t>
        <w:br/>
        <w:t>Méthodologie reconnue au niveau international et URL des lignes directrices</w:t>
        <w:br/>
        <w:t xml:space="preserve">http://www.ilo.org/wcmsp5/groups/public/---dgreports/---stat/documents/presentation/wcms_315657.pdf  </w:t>
        <w:br/>
        <w:t>Autres références</w:t>
        <w:br/>
        <w:t>OIT (1998). 16 Conférence internationale des statisticiens du travail. Résolution concernant la mesure des revenus liés à l'emploi. e</w:t>
        <w:br/>
        <w:t>Disponible sur : http://www.ilo.org/global/statistics-and-databases/standards-and-guidelines/resolutions-adopted-by-international-conferences-of-</w:t>
        <w:br/>
        <w:t>statisticiens-du-travail/WCMS_087490/lang--en/index.htm</w:t>
        <w:br/>
        <w:t>OIT (1993). 15 Conférence internationale du travail Résolution concernant la Classification internationale de la situation d'emploi (ICSE). e</w:t>
        <w:br/>
        <w:t>Statisticiens. Disponible : http://www.ilo.org/global/statistics-and-databases/standards-and-guidelines/resolutions-adopted-by-international-</w:t>
        <w:br/>
        <w:t>conférences-des-statisticiens-du-travail/WCMS_087562/lang--en/index.htm</w:t>
        <w:br/>
        <w:t>OIT (1973). 12 Conférence internationale des statisticiens du travail. Disponible sur : Résolution concernant un système intégré de statistiques des salaires. le truc</w:t>
        <w:br/>
        <w:t>p://www.ilo.org/global/statistics-and-databases/standards-and-guidelines/resolutions-adopted-by-international-conferences-of-labour-statisticians</w:t>
        <w:br/>
        <w:t>/WCMS_087496/lang--fr/index.htm</w:t>
        <w:br/>
        <w:t>OIT (1979). Genève. Disponible sur : Un système intégré de statistiques sur les salaires : Un manuel sur les méthodes. http://www.ilo.org/wcmsp5/groups/public/---</w:t>
        <w:br/>
        <w:t>dgreports/---stat/documents/presentation/wcms_315657.pdf</w:t>
        <w:br/>
        <w:t>OIT. Disponible sur : Description de l’indicateur d’ILOSTAT sur les gains et le coût de la main-d’œuvre. http://www.ilo.org/ilostat-files/Documents/description_EAR_EN.pdf</w:t>
        <w:br/>
        <w:t xml:space="preserve">OIT. Site Internet : Classification internationale type des professions (CITP-08). http://www.ilo.org/public/english/bureau/stat/isco/isco08/ </w:t>
        <w:br/>
        <w:t xml:space="preserve">Exemples de pays </w:t>
        <w:br/>
        <w:t>N/D</w:t>
        <w:br/>
        <w:t>Ce document a été préparé sur la base des contributions de l'Organisation internationale du travail (OIT).</w:t>
        <w:br/>
        <w:t>Pour obtenir des informations sur les points focaux pour cet indicateur, veuillez visiter https://unstats.un.org/sdgs/dataContacts/</w:t>
      </w:r>
    </w:p>
    <w:p>
      <w:pPr>
        <w:pStyle w:val="Heading2"/>
      </w:pPr>
      <w:r>
        <w:t>Page 216</w:t>
      </w:r>
    </w:p>
    <w:p>
      <w:r>
        <w:t>Texte d'en-tête</w:t>
        <w:br/>
        <w:t>Texte de pied de page</w:t>
        <w:br/>
        <w:t>Indicateur 8.5.2</w:t>
        <w:br/>
        <w:t>Page d'accueil du manuel électronique</w:t>
        <w:br/>
        <w:t xml:space="preserve"> </w:t>
        <w:br/>
        <w:t>Nom de l’indicateur, cible et objectif</w:t>
        <w:br/>
        <w:t>Définition et justification</w:t>
        <w:br/>
        <w:t>Sources de données et méthode de collecte</w:t>
        <w:br/>
        <w:t>Contenu</w:t>
        <w:br/>
        <w:t>Nom de l’indicateur, cible et objectif</w:t>
        <w:br/>
        <w:t>Définition et justification</w:t>
        <w:br/>
        <w:t>Sources de données et méthode de collecte</w:t>
        <w:br/>
        <w:t>Méthode de calcul et autres considérations méthodologiques</w:t>
        <w:br/>
        <w:t>Désagrégation des données</w:t>
        <w:br/>
        <w:t>Références</w:t>
        <w:br/>
        <w:t>Organisation(s) internationale(s) de surveillance mondiale</w:t>
        <w:br/>
        <w:t xml:space="preserve"> Indicateur 8.5.2 : Taux de chômage, par sexe, âge et personnes handicapées </w:t>
        <w:br/>
        <w:t xml:space="preserve">Cible 8.5 : D’ici 2030, parvenir au plein emploi productif et à un travail décent pour toutes les femmes et tous les hommes, y compris les jeunes et les personnes </w:t>
        <w:br/>
        <w:t>handicapés et un salaire égal pour un travail de valeur égale</w:t>
        <w:br/>
        <w:t xml:space="preserve">Objectif 8 : Promouvoir une croissance économique soutenue, inclusive et durable, le plein emploi productif et un travail décent pour tous </w:t>
        <w:br/>
        <w:t>Définition :</w:t>
        <w:br/>
        <w:t xml:space="preserve">Cet indicateur est défini comme le pourcentage de personnes actives au chômage, ventilées par sexe, âge et statut de handicap. </w:t>
        <w:br/>
        <w:t>Concepts :</w:t>
        <w:br/>
        <w:t xml:space="preserve">Les personnes au chômage sont définies comme toutes les personnes en âge de travailler qui n'exerçaient pas d'emploi, exerçaient des activités pour rechercher un emploi au cours de leur vie. </w:t>
        <w:br/>
        <w:t>une période récente spécifiée et étaient actuellement disponibles pour occuper un emploi compte tenu d'une opportunité d'emploi, où :</w:t>
        <w:br/>
        <w:t>a) « sans emploi » est évalué par rapport à la courte période de référence pour la mesure de l'emploi ;</w:t>
        <w:br/>
        <w:t xml:space="preserve">(b) « chercher un emploi » désigne toute activité exercée, au cours d'une période récente spécifiée comprenant les quatre dernières semaines ou un mois, pour </w:t>
        <w:br/>
        <w:t xml:space="preserve">dans le but de trouver un emploi ou de créer une entreprise ou une entreprise agricole. Cela inclut également les emplois à temps partiel, informels, temporaires, saisonniers ou </w:t>
        <w:br/>
        <w:t>un emploi occasionnel, sur le territoire national ou à l'étranger ;</w:t>
        <w:br/>
        <w:t xml:space="preserve">c) le moment où l'entreprise commence à exister devrait être utilisé pour distinguer les activités de recherche visant à créer une entreprise et les activités de recherche visant à créer une entreprise. </w:t>
        <w:br/>
        <w:t xml:space="preserve">l’activité professionnelle elle-même, comme en témoigne l’enregistrement de l’entreprise pour fonctionner ou lorsque les ressources financières deviennent disponibles, les </w:t>
        <w:br/>
        <w:t>les infrastructures ou les matériels sont en place ou le premier client ou commande est reçu, selon le contexte ;</w:t>
        <w:br/>
        <w:t xml:space="preserve">(d) « actuellement disponible » sert de test de préparation à commencer un emploi dans le présent, évalué par rapport à une courte période de référence comprenant </w:t>
        <w:br/>
        <w:t xml:space="preserve">celui utilisé pour mesurer l’emploi. En fonction des circonstances nationales, la période de référence peut être étendue pour inclure une courte période ultérieure. </w:t>
        <w:br/>
        <w:t>période n'excédant pas deux semaines au total, afin d'assurer une couverture adéquate des situations de chômage parmi les différents groupes de population.</w:t>
        <w:br/>
        <w:t xml:space="preserve">L'emploi comprend toutes les personnes en âge de travailler qui, pendant une courte période de référence (une semaine), ont exercé une activité visant à produire </w:t>
        <w:br/>
        <w:t xml:space="preserve">biens ou fournir des services contre rémunération ou profit. </w:t>
        <w:br/>
        <w:t xml:space="preserve">La population active correspond à la somme de toutes les personnes occupées et de toutes les personnes au chômage. </w:t>
        <w:br/>
        <w:t>Justification et interprétation :</w:t>
        <w:br/>
        <w:t xml:space="preserve">Le taux de chômage est une mesure utile (bien qu’insuffisante) de la sous-utilisation de l’offre de main-d’œuvre. Cela reflète l'incapacité d'un </w:t>
        <w:br/>
        <w:t xml:space="preserve">l’économie pour générer des emplois pour les personnes qui recherchent activement du travail. C'est un indicateur de l'efficience et de l'efficacité d'un </w:t>
        <w:br/>
        <w:t xml:space="preserve">l’économie d’absorber sa main-d’œuvre et de la performance du marché du travail. </w:t>
        <w:br/>
        <w:t xml:space="preserve">Des séries chronologiques à court terme du taux de chômage peuvent être utilisées pour signaler des changements dans le cycle économique ; mouvements à la hausse de l'indicateur souvent </w:t>
        <w:br/>
        <w:t xml:space="preserve">coïncident avec des périodes de récession ou, dans certains cas, avec le début d’une période d’expansion, car les personnes auparavant absentes du marché du travail </w:t>
        <w:br/>
        <w:t>commencer à tester les conditions grâce à une recherche active d’emploi.</w:t>
      </w:r>
    </w:p>
    <w:p>
      <w:pPr>
        <w:pStyle w:val="Heading2"/>
      </w:pPr>
      <w:r>
        <w:t>Page 217</w:t>
      </w:r>
    </w:p>
    <w:p>
      <w:r>
        <w:t>Texte d'en-tête</w:t>
        <w:br/>
        <w:t>Texte de pied de page</w:t>
        <w:br/>
        <w:t>Méthode de calcul et autres considérations méthodologiques</w:t>
        <w:br/>
        <w:t>Désagrégation des données</w:t>
        <w:br/>
        <w:t>Références</w:t>
        <w:br/>
        <w:t xml:space="preserve">Les données pour cet indicateur sont collectées par le biais d'enquêtes sur la main-d'œuvre auprès des ménages, de recensements de la population et de tout autre outil représentatif à l'échelle nationale. </w:t>
        <w:br/>
        <w:t xml:space="preserve">enquêtes auprès des ménages avec un module emploi approprié. De telles enquêtes sont généralement menées par les ministères ou bureaux du travail ou </w:t>
        <w:br/>
        <w:t xml:space="preserve">bureaux nationaux de statistique. </w:t>
        <w:br/>
        <w:t xml:space="preserve">Les registres de chômage, dans le cadre des systèmes administratifs d'assurance sociale, peuvent également servir d'instruments pour collecter des données sur les niveaux de chômage, </w:t>
        <w:br/>
        <w:t xml:space="preserve">et utilisé pour compléter les informations obtenues par les enquêtes auprès des ménages. </w:t>
        <w:br/>
        <w:t>Méthode de calcul :</w:t>
        <w:br/>
        <w:t xml:space="preserve">Le taux de chômage est calculé à l'aide de la formule suivante : (U) </w:t>
        <w:br/>
        <w:t>Commentaires et limites :</w:t>
        <w:br/>
        <w:t xml:space="preserve">L'importance du taux de chômage dépend du contexte. Il ne faut pas l’interpréter universellement de la même manière. En l'absence de </w:t>
        <w:br/>
        <w:t xml:space="preserve">systèmes d'assurance chômage ou de filets de sécurité sociale, les personnes en âge de travailler doivent éviter le chômage en recourant à une certaine forme de </w:t>
        <w:br/>
        <w:t xml:space="preserve">activité économique, même insignifiante ou insuffisante. Ainsi, dans ce contexte, d'autres mesures devraient compléter le taux de chômage pour </w:t>
        <w:br/>
        <w:t xml:space="preserve">évaluer de manière exhaustive la sous-utilisation de la main-d’œuvre, comme le taux de sous-emploi lié au temps ou les mesures de la main-d’œuvre potentielle. </w:t>
        <w:br/>
        <w:t xml:space="preserve">À cet égard, la résolution de 2013 recommande que plus d’un titre soit consacré aux statistiques du travail, de l’emploi et de la sous-utilisation de la main-d’œuvre. </w:t>
        <w:br/>
        <w:t xml:space="preserve">indicateur de sous-utilisation de la main-d’œuvre soit utilisé, parmi les suivants : LU1 (taux de chômage), LU2 (taux combiné de chômage </w:t>
        <w:br/>
        <w:t xml:space="preserve">sous-emploi et chômage), LU3 (taux combiné de chômage et de main-d'œuvre potentielle) et LU4 (mesure composite du travail </w:t>
        <w:br/>
        <w:t xml:space="preserve">sous-utilisation). </w:t>
        <w:br/>
        <w:t xml:space="preserve">Les statistiques pour une année donnée peuvent également différer en fonction du nombre d'observations ? mensuellement, trimestriellement, une à deux fois par an, etc. </w:t>
        <w:br/>
        <w:t xml:space="preserve">Entre autres choses, un degré considérable de saisonnalité peut influencer les résultats lorsque l’année complète n’est pas couverte. </w:t>
        <w:br/>
        <w:t xml:space="preserve">Enfin, la couverture géographique de l'enquête utilisée comme source de données sur le chômage a également un impact sur la comparabilité des résultats. Un moins </w:t>
        <w:br/>
        <w:t xml:space="preserve">que la couverture nationale – zones urbaines, villes, régions – présente des limites évidentes en matière de comparabilité dans la mesure où la couverture n’est pas représentative des </w:t>
        <w:br/>
        <w:t xml:space="preserve">le pays. Le chômage dans les zones urbaines peut avoir tendance à être plus élevé que le chômage total en raison de l'exclusion des zones rurales où </w:t>
        <w:br/>
        <w:t xml:space="preserve">Les travailleurs sont susceptibles de travailler, même s'ils peuvent être sous-employés ou travailleurs familiaux non rémunérés, plutôt que de chercher du travail dans un secteur formel inexistant ou de petite taille. </w:t>
        <w:br/>
        <w:t xml:space="preserve">secteur. </w:t>
        <w:br/>
        <w:t>Indicateurs proxy, alternatifs et supplémentaires : N/A</w:t>
        <w:br/>
        <w:t>Cet indicateur doit être ventilé par sexe, âge, situation géographique (urbaine/rurale) et statut de handicap.</w:t>
        <w:br/>
        <w:t>URL officielle des métadonnées ODD</w:t>
        <w:br/>
        <w:t xml:space="preserve">https://unstats.un.org/sdgs/metadata/files/Metadata-08-05-02.pdf  </w:t>
        <w:br/>
        <w:t>Méthodologie reconnue au niveau international et URL des lignes directrices</w:t>
        <w:br/>
        <w:t xml:space="preserve">http://www.ilo.org/wcmsp5/groups/public/---dgreports/---stat/documents/publication/wcms_223121.pdf  </w:t>
        <w:br/>
        <w:t>Autres références</w:t>
        <w:br/>
        <w:t>OIT (2013). 19 Conférence internationale du travail Résolution concernant les statistiques du travail, de l'emploi et de la sous-utilisation de la main-d'œuvre.   e</w:t>
        <w:br/>
        <w:t>Statisticiens. Disponible sur : http://www.ilo.org/global/statistics-and-databases/standards-and-guidelines/resolutions-adopted-by-international-</w:t>
        <w:br/>
        <w:t>conférences-des-statisticiens-du-travail/WCMS_230304/lang--en/index.htm</w:t>
        <w:br/>
        <w:t>OIT (2013). Genève. Disponible sur : Indicateurs du travail décent : Lignes directrices à l’intention des producteurs et des utilisateurs d’indicateurs du cadre statistique et juridique. http</w:t>
        <w:br/>
        <w:t>http://www.ilo.org/wcmsp5/groups/public/---dgreports/---stat/documents/publication/wcms_223121.pdf</w:t>
        <w:br/>
        <w:t>OIT (2010). Genève. Disponible sur : Tendances des modèles économétriques : une revue de la méthodologie. http://www.ilo.org/empelm/pubs/WCMS_120382/lang--</w:t>
        <w:br/>
        <w:t>fr/index.htm</w:t>
        <w:br/>
        <w:t>OIT (2010). Genève. Disponible sur : Tendances des modèles économétriques : une revue de la méthodologie. http://www.ilo.org/empelm/pubs/WCMS_120382/lang--</w:t>
        <w:br/>
        <w:t xml:space="preserve">fr/index.htm </w:t>
        <w:br/>
        <w:t xml:space="preserve">Exemples de pays </w:t>
        <w:br/>
        <w:t>N/D</w:t>
      </w:r>
    </w:p>
    <w:p>
      <w:pPr>
        <w:pStyle w:val="Heading2"/>
      </w:pPr>
      <w:r>
        <w:t>Page 218</w:t>
      </w:r>
    </w:p>
    <w:p>
      <w:r>
        <w:t>Texte d'en-tête</w:t>
        <w:br/>
        <w:t>Texte de pied de page</w:t>
        <w:br/>
        <w:t>Organisation(s) internationale(s) de surveillance mondiale</w:t>
        <w:br/>
        <w:t>Ce document a été préparé sur la base des contributions de l'Organisation internationale du travail (OIT).</w:t>
        <w:br/>
        <w:t>Pour obtenir des informations sur les points focaux pour cet indicateur, veuillez visiter https://unstats.un.org/sdgs/dataContacts/</w:t>
      </w:r>
    </w:p>
    <w:p>
      <w:pPr>
        <w:pStyle w:val="Heading2"/>
      </w:pPr>
      <w:r>
        <w:t>Page 219</w:t>
      </w:r>
    </w:p>
    <w:p>
      <w:r>
        <w:t>Texte d'en-tête</w:t>
        <w:br/>
        <w:t>Texte de pied de page</w:t>
        <w:br/>
        <w:t>Indicateur 8.6.1</w:t>
        <w:br/>
        <w:t>Page d'accueil du manuel électronique</w:t>
        <w:br/>
        <w:t xml:space="preserve"> </w:t>
        <w:br/>
        <w:t>Nom de l’indicateur, cible et objectif</w:t>
        <w:br/>
        <w:t>Définition et justification</w:t>
        <w:br/>
        <w:t>Sources de données et méthode de collecte</w:t>
        <w:br/>
        <w:t>Méthode de calcul et autres considérations méthodologiques</w:t>
        <w:br/>
        <w:t>Contenu</w:t>
        <w:br/>
        <w:t>Nom de l’indicateur, cible et objectif</w:t>
        <w:br/>
        <w:t>Définition et justification</w:t>
        <w:br/>
        <w:t>Sources de données et méthode de collecte</w:t>
        <w:br/>
        <w:t>Méthode de calcul et autres considérations méthodologiques</w:t>
        <w:br/>
        <w:t>Désagrégation des données</w:t>
        <w:br/>
        <w:t>Références</w:t>
        <w:br/>
        <w:t>Organisation(s) internationale(s) de surveillance mondiale</w:t>
        <w:br/>
        <w:t xml:space="preserve"> Indicateur 8.6.1 : Proportion de jeunes (âgés de 15 à 24 ans) qui ne sont ni scolarisés, ni employés, ni formés</w:t>
        <w:br/>
        <w:t>Cible 8.6 : D’ici 2020, réduire considérablement la proportion de jeunes qui ne travaillent pas et ne suivent pas d’études ou de formation.</w:t>
        <w:br/>
        <w:t>Objectif 8 : Promouvoir une croissance économique soutenue, inclusive et durable, le plein emploi productif et un travail décent pour tous</w:t>
        <w:br/>
        <w:t>Définition :</w:t>
        <w:br/>
        <w:t xml:space="preserve">Cet indicateur est défini comme le pourcentage de jeunes (âgés de 15 à 24 ans) ne suivant ni éducation, ni emploi, ni formation, par rapport à l'ensemble des jeunes. </w:t>
        <w:br/>
        <w:t xml:space="preserve">population. Il est également appelé « taux des jeunes NEET ». </w:t>
        <w:br/>
        <w:t>Concepts :</w:t>
        <w:br/>
        <w:t xml:space="preserve">L'éducation, selon la Classification internationale type de l'éducation (CITE), est définie comme une communication organisée et soutenue. </w:t>
        <w:br/>
        <w:t>conçu pour susciter l’apprentissage. Il comprend les éléments suivants :</w:t>
        <w:br/>
        <w:t xml:space="preserve">(1)    Éducation formelle - éducation institutionnalisée, intentionnelle et planifiée par le biais d'organisations publiques et d'organismes privés reconnus </w:t>
        <w:br/>
        <w:t>et, dans leur totalité, constituent le système éducatif formel d’un pays.</w:t>
        <w:br/>
        <w:t xml:space="preserve">(2)    Éducation non formelle - éducation institutionnalisée, intentionnelle et planifiée par un prestataire d'éducation mais considérée comme un ajout, </w:t>
        <w:br/>
        <w:t xml:space="preserve">une alternative et/ou un complément à l’éducation formelle. Il peut être de courte durée et/ou de faible intensité et il est généralement proposé sous la forme de </w:t>
        <w:br/>
        <w:t xml:space="preserve">cours de courte durée, ateliers ou séminaires. </w:t>
        <w:br/>
        <w:t xml:space="preserve">L'emploi comprend toutes les personnes en âge de travailler qui, pendant une courte période de référence (une semaine), ont exercé une activité visant à produire </w:t>
        <w:br/>
        <w:t xml:space="preserve">biens ou fournir des services contre rémunération ou profit. </w:t>
        <w:br/>
        <w:t xml:space="preserve">La formation est définie comme une activité d'apprentissage non académique par laquelle les étudiants acquièrent des compétences spécifiques destinées à des emplois professionnels ou techniques. </w:t>
        <w:br/>
        <w:t xml:space="preserve">La formation professionnelle prépare aux métiers basés sur des activités manuelles ou pratiques et aux métiers opérationnels qualifiés, bleus et blancs. </w:t>
        <w:br/>
        <w:t xml:space="preserve">collier lié à un métier, une profession ou une vocation spécifique. </w:t>
        <w:br/>
        <w:t>Justification et interprétation :</w:t>
        <w:br/>
        <w:t xml:space="preserve">Le taux de jeunes NEET fournit une mesure plus large du désengagement des jeunes des activités productives que celle mesurée uniquement par le chômage des jeunes. Il </w:t>
        <w:br/>
        <w:t xml:space="preserve">inclut les jeunes demandeurs d'emploi découragés, c'est-à-dire ceux qui ne recherchent pas activement un emploi, ainsi que ceux qui sont en dehors de la population active </w:t>
        <w:br/>
        <w:t xml:space="preserve">pour d'autres raisons telles que l'engagement dans les tâches ménagères ou un handicap.   </w:t>
        <w:br/>
        <w:t>Il s’agit d’une mesure directe des progrès vers la cible 8.6.</w:t>
        <w:br/>
        <w:t xml:space="preserve">Les données pour cet indicateur sont collectées par le biais d'enquêtes sur la main-d'œuvre auprès des ménages, de recensements de la population et de tout autre outil représentatif à l'échelle nationale. </w:t>
        <w:br/>
        <w:t xml:space="preserve">enquêtes auprès des ménages avec un module emploi approprié. De telles enquêtes sont généralement menées par les ministères ou bureaux du travail ou </w:t>
        <w:br/>
        <w:t>bureaux nationaux de statistique.</w:t>
      </w:r>
    </w:p>
    <w:p>
      <w:pPr>
        <w:pStyle w:val="Heading2"/>
      </w:pPr>
      <w:r>
        <w:t>Page 220</w:t>
      </w:r>
    </w:p>
    <w:p>
      <w:r>
        <w:t>Texte d'en-tête</w:t>
        <w:br/>
        <w:t>Texte de pied de page</w:t>
        <w:br/>
        <w:t>Désagrégation des données</w:t>
        <w:br/>
        <w:t>Références</w:t>
        <w:br/>
        <w:t>Organisation(s) internationale(s) de surveillance mondiale</w:t>
        <w:br/>
        <w:t>Méthode de calcul :</w:t>
        <w:br/>
        <w:t>Cet indicateur peut être calculé à l'aide de la formule suivante :</w:t>
        <w:br/>
        <w:t>où,</w:t>
        <w:br/>
        <w:t>Y est le nombre total de jeunes ;</w:t>
        <w:br/>
        <w:t>YEmp est le nombre de jeunes ayant un emploi ; et</w:t>
        <w:br/>
        <w:t xml:space="preserve">YUET est le nombre de jeunes qui ne travaillent pas mais suivent des études ou une formation. </w:t>
        <w:br/>
        <w:t>Commentaires et limites :</w:t>
        <w:br/>
        <w:t xml:space="preserve">Le calcul de cet indicateur nécessite des données fiables sur la situation sur le marché du travail et sur la participation à l'éducation ou à la formation des jeunes. </w:t>
        <w:br/>
        <w:t xml:space="preserve">personnes. La qualité de ces informations dépend fortement de la conception du questionnaire, de la taille de l’échantillon et de l’exactitude des réponses des répondants. </w:t>
        <w:br/>
        <w:t>En termes d’analyse de l’indicateur, afin d’éviter toute mauvaise interprétation, il est important de garder à l’esprit qu’il est composé de deux sous-groupes différents.</w:t>
        <w:br/>
        <w:t xml:space="preserve">groupes (jeunes au chômage qui ne suivent ni études ni formation et jeunes inactifs, qui ne suivent ni études ni formation). La prévalence et </w:t>
        <w:br/>
        <w:t xml:space="preserve">La composition de chaque sous-groupe aurait des implications politiques et devrait donc également être prise en compte lors de l’analyse du taux de NEET. </w:t>
        <w:br/>
        <w:t>Indicateurs proxy, alternatifs et supplémentaires : N/A</w:t>
        <w:br/>
        <w:t>Cet indicateur peut être ventilé par sexe, urbain/rural, âge (au sein de la tranche d’âge des jeunes) et niveau d’éducation atteint.</w:t>
        <w:br/>
        <w:t>URL officielle des métadonnées ODD</w:t>
        <w:br/>
        <w:t xml:space="preserve">https://unstats.un.org/sdgs/metadata/files/Metadata-08-06-01.pdf  </w:t>
        <w:br/>
        <w:t>Méthodologie reconnue au niveau international et URL des lignes directrices</w:t>
        <w:br/>
        <w:t xml:space="preserve">http://www.ilo.org/wcmsp5/groups/public/---dgreports/---stat/documents/publication/wcms_223121.pdf </w:t>
        <w:br/>
        <w:t>Autres références</w:t>
        <w:br/>
        <w:t>OIT (2013). Genève. Disponible sur : Indicateurs du travail décent : Lignes directrices à l’intention des producteurs et des utilisateurs d’indicateurs du cadre statistique et juridique. http</w:t>
        <w:br/>
        <w:t>http://www.ilo.org/wcmsp5/groups/public/---dgreports/---stat/documents/publication/wcms_223121.pdf</w:t>
        <w:br/>
        <w:t>OIT (2013). 19 Conférence internationale du travail Résolution concernant les statistiques du travail, de l'emploi et de la sous-utilisation de la main-d'œuvre.  e</w:t>
        <w:br/>
        <w:t>Statisticiens. Disponible sur : http://www.ilo.org/global/statistics-and-databases/standards-and-guidelines/resolutions-adopted-by-international-</w:t>
        <w:br/>
        <w:t>conférences-des-statisticiens-du-travail/WCMS_230304/lang--en/index.htm</w:t>
        <w:br/>
        <w:t>UNESCO (2011). Paris. Disponible sur : Classification internationale type de l'éducation CITE 2011. http://uis.unesco.org/sites/default/files</w:t>
        <w:br/>
        <w:t>/documents/classification-standard-internationale-de-l'éducation-isced-2011-fr.pdf</w:t>
        <w:br/>
        <w:t>OIT. . Site Internet : Indicateurs clés du marché du travail http://www.ilo.org/global/statistics-and-databases/research-and-databases/kilm/lang--en</w:t>
        <w:br/>
        <w:t>/index.htm</w:t>
        <w:br/>
        <w:t>OIT (2015). Note technique n° 1. Genève. Disponible sur : Que signifient les NEET et pourquoi le concept est-il si facilement mal interprété ? http://www.ilo.</w:t>
        <w:br/>
        <w:t xml:space="preserve">org/wcmsp5/groups/public/---dgreports/---dcomm/documents/publication/wcms_343153.pdf </w:t>
        <w:br/>
        <w:t xml:space="preserve">Exemples de pays </w:t>
        <w:br/>
        <w:t>N/D</w:t>
        <w:br/>
        <w:t>Ce document a été préparé sur la base des contributions de l'Organisation internationale du travail (OIT).</w:t>
        <w:br/>
        <w:t>Pour obtenir des informations sur les points focaux pour cet indicateur, veuillez visiter https://unstats.un.org/sdgs/dataContacts/</w:t>
      </w:r>
    </w:p>
    <w:p>
      <w:pPr>
        <w:pStyle w:val="Heading2"/>
      </w:pPr>
      <w:r>
        <w:t>Page 221</w:t>
      </w:r>
    </w:p>
    <w:p>
      <w:r>
        <w:t>Texte d'en-tête</w:t>
        <w:br/>
        <w:t>Texte de pied de page</w:t>
        <w:br/>
        <w:t>Indicateur 8.7.1</w:t>
        <w:br/>
        <w:t>Page d'accueil du manuel électronique</w:t>
        <w:br/>
        <w:t xml:space="preserve"> </w:t>
        <w:br/>
        <w:t>Nom de l’indicateur, cible et objectif</w:t>
        <w:br/>
        <w:t>Définition et justification</w:t>
        <w:br/>
        <w:t>Sources de données et méthode de collecte</w:t>
        <w:br/>
        <w:t>Méthode de calcul et autres considérations méthodologiques</w:t>
        <w:br/>
        <w:t>Contenu</w:t>
        <w:br/>
        <w:t>Nom de l’indicateur, cible et objectif</w:t>
        <w:br/>
        <w:t>Définition et justification</w:t>
        <w:br/>
        <w:t>Sources de données et méthode de collecte</w:t>
        <w:br/>
        <w:t>Méthode de calcul et autres considérations méthodologiques</w:t>
        <w:br/>
        <w:t>Désagrégation des données</w:t>
        <w:br/>
        <w:t>Références</w:t>
        <w:br/>
        <w:t>Organisation(s) internationale(s) de surveillance mondiale</w:t>
        <w:br/>
        <w:t xml:space="preserve"> Indicateur 8.7.1 : Proportion et nombre d'enfants âgés de 5 à 17 ans engagés dans le travail des enfants, par sexe et par âge</w:t>
        <w:br/>
        <w:t xml:space="preserve">Cible 8.7 : Prendre des mesures immédiates et efficaces pour éradiquer le travail forcé, mettre fin à l'esclavage moderne et à la traite des êtres humains et garantir la </w:t>
        <w:br/>
        <w:t xml:space="preserve">l’interdiction et l’élimination des pires formes de travail des enfants, y compris le recrutement et l’utilisation d’enfants soldats, et d’ici 2025 mettre fin au travail des enfants sous toutes ses formes. </w:t>
        <w:br/>
        <w:t>formulaires</w:t>
        <w:br/>
        <w:t>Objectif 8 : Promouvoir une croissance économique soutenue, inclusive et durable, le plein emploi productif et un travail décent pour tous</w:t>
        <w:br/>
        <w:t xml:space="preserve"> </w:t>
        <w:br/>
        <w:t>Définition :</w:t>
        <w:br/>
        <w:t xml:space="preserve">Cet indicateur est défini comme le nombre d'enfants (âgés de 5 à 17 ans) signalés comme travaillant pendant la période de référence (généralement une semaine). </w:t>
        <w:br/>
        <w:t xml:space="preserve">avant l'enquête). </w:t>
        <w:br/>
        <w:t>Concepts :</w:t>
        <w:br/>
        <w:t xml:space="preserve">Le travail des enfants fait référence au sous-ensemble d’activités des enfants qui sont préjudiciables, négatives ou indésirables pour les enfants et qui devraient être ciblées. </w:t>
        <w:br/>
        <w:t xml:space="preserve">élimination. Le travail des enfants est légalement interprété conformément à la convention no. 138 (âge minimum), convention no. 182 (pires formes), et le </w:t>
        <w:br/>
        <w:t>Convention des Nations Unies relative aux droits de l'enfant (CRC). Pour plus d'informations, voir : Résolution concernant les statistiques sur le travail des enfants, adoptée par le [1]</w:t>
        <w:br/>
        <w:t xml:space="preserve">Dix-huitième Conférence internationale des statisticiens du travail (2008).   </w:t>
        <w:br/>
        <w:t xml:space="preserve">À des fins de mesure, le travail des enfants est défini comme incluant toutes les personnes âgées de 5 à 17 ans qui sont engagées dans un ou plusieurs des activités suivantes : </w:t>
        <w:br/>
        <w:t>activités pendant une période déterminée :</w:t>
        <w:br/>
        <w:t xml:space="preserve">(1)    Travail dangereux, c'est-à-dire un travail qui, par sa nature ou les circonstances dans lesquelles il est effectué, est susceptible de nuire à la santé, à la sécurité ou à la moralité des personnes. </w:t>
        <w:br/>
        <w:t>les enfants, tels que définis par la législation nationale (18 CIST, paragraphes 20 à 31) ;</w:t>
        <w:br/>
        <w:t xml:space="preserve">(2)    Pires formes de travail des enfants autres que les travaux dangereux, c'est-à-dire toutes formes d'esclavage ou pratiques similaires à l'esclavage, exploitation sexuelle à des fins commerciales </w:t>
        <w:br/>
        <w:t>des enfants et des enfants participant à des activités illicites, tels que définis par la législation nationale (18 ICLS, paragraphe 19) ; etième</w:t>
        <w:br/>
        <w:t xml:space="preserve">(3)    Emploi en dessous de l'âge minimum de travail, tel que défini par la législation nationale, à l'exclusion des « travaux légers » effectués par des enfants âgés d'au moins 12 ans. </w:t>
        <w:br/>
        <w:t>ou 13 ans (18 ICLS paragraphes 32 à 35). e</w:t>
        <w:br/>
        <w:t>Justification et interprétation :</w:t>
        <w:br/>
        <w:t xml:space="preserve">Engager et piéger les enfants dans le travail compromet leur avenir. Le suivi des statistiques sur le travail des enfants permet de développer des </w:t>
        <w:br/>
        <w:t>les cadres réglementaires et les politiques nécessaires pour réduire les pratiques de travail des enfants. Cet indicateur est une mesure directe des progrès vers la cible 8.7.</w:t>
        <w:br/>
        <w:t>[1]  http://www.ilo.org/wcmsp5/groups/public/---dgreports/---stat/documents/normativeinstrument/wcms_112458.pdf</w:t>
        <w:br/>
        <w:t xml:space="preserve">Enquêtes auprès des ménages telles que les enquêtes nationales sur la population active, les enquêtes nationales polyvalentes auprès des ménages, les indicateurs multiples soutenus par l'UNICEF </w:t>
        <w:br/>
        <w:t xml:space="preserve">Enquêtes par grappes (MICS), enquêtes démographiques et de santé (EDS), programme d'information statistique et de suivi sur les enfants soutenu par l'OIT. </w:t>
        <w:br/>
        <w:t xml:space="preserve">Les enquêtes sur le travail (SIMPOC) et la mesure du niveau de vie de la Banque mondiale (LSMS) comptent parmi les instruments les plus importants pour générer </w:t>
        <w:br/>
        <w:t>informations sur le travail des enfants dans les pays en développement.</w:t>
      </w:r>
    </w:p>
    <w:p>
      <w:pPr>
        <w:pStyle w:val="Heading2"/>
      </w:pPr>
      <w:r>
        <w:t>Page 222</w:t>
      </w:r>
    </w:p>
    <w:p>
      <w:r>
        <w:t>Texte d'en-tête</w:t>
        <w:br/>
        <w:t>Texte de pied de page</w:t>
        <w:br/>
        <w:t>Désagrégation des données</w:t>
        <w:br/>
        <w:t>Références</w:t>
        <w:br/>
        <w:t>Méthode de calcul :</w:t>
        <w:br/>
        <w:t>La proportion d'enfants de ce groupe d'âge qui sont engagés dans le travail des enfants est calculée comme suit :a (PCL ) a</w:t>
        <w:br/>
        <w:t>où,</w:t>
        <w:br/>
        <w:t xml:space="preserve">NCLa est le nombre d'enfants du groupe d'âge qui sont engagés dans le travail des enfants ;a </w:t>
        <w:br/>
        <w:t>TNCa est le nombre total d'enfants dans la tranche d'âge ; et une</w:t>
        <w:br/>
        <w:t xml:space="preserve">  peut correspondre à n'importe quelle tranche d'âge souhaitée (c'est-à-dire 5 à 14 ans, 5 à 17 ans, etc.) a </w:t>
        <w:br/>
        <w:t>La méthodologie de mesure utilisée par l'OIT dans ses estimations mondiales sur le travail des enfants, s'appuyant sur la définition statistique de la 18 ICLS, classe [1] e</w:t>
        <w:br/>
        <w:t>travail des enfants sur la base des critères suivants :</w:t>
        <w:br/>
        <w:t>Travaux dangereux pour tous les enfants âgés de 5 à 17 ans</w:t>
        <w:br/>
        <w:t>Enfants âgés de 5 à 11 ans effectuant au moins une heure d'activités économiques au cours de la semaine de référence ;</w:t>
        <w:br/>
        <w:t>Enfants âgés de 12 à 14 ans effectuant plus de 14 heures d'activités économiques au cours de la semaine de référence</w:t>
        <w:br/>
        <w:t xml:space="preserve">Les pires formes de travail des enfants autres que les travaux dangereux (travail forcé, exploitation sexuelle des enfants à des fins commerciales, enfants dans des activités illicites) </w:t>
        <w:br/>
        <w:t>activités, etc).</w:t>
        <w:br/>
        <w:t>Commentaires et limites :</w:t>
        <w:br/>
        <w:t xml:space="preserve">Les estimations du travail des enfants fondées sur les normes établies dans la CIST constituent des références utiles mais ne sont pas nécessairement cohérentes avec les estimations fondées sur le travail des enfants. </w:t>
        <w:br/>
        <w:t xml:space="preserve">sur la législation nationale sur le travail des enfants. La Convention de l'OIT sur l'âge minimum, 1973 (n° 138) contient un certain nombre de clauses de flexibilité qui laissent </w:t>
        <w:br/>
        <w:t xml:space="preserve">la détermination des seuils de travail des enfants (par exemple, âges minimum, champ d’application) à la discrétion des autorités nationales compétentes. De plus, </w:t>
        <w:br/>
        <w:t xml:space="preserve">la convention (n° 182) sur les pires formes de travail des enfants, 1999, laisse explicitement la responsabilité d’établir les types de travail considérés comme </w:t>
        <w:br/>
        <w:t xml:space="preserve">dangereux pour les autorités nationales. Par conséquent, il n’existe pas de définition juridique unique du travail des enfants dans tous les pays et, par conséquent, il n’existe pas de définition statistique unique. </w:t>
        <w:br/>
        <w:t xml:space="preserve">mesure du travail des enfants conforme à la législation nationale des différents pays. </w:t>
        <w:br/>
        <w:t>Indicateurs proxy, alternatifs et complémentaires :</w:t>
        <w:br/>
        <w:t xml:space="preserve">Si, en fonction des politiques et des circonstances nationales, le domaine de la production générale plutôt que celui du SCN est utilisé pour </w:t>
        <w:br/>
        <w:t xml:space="preserve">mesurant les activités productives des enfants, le travail des enfants comprendra, en plus des trois catégories spécifiées dans la section intitulée </w:t>
        <w:br/>
        <w:t xml:space="preserve">« Concepts », services ménagers dangereux et non rémunérés. Par souci de clarté, le travail des enfants estimé sur cette base devrait être appelé « travail des enfants ». </w:t>
        <w:br/>
        <w:t>(Base générale des limites de production) (18 ICLS paragraphes 36-37).</w:t>
        <w:br/>
        <w:t xml:space="preserve">[1] OIT-IPEC. Marquer des progrès dans la lutte contre le travail des enfants - Estimations et tendances mondiales 2000-2012 / Bureau international du Travail, International </w:t>
        <w:br/>
        <w:t>Programme pour l'abolition du travail des enfants (IPEC) - Genève : OIT, 2013.</w:t>
        <w:br/>
        <w:t>Il est nécessaire de ventiler cet indicateur par sexe et par âge.</w:t>
        <w:br/>
        <w:t xml:space="preserve">Pour les rapports au niveau national, il est recommandé de ventiler cet indicateur par zone de résidence, autre ventilation géographique pertinente, </w:t>
        <w:br/>
        <w:t>fréquentation scolaire, mesures du revenu des ménages, industrie et heures de travail.</w:t>
      </w:r>
    </w:p>
    <w:p>
      <w:pPr>
        <w:pStyle w:val="Heading2"/>
      </w:pPr>
      <w:r>
        <w:t>Page 223</w:t>
      </w:r>
    </w:p>
    <w:p>
      <w:r>
        <w:t>Texte d'en-tête</w:t>
        <w:br/>
        <w:t>Texte de pied de page</w:t>
        <w:br/>
        <w:t>Organisation(s) internationale(s) de surveillance mondiale</w:t>
        <w:br/>
        <w:t>URL officielle des métadonnées ODD</w:t>
        <w:br/>
        <w:t>https://unstats.un.org/sdgs/metadata/files/Metadata-08-07-01.pdf</w:t>
        <w:br/>
        <w:t>Méthodologie reconnue au niveau international et URL des lignes directrices</w:t>
        <w:br/>
        <w:t>OIT, Manuel d'analyse des données et de rapports statistiques sur le travail des enfants, disponible sur http://www.ilo.org/ipecinfo/product/download.do?</w:t>
        <w:br/>
        <w:t xml:space="preserve"> type=document&amp;id=3079 </w:t>
        <w:br/>
        <w:t>OIT, Child Labour Statistics: Manuel sur les méthodologies de collecte de données par le biais d'enquêtes, DISPONIBLE SUR https://www.ilo.org/ipec</w:t>
        <w:br/>
        <w:t xml:space="preserve"> /Informationresources/WCMS_IPEC_PUB_141/lang--en/index.htm</w:t>
        <w:br/>
        <w:t>Autres références</w:t>
        <w:br/>
        <w:t>:Notes d'information de l'UNICEF sur les indicateurs des ODD</w:t>
        <w:br/>
        <w:t>UNICEF. Disponible sur Notes d’information sur les indicateurs mondiaux des ODD liés aux enfants. https://data.unicef.org/resources/sdg-global-indicators-rated-</w:t>
        <w:br/>
        <w:t xml:space="preserve">aux-enfants/ </w:t>
        <w:br/>
        <w:t>:Références supplémentaires</w:t>
        <w:br/>
        <w:t>OIT (2008). Genève. Disponible à : 18 Conférence internationale des statisticiens du travail : Rapport de la Conférence. e http://www.ilo.org/wcmsp5</w:t>
        <w:br/>
        <w:t>/groups/public/---dgreports/---stat/documents/meetingdocument/wcms_101467.pdf</w:t>
        <w:br/>
        <w:t>OIT. Disponible sur : Rapports d’enquête nationale sur le travail des enfants. http://www.ilo.org/ipec/ChildlabourstatisticsSIMPOC/Questionnairessurveysandreports</w:t>
        <w:br/>
        <w:t>/lang--fr/index.htm</w:t>
        <w:br/>
        <w:t>UNICEF. Site Internet : Comprendre le travail des enfants. http://www.ucw-project.org/</w:t>
        <w:br/>
        <w:t>UNICEF. Site Internet : Données : Suivi de la situation des enfants et des femmes. http://data.unicef.org/topic/child-protection/child-labour/</w:t>
        <w:br/>
        <w:t xml:space="preserve">OIT. Site Internet : Statistiques sur le travail des enfants. http://www.ilo.org/ipec/ChildlabourstatisticsSIMPOC/lang--en/index.htm </w:t>
        <w:br/>
        <w:t>Exemples de pays</w:t>
        <w:br/>
        <w:t>N/D</w:t>
        <w:br/>
        <w:t>Ce document a été préparé sur la base des contributions du Fonds des Nations Unies pour l’enfance (UNICEF) et de l’Organisation internationale du Travail (OIT).</w:t>
        <w:br/>
        <w:t>Pour obtenir des informations sur les points focaux pour cet indicateur, veuillez visiter https://unstats.un.org/sdgs/dataContacts/</w:t>
      </w:r>
    </w:p>
    <w:p>
      <w:pPr>
        <w:pStyle w:val="Heading2"/>
      </w:pPr>
      <w:r>
        <w:t>Page 224</w:t>
      </w:r>
    </w:p>
    <w:p>
      <w:r>
        <w:t>Texte d'en-tête</w:t>
        <w:br/>
        <w:t>Texte de pied de page</w:t>
        <w:br/>
        <w:t>Indicateur 8.8.1</w:t>
        <w:br/>
        <w:t>Page d'accueil du manuel électronique</w:t>
        <w:br/>
        <w:t>Nom de l’indicateur, cible et objectif</w:t>
        <w:br/>
        <w:t>Définition et justification</w:t>
        <w:br/>
        <w:t>Sources de données et méthode de collecte</w:t>
        <w:br/>
        <w:t>Contenu</w:t>
        <w:br/>
        <w:t>Nom de l’indicateur, cible et objectif</w:t>
        <w:br/>
        <w:t>Définition et justification</w:t>
        <w:br/>
        <w:t>Sources de données et méthode de collecte</w:t>
        <w:br/>
        <w:t>Méthode de calcul et autres considérations méthodologiques</w:t>
        <w:br/>
        <w:t>Désagrégation des données</w:t>
        <w:br/>
        <w:t>Références</w:t>
        <w:br/>
        <w:t>Organisation(s) internationale(s) de surveillance mondiale</w:t>
        <w:br/>
        <w:t xml:space="preserve"> Indicateur 8.8.1 : Accidents du travail mortels et non mortels pour 100 000 travailleurs, par sexe et statut de migrant</w:t>
        <w:br/>
        <w:t xml:space="preserve">Cible 8.8 : Protéger les droits du travail et promouvoir des environnements de travail sûrs et sécurisés pour tous les travailleurs, y compris les travailleurs migrants, en particulier </w:t>
        <w:br/>
        <w:t>les femmes migrantes et celles occupant un emploi précaire</w:t>
        <w:br/>
        <w:t>Objectif 8 : Promouvoir une croissance économique soutenue, inclusive et durable, le plein emploi productif et un travail décent pour tous</w:t>
        <w:br/>
        <w:t>Définition :</w:t>
        <w:br/>
        <w:t xml:space="preserve">Cet indicateur est défini comme le nombre de cas d'accidents du travail mortels et non mortels par heure travaillée par la population de référence au cours d'une période donnée. </w:t>
        <w:br/>
        <w:t xml:space="preserve">période donnée. Cependant, la pratique la plus courante en termes de calcul des indicateurs d'accidents du travail est le nombre de cas d'accidents mortels et </w:t>
        <w:br/>
        <w:t xml:space="preserve">accidents du travail non mortels pour 100 000 travailleurs du groupe de référence. </w:t>
        <w:br/>
        <w:t>Concepts :</w:t>
        <w:br/>
        <w:t xml:space="preserve">Les accidents du travail sont définis comme toute blessure corporelle, maladie ou décès résultant d'un accident du travail. Un accident du travail est différent </w:t>
        <w:br/>
        <w:t xml:space="preserve">d'une maladie professionnelle, qui résulte d'une exposition prolongée à des facteurs de risque liés à l'activité professionnelle. Maladies </w:t>
        <w:br/>
        <w:t xml:space="preserve">ne sont inclus que dans les cas où la maladie est le résultat direct d’un accident. </w:t>
        <w:br/>
        <w:t xml:space="preserve">L'accident du travail est défini comme un événement inattendu et imprévu, y compris des actes de violence, résultant de ou en relation avec </w:t>
        <w:br/>
        <w:t xml:space="preserve">travail qui entraîne une blessure, une maladie ou la mort d'un ou de plusieurs travailleurs. Il comprend les accidents de voyage, de transport ou de la circulation routière qui </w:t>
        <w:br/>
        <w:t xml:space="preserve">survenant du fait ou pendant le travail. </w:t>
        <w:br/>
        <w:t>Pour des précisions supplémentaires sur les accidents du travail et les accidents du travail, veuillez consulter la Résolution concernant les statistiques des accidents du travail du 16</w:t>
        <w:br/>
        <w:t xml:space="preserve">Conférence internationale sur les statistiques du travail (ICLS 1998). </w:t>
        <w:br/>
        <w:t>Selon l' ONU , un migrant international est défini comme toute personne qui modifie les recommandations sur les statistiques des migrations internationales</w:t>
        <w:br/>
        <w:t xml:space="preserve">son pays de résidence habituelle. Cependant, dans la pratique, en raison des difficultés liées à l'application de cette définition à des fins de mesure, de nombreux pays </w:t>
        <w:br/>
        <w:t xml:space="preserve">choisir de définir le statut de migrant des individus en fonction de leur pays de citoyenneté ou de leur pays de naissance. </w:t>
        <w:br/>
        <w:t>Justification et interprétation :</w:t>
        <w:br/>
        <w:t>Cet indicateur permet de suivre et d'identifier les tendances en matière de sécurité au travail. Cela aide :</w:t>
        <w:br/>
        <w:t xml:space="preserve">(1)     informer les employeurs, les organisations d'employeurs, les travailleurs et les organisations de travailleurs des risques associés à leur travail et à leurs lieux de travail, </w:t>
        <w:br/>
        <w:t>afin qu'ils puissent participer activement à leur propre sécurité ;</w:t>
        <w:br/>
        <w:t xml:space="preserve">(2)    pour évaluer l'efficacité des mesures préventives ; estimer les conséquences des accidents du travail, notamment en termes de jours </w:t>
        <w:br/>
        <w:t>perte ou frais ; et</w:t>
        <w:br/>
        <w:t xml:space="preserve">(3)    fournir une base à l'élaboration de politiques visant à encourager les employeurs, les organisations d'employeurs, les travailleurs et les organisations de travailleurs à </w:t>
        <w:br/>
        <w:t>introduire des mesures de prévention des accidents.</w:t>
        <w:br/>
        <w:t xml:space="preserve">Les statistiques sur les lésions professionnelles peuvent provenir de diverses sources, notamment de différents types de dossiers administratifs, tels que les dossiers des </w:t>
        <w:br/>
        <w:t xml:space="preserve">systèmes nationaux de déclaration des accidents du travail (dossiers de l'inspection du travail et rapports annuels; dossiers d'assurance et d'indemnisation, </w:t>
        <w:br/>
        <w:t xml:space="preserve">registres de décès), des enquêtes auprès des ménages (permettant de couvrir les entreprises du secteur informel et les travailleurs indépendants) et des enquêtes auprès des établissements. Un </w:t>
        <w:br/>
        <w:t xml:space="preserve">la combinaison de ces sources peut être utilisée pour améliorer la qualité et la couverture des données. Ces données sont généralement compilées par les ministères du Travail, les autorités nationales </w:t>
        <w:br/>
        <w:t>les compagnies d’assurance et l’Office national de la statistique.</w:t>
      </w:r>
    </w:p>
    <w:p>
      <w:pPr>
        <w:pStyle w:val="Heading2"/>
      </w:pPr>
      <w:r>
        <w:t>Page 225</w:t>
      </w:r>
    </w:p>
    <w:p>
      <w:r>
        <w:t>Texte d'en-tête</w:t>
        <w:br/>
        <w:t>Texte de pied de page</w:t>
        <w:br/>
        <w:t>Méthode de calcul et autres considérations méthodologiques</w:t>
        <w:br/>
        <w:t>Désagrégation des données</w:t>
        <w:br/>
        <w:t>Références</w:t>
        <w:br/>
        <w:t>Organisation(s) internationale(s) de surveillance mondiale</w:t>
        <w:br/>
        <w:t>Méthode de calcul :</w:t>
        <w:br/>
        <w:t>Les taux d’accidents du travail mortels et non mortels sont calculés séparément comme suit :</w:t>
        <w:br/>
        <w:t xml:space="preserve">Si les données sur le nombre d'heures travaillées ne sont pas disponibles, le nombre de travailleurs dans la population de référence peut être utilisé à la place pour calculer </w:t>
        <w:br/>
        <w:t>le taux de , comme suit : accidents du travail mortels et non mortels pour 100 000 travailleurs du groupe de référence</w:t>
        <w:br/>
        <w:t>Commentaires et limites :</w:t>
        <w:br/>
        <w:t xml:space="preserve">Les accidents du travail sont souvent sous-déclarés, ce qui signifie que les statistiques sur les accidents du travail provenant des dossiers administratifs ou des systèmes d'enregistrement </w:t>
        <w:br/>
        <w:t xml:space="preserve">peut être loin d’être exhaustif. Des systèmes appropriés sont nécessaires pour garantir la meilleure qualité de reporting et de données. Double comptage des cas de </w:t>
        <w:br/>
        <w:t xml:space="preserve">des accidents du travail peuvent également survenir lorsque plusieurs registres (dossiers de différentes agences) sont regroupés pour disposer de données plus complètes. </w:t>
        <w:br/>
        <w:t xml:space="preserve">Cet indicateur est très volatile, car des accidents majeurs ou des calamités nationales peuvent avoir un impact significatif sur les estimations dérivées à un moment donné. </w:t>
        <w:br/>
        <w:t xml:space="preserve">Il peut donc être préférable d’analyser les tendances de l’indicateur plutôt que les niveaux. </w:t>
        <w:br/>
        <w:t>Indicateurs proxy, alternatifs et supplémentaires : N/A</w:t>
        <w:br/>
        <w:t>Cet indicateur doit être ventilé par sexe et statut de migrant. Il peut également être ventilé par activité économique et profession.</w:t>
        <w:br/>
        <w:t>URL officielle des métadonnées ODD</w:t>
        <w:br/>
        <w:t xml:space="preserve">https://unstats.un.org/sdgs/metadata/files/Metadata-08-08-01.pdf  </w:t>
        <w:br/>
        <w:t>Méthodologie reconnue au niveau international et URL des lignes directrices</w:t>
        <w:br/>
        <w:t xml:space="preserve">http://www.ilo.org/wcmsp5/groups/public/---dgreports/---stat/documents/publication/wcms_223121.pdf  </w:t>
        <w:br/>
        <w:t>Autres références</w:t>
        <w:br/>
        <w:t>OIT (2013). Genève. Disponible sur : Indicateurs du travail décent : Lignes directrices à l’intention des producteurs et des utilisateurs d’indicateurs du cadre statistique et juridique. http</w:t>
        <w:br/>
        <w:t>http://www.ilo.org/wcmsp5/groups/public/---dgreports/---stat/documents/publication/wcms_223121.pdf</w:t>
        <w:br/>
        <w:t>OIT (2013). 16 Conférence internationale du travail Résolution concernant les statistiques du travail, de l'emploi et de la sous-utilisation de la main-d'œuvre.  e</w:t>
        <w:br/>
        <w:t>Statisticiens. Disponible sur : http://www.ilo.org/global/statistics-and-databases/standards-and-guidelines/resolutions-adopted-by-international-</w:t>
        <w:br/>
        <w:t xml:space="preserve">conférences-des-statisticiens-du-travail/WCMS_087528/lang--en/index.htm </w:t>
        <w:br/>
        <w:t xml:space="preserve">Exemples de pays </w:t>
        <w:br/>
        <w:t>N/D</w:t>
      </w:r>
    </w:p>
    <w:p>
      <w:pPr>
        <w:pStyle w:val="Heading2"/>
      </w:pPr>
      <w:r>
        <w:t>Page 226</w:t>
      </w:r>
    </w:p>
    <w:p>
      <w:r>
        <w:t>Texte d'en-tête</w:t>
        <w:br/>
        <w:t>Texte de pied de page</w:t>
        <w:br/>
        <w:t>Ce document a été préparé sur la base des contributions de l'Organisation internationale du travail (OIT).</w:t>
        <w:br/>
        <w:t>Pour obtenir des informations sur les points focaux pour cet indicateur, veuillez visiter https://unstats.un.org/sdgs/dataContacts/</w:t>
      </w:r>
    </w:p>
    <w:p>
      <w:pPr>
        <w:pStyle w:val="Heading2"/>
      </w:pPr>
      <w:r>
        <w:t>Page 227</w:t>
      </w:r>
    </w:p>
    <w:p>
      <w:r>
        <w:t>Texte d'en-tête</w:t>
        <w:br/>
        <w:t>Texte de pied de page</w:t>
        <w:br/>
        <w:t>Indicateur 8.10.1</w:t>
        <w:br/>
        <w:t>Page d'accueil du manuel électronique</w:t>
        <w:br/>
        <w:t xml:space="preserve"> </w:t>
        <w:br/>
        <w:t>Nom de l’indicateur, cible et objectif</w:t>
        <w:br/>
        <w:t>Définition et justification</w:t>
        <w:br/>
        <w:t>Sources de données et méthode de collecte</w:t>
        <w:br/>
        <w:t>Méthode de calcul et autres considérations méthodologiques</w:t>
        <w:br/>
        <w:t>Contenu</w:t>
        <w:br/>
        <w:t>Nom de l’indicateur, cible et objectif</w:t>
        <w:br/>
        <w:t>Définition et justification</w:t>
        <w:br/>
        <w:t>Sources de données et méthode de collecte</w:t>
        <w:br/>
        <w:t>Méthode de calcul et autres considérations méthodologiques</w:t>
        <w:br/>
        <w:t>Désagrégation des données</w:t>
        <w:br/>
        <w:t>Références</w:t>
        <w:br/>
        <w:t>Organisation(s) internationale(s) de surveillance mondiale</w:t>
        <w:br/>
        <w:t xml:space="preserve"> Indicateur 8.10.1 : Nombre d'agences bancaires commerciales pour 100 000 adultes (b) nombre de guichets automatiques bancaires (DAB) pour 100 000 adultes</w:t>
        <w:br/>
        <w:t xml:space="preserve">Cible 8.10 : Renforcer la capacité des institutions financières nationales à encourager et élargir l'accès aux services bancaires, d'assurance et financiers. </w:t>
        <w:br/>
        <w:t>services pour tous.</w:t>
        <w:br/>
        <w:t>Objectif 8 : Promouvoir une croissance économique soutenue, inclusive et durable, le plein emploi productif et un travail décent pour tous</w:t>
        <w:br/>
        <w:t>Définition :</w:t>
        <w:br/>
        <w:t xml:space="preserve">Cet indicateur comporte deux composantes. Ils sont définis comme le nombre (a) d'agences bancaires commerciales pour 100 000 adultes, et (b) le nombre d'agences bancaires commerciales. </w:t>
        <w:br/>
        <w:t xml:space="preserve">distributeurs automatiques de billets (DAB) pour 100 000 adultes dans un pays. </w:t>
        <w:br/>
        <w:t>Concepts :</w:t>
        <w:br/>
        <w:t xml:space="preserve">La première composante de l'indicateur fait référence au nombre de succursales de banques commerciales tel que déclaré par la Banque centrale ou les principales agences financières. </w:t>
        <w:br/>
        <w:t xml:space="preserve">régulateur. Pour que l'indicateur soit significatif pour les comparaisons entre pays, le nombre de succursales de banques commerciales est calculé pour 100 000 habitants. </w:t>
        <w:br/>
        <w:t xml:space="preserve">adultes. </w:t>
        <w:br/>
        <w:t xml:space="preserve">La deuxième composante des indicateurs fait référence au nombre de guichets automatiques dans le pays pour tous les types d'institutions financières, y compris commerciales. </w:t>
        <w:br/>
        <w:t xml:space="preserve">banques, institutions de microfinance sans dépôt, institutions de microfinance de dépôt, coopératives de crédit et coopératives financières, comme indiqué </w:t>
        <w:br/>
        <w:t xml:space="preserve">par la Banque centrale ou le principal régulateur financier. Pour que l'indicateur soit significatif pour les comparaisons entre pays, le nombre de distributeurs automatiques est </w:t>
        <w:br/>
        <w:t xml:space="preserve">calculé pour 100 000 adultes. </w:t>
        <w:br/>
        <w:t xml:space="preserve">La population adulte est définie comme celle âgée de 15 ans et plus.  </w:t>
        <w:br/>
        <w:t>Justification et interprétation :</w:t>
        <w:br/>
        <w:t xml:space="preserve">L’accès et l’utilisation des services financiers formels sont essentiels. Les services tels que l'épargne, l'assurance, les paiements, le crédit et les envois de fonds permettent aux personnes </w:t>
        <w:br/>
        <w:t xml:space="preserve">pour gérer leur vie, planifier et payer leurs dépenses, développer leur entreprise et améliorer leur bien-être général. Les banques restant l’un des acteurs clés </w:t>
        <w:br/>
        <w:t xml:space="preserve">institutions pour accéder aux services financiers formels, disposer d’une succursale bancaire accessible est un point initial important d’accès aux services financiers </w:t>
        <w:br/>
        <w:t xml:space="preserve">et donc leur utilisation. Les agences bancaires sont complétées par d'autres points d'accès importants tels que les guichets automatiques bancaires de toutes les banques formelles. </w:t>
        <w:br/>
        <w:t xml:space="preserve">institutions financières, qui peuvent étendre les services financiers à des endroits éloignés. Par conséquent, cet indicateur est une mesure directe des progrès en matière d’accès </w:t>
        <w:br/>
        <w:t>aux services financiers et bancaires.</w:t>
        <w:br/>
        <w:t xml:space="preserve">La Banque centrale ou le principal régulateur financier collecte des données auprès des institutions financières et des prestataires de services du pays et rend compte </w:t>
        <w:br/>
        <w:t>agrégats.</w:t>
      </w:r>
    </w:p>
    <w:p>
      <w:pPr>
        <w:pStyle w:val="Heading2"/>
      </w:pPr>
      <w:r>
        <w:t>Page 228</w:t>
      </w:r>
    </w:p>
    <w:p>
      <w:r>
        <w:t>Texte d'en-tête</w:t>
        <w:br/>
        <w:t>Texte de pied de page</w:t>
        <w:br/>
        <w:t>Désagrégation des données</w:t>
        <w:br/>
        <w:t>Références</w:t>
        <w:br/>
        <w:t>Organisation(s) internationale(s) de surveillance mondiale</w:t>
        <w:br/>
        <w:t>Méthode de calcul :</w:t>
        <w:br/>
        <w:t xml:space="preserve">Les deux sous-indicateurs sont calculés comme suit : </w:t>
        <w:br/>
        <w:t xml:space="preserve">Commentaires et limites : N/A </w:t>
        <w:br/>
        <w:t>Indicateurs proxy, alternatifs et supplémentaires : N/A</w:t>
        <w:br/>
        <w:t>Une ventilation au niveau urbain/rural serait utile.</w:t>
        <w:br/>
        <w:t>URL officielle des métadonnées ODD</w:t>
        <w:br/>
        <w:t xml:space="preserve">https://unstats.un.org/sdgs/metadata/files/Metadata-08-10-01.pdf  </w:t>
        <w:br/>
        <w:t>Méthodologie reconnue au niveau international et URL des lignes directrices</w:t>
        <w:br/>
        <w:t>FMI (2016). . Disponible dans le Manuel de statistiques monétaires et financières et le Guide de compilation https://www.imf.org/en/Publications/Manuals-Guides</w:t>
        <w:br/>
        <w:t xml:space="preserve"> /Numéros/2016/12/31/Statistiques-monétaires et financières-Compilation-Guide-Compilation-Guide-19460</w:t>
        <w:br/>
        <w:t>Autres références</w:t>
        <w:br/>
        <w:t xml:space="preserve">FMI. Site Internet de Washington, D.C. : Portail d'enquête sur l'accès financier. http://data.imf.org/?sk=E5DCAB7E-A5CA-4892-A6EA-598B5463A34C </w:t>
        <w:br/>
        <w:t xml:space="preserve">Exemples de pays </w:t>
        <w:br/>
        <w:t>N/D</w:t>
        <w:br/>
        <w:t>Ce document a été préparé sur la base des contributions du Fonds monétaire international (FMI).</w:t>
        <w:br/>
        <w:t>Pour obtenir des informations sur les points focaux pour cet indicateur, veuillez visiter https://unstats.un.org/sdgs/dataContacts/</w:t>
      </w:r>
    </w:p>
    <w:p>
      <w:pPr>
        <w:pStyle w:val="Heading2"/>
      </w:pPr>
      <w:r>
        <w:t>Page 229</w:t>
      </w:r>
    </w:p>
    <w:p>
      <w:r>
        <w:t>Texte d'en-tête</w:t>
        <w:br/>
        <w:t>Texte de pied de page</w:t>
        <w:br/>
        <w:t>Indicateur 8.a.1</w:t>
        <w:br/>
        <w:t>Page d'accueil du manuel électronique</w:t>
        <w:br/>
        <w:t xml:space="preserve"> </w:t>
        <w:br/>
        <w:t>Nom de l’indicateur, cible et objectif</w:t>
        <w:br/>
        <w:t>Définition et justification</w:t>
        <w:br/>
        <w:t>Sources de données et méthode de collecte</w:t>
        <w:br/>
        <w:t>Contenu</w:t>
        <w:br/>
        <w:t>Nom de l’indicateur, cible et objectif</w:t>
        <w:br/>
        <w:t>Définition et justification</w:t>
        <w:br/>
        <w:t>Sources de données et méthode de collecte</w:t>
        <w:br/>
        <w:t>Méthode de calcul et autres considérations méthodologiques</w:t>
        <w:br/>
        <w:t>Désagrégation des données</w:t>
        <w:br/>
        <w:t>Références</w:t>
        <w:br/>
        <w:t>Organisation(s) internationale(s) de surveillance mondiale</w:t>
        <w:br/>
        <w:t xml:space="preserve"> Indicateur 8.a.1 : Engagements et décaissements en matière d’Aide pour le commerce</w:t>
        <w:br/>
        <w:t xml:space="preserve">Cible 8.a : Augmenter le soutien de l’Aide pour le commerce aux pays en développement, en particulier aux pays les moins avancés, notamment par le biais du Programme renforcé. </w:t>
        <w:br/>
        <w:t>Cadre intégré pour l'assistance technique liée au commerce en faveur des pays les moins avancés</w:t>
        <w:br/>
        <w:t>Objectif 8 : Promouvoir une croissance économique soutenue, inclusive et durable, le plein emploi productif et un travail décent pour tous</w:t>
        <w:br/>
        <w:t>Définition :</w:t>
        <w:br/>
        <w:t xml:space="preserve">Cet indicateur est défini comme les décaissements bruts et les engagements de l'aide publique au développement (APD) totale de tous les donateurs pour l'aide au développement. </w:t>
        <w:br/>
        <w:t xml:space="preserve">commerce. </w:t>
        <w:br/>
        <w:t>Concepts :</w:t>
        <w:br/>
        <w:t>Le Comité d'aide au développement (CAD) définit comme étant les flux vers les pays et territoires figurant sur la liste du CAD des bénéficiaires de l'APD et l'APD.</w:t>
        <w:br/>
        <w:t>les institutions multilatérales qui sont :</w:t>
        <w:br/>
        <w:t>(1)    Fournis par des agences officielles, y compris les gouvernements des États et locaux, ou par leurs agences exécutives ; et</w:t>
        <w:br/>
        <w:t>(2)    Chaque transaction dont :</w:t>
        <w:br/>
        <w:t>une. est administré avec la promotion du développement économique et du bien-être des pays en développement comme objectif principal ; et</w:t>
        <w:br/>
        <w:t xml:space="preserve">b. a un caractère concessionnel et comporte un élément de don d'au moins 25 pour cent (calculé à un taux d'actualisation de 10 pour cent). </w:t>
        <w:br/>
        <w:t xml:space="preserve">Tous les donateurs font référence aux donateurs du CAD, aux autres fournisseurs bilatéraux de coopération au développement et aux organisations multilatérales.  </w:t>
        <w:br/>
        <w:t>L’Aide pour le commerce est comptabilisée comme suit dans le Système de notification des pays créanciers (CRS) de l’OCDE :</w:t>
        <w:br/>
        <w:t xml:space="preserve">?         Infrastructures économiques (transport et stockage (codes CRS 210xx), communications (codes CRS 220xx) et énergétiques (codes CRS </w:t>
        <w:br/>
        <w:t>230xx)),</w:t>
        <w:br/>
        <w:t>?         Politique et réglementation commerciales et ajustements liés au commerce (codes SNPC 331xx)</w:t>
        <w:br/>
        <w:t xml:space="preserve">?         Le marqueur de politique de développement commercial, qui identifie le développement commercial/les activités qui ont le développement commercial comme objectif explicite. </w:t>
        <w:br/>
        <w:t xml:space="preserve">objectif au sein de la catégorie « renforcement des capacités productives » qui est définie comme les services bancaires et financiers (codes SNPC 240xx), </w:t>
        <w:br/>
        <w:t xml:space="preserve">entreprises et autres services (codes CRS 250xx), agriculture, sylviculture, pêche (codes CRS 31xxxx), industrie (codes CRS 321xx), minéraux </w:t>
        <w:br/>
        <w:t xml:space="preserve">ressources naturelles et minières (codes CRS 322xx) et tourisme (codes CRS 332xx)), </w:t>
        <w:br/>
        <w:t xml:space="preserve">Voir pour référence : http://www.oecd.org/dac/financing-sustainable-development/development-finance-standards/dacandcrscodelists.htm </w:t>
        <w:br/>
        <w:t>Justification et interprétation :</w:t>
        <w:br/>
        <w:t>L’APD pour l’aide pour le commerce aux pays en développement quantifie l’effort public que les donateurs fournissent aux pays en développement pour l’aide pour le commerce.</w:t>
      </w:r>
    </w:p>
    <w:p>
      <w:pPr>
        <w:pStyle w:val="Heading2"/>
      </w:pPr>
      <w:r>
        <w:t>Page 230</w:t>
      </w:r>
    </w:p>
    <w:p>
      <w:r>
        <w:t>Texte d'en-tête</w:t>
        <w:br/>
        <w:t>Texte de pied de page</w:t>
        <w:br/>
        <w:t>Méthode de calcul et autres considérations méthodologiques</w:t>
        <w:br/>
        <w:t>Désagrégation des données</w:t>
        <w:br/>
        <w:t>Références</w:t>
        <w:br/>
        <w:t>Organisation(s) internationale(s) de surveillance mondiale</w:t>
        <w:br/>
        <w:t xml:space="preserve">Un rapporteur statistique est responsable de la collecte des statistiques du CAD dans chaque pays/agence fournisseur. Ce journaliste se trouve généralement dans le </w:t>
        <w:br/>
        <w:t xml:space="preserve">agence d'aide nationale, ministère des Affaires étrangères ou des Finances, etc. </w:t>
        <w:br/>
        <w:t xml:space="preserve">Le CAD/OCDE a collecté des données sur les flux de ressources publiques et privées depuis 1960 au niveau agrégé et 1973 au niveau des activités. </w:t>
        <w:br/>
        <w:t xml:space="preserve">via le SNPC (les données du SNPC sont considérées comme complètes à partir de 1995 pour les engagements au niveau des activités et de 2002 pour les décaissements). Le Rio </w:t>
        <w:br/>
        <w:t xml:space="preserve">Un marqueur de la biodiversité a été introduit en 2002. </w:t>
        <w:br/>
        <w:t xml:space="preserve">Le Secrétariat du CAD/OCDE prépare et soumet un questionnaire annuel (au niveau agrégé et au niveau des activités) aux organismes statistiques nationaux. </w:t>
        <w:br/>
        <w:t xml:space="preserve">journalistes, et ils sont responsables de la collecte, de la validation et de la publication de ces données. </w:t>
        <w:br/>
        <w:t>Méthode de calcul :</w:t>
        <w:br/>
        <w:t xml:space="preserve">Cet indicateur est calculé comme la somme de tous les flux d'APD de tous les donateurs vers les pays en développement sont marqués par l'aide au commerce sous le </w:t>
        <w:br/>
        <w:t xml:space="preserve">Série 331. </w:t>
        <w:br/>
        <w:t>Commentaires et limites :</w:t>
        <w:br/>
        <w:t xml:space="preserve">Les données du SNPC sont disponibles à partir de 1973. Toutefois, la couverture des données, au niveau des activités, est considérée comme complète à partir de 1995 pour les engagements. </w:t>
        <w:br/>
        <w:t xml:space="preserve">et 2002 pour les décaissements. </w:t>
        <w:br/>
        <w:t>Indicateurs proxy, alternatifs et supplémentaires : N/A</w:t>
        <w:br/>
        <w:t xml:space="preserve">Cet indicateur peut être ventilé par donateur, type de financement, type d'aide, politique et réglementation commerciales et sous-secteurs d'ajustement liés au commerce. </w:t>
        <w:br/>
        <w:t>etc</w:t>
        <w:br/>
        <w:t>URL officielle des métadonnées ODD</w:t>
        <w:br/>
        <w:t xml:space="preserve">https://unstats.un.org/sdgs/metadata/files/Metadata-08-0A-01.pdf  </w:t>
        <w:br/>
        <w:t>Méthodologie reconnue au niveau international et URL des lignes directrices</w:t>
        <w:br/>
        <w:t xml:space="preserve">http://www.oecd.org/dac/stats/methodology.htm  </w:t>
        <w:br/>
        <w:t>Autres références</w:t>
        <w:br/>
        <w:t>OCDE. Paris. Site Internet : Normes de financement du développement. http://www.oecd.org/dac/financing-sustainable-development/development-finance-</w:t>
        <w:br/>
        <w:t xml:space="preserve">normes/ </w:t>
        <w:br/>
        <w:t>Exemples de pays</w:t>
        <w:br/>
        <w:t>N/D</w:t>
        <w:br/>
        <w:t>Ce document a été préparé sur la base des contributions de l'Organisation de coopération et de développement économiques (OCDE).</w:t>
        <w:br/>
        <w:t>Pour obtenir des informations sur les points focaux pour cet indicateur, veuillez visiter https://unstats.un.org/sdgs/dataContacts/</w:t>
      </w:r>
    </w:p>
    <w:p>
      <w:pPr>
        <w:pStyle w:val="Heading2"/>
      </w:pPr>
      <w:r>
        <w:t>Page 231</w:t>
      </w:r>
    </w:p>
    <w:p>
      <w:r>
        <w:t>Texte d'en-tête</w:t>
        <w:br/>
        <w:t>Texte de pied de page</w:t>
        <w:br/>
        <w:t>Objectif 9</w:t>
        <w:br/>
        <w:t>Construire des infrastructures résilientes, promouvoir une industrialisation inclusive et durable et favoriser l’innovation</w:t>
        <w:br/>
        <w:t xml:space="preserve"> Page d'accueil du manuel électronique</w:t>
        <w:br/>
        <w:t>Dans cet objectif :</w:t>
        <w:br/>
        <w:t xml:space="preserve">La Division de statistique des Nations Unies (DSNU) a travaillé en consultation avec l'agence(s) dépositaire(s) de chaque indicateur pour préparer ces chapitres. Pour </w:t>
        <w:br/>
        <w:t>les indicateurs qui n’ont pas encore de chapitre ici, sont en cours de préparation et seront téléchargés ici dès qu’ils seront disponibles.</w:t>
        <w:br/>
        <w:t>Si vous avez des questions sur le manuel électronique, n'hésitez pas à contacter M. Yuxi Zhang ( yuxi.zhang@un.org) avec copie à M. Ze Yar Min (min@</w:t>
        <w:br/>
        <w:t>.un.org)</w:t>
      </w:r>
    </w:p>
    <w:p>
      <w:pPr>
        <w:pStyle w:val="Heading2"/>
      </w:pPr>
      <w:r>
        <w:t>Page 232</w:t>
      </w:r>
    </w:p>
    <w:p>
      <w:r>
        <w:t>Texte d'en-tête</w:t>
        <w:br/>
        <w:t>Texte de pied de page</w:t>
        <w:br/>
        <w:t>Indicateur 9.1.2</w:t>
        <w:br/>
        <w:t>Page d'accueil du manuel électronique</w:t>
        <w:br/>
        <w:t xml:space="preserve"> </w:t>
        <w:br/>
        <w:t>Nom de l’indicateur, cible et objectif</w:t>
        <w:br/>
        <w:t>Définition et justification</w:t>
        <w:br/>
        <w:t>Sources de données et méthode de collecte</w:t>
        <w:br/>
        <w:t>Méthode de calcul et autres considérations méthodologiques</w:t>
        <w:br/>
        <w:t>Contenu</w:t>
        <w:br/>
        <w:t>Nom de l’indicateur, cible et objectif</w:t>
        <w:br/>
        <w:t>Définition et justification</w:t>
        <w:br/>
        <w:t>Sources de données et méthode de collecte</w:t>
        <w:br/>
        <w:t>Méthode de calcul et autres considérations méthodologiques</w:t>
        <w:br/>
        <w:t>Désagrégation des données</w:t>
        <w:br/>
        <w:t>Références</w:t>
        <w:br/>
        <w:t>Organisation(s) internationale(s) de surveillance mondiale</w:t>
        <w:br/>
        <w:t xml:space="preserve"> Indicateur 9.1.2 : Volumes de passagers et de fret, par mode de transport</w:t>
        <w:br/>
        <w:t xml:space="preserve">Cible 9.1 : Développer des infrastructures de qualité, fiables, durables et résilientes, y compris des infrastructures régionales et transfrontalières, pour soutenir </w:t>
        <w:br/>
        <w:t>développement économique et bien-être humain, en mettant l’accent sur un accès abordable et équitable pour tous</w:t>
        <w:br/>
        <w:t>Objectif 9 : Construire des infrastructures résilientes, promouvoir une industrialisation inclusive et durable et favoriser l’innovation</w:t>
        <w:br/>
        <w:t>Définition :</w:t>
        <w:br/>
        <w:t xml:space="preserve">Cet indicateur est défini comme la somme des volumes de passagers et de fret déclarés par les transporteurs routiers, ferroviaires et aériens en termes de nombre de personnes et </w:t>
        <w:br/>
        <w:t xml:space="preserve">tonnes métriques de marchandises respectivement. Ceux-ci sont présentés sous forme de séries distinctes pour chaque mode de transport et pour le volume de passagers et de fret.  </w:t>
        <w:br/>
        <w:t>Concepts :</w:t>
        <w:br/>
        <w:t xml:space="preserve">L'Organisation de l'aviation civile internationale (OACI), par l'intermédiaire de sa Division de statistique, a établi des méthodologies et des définitions standard pour </w:t>
        <w:br/>
        <w:t xml:space="preserve">collecter et communiquer des données sur le trafic (volume de passagers et de fret) liées au transport aérien. Ces normes et méthodologies ont été adoptées par </w:t>
        <w:br/>
        <w:t xml:space="preserve">les 191 États membres de l'OACI mais aussi par les acteurs de l'industrie, à savoir les transporteurs aériens et les aéroports. La définition précise des concepts de chute et </w:t>
        <w:br/>
        <w:t>les métadonnées liées aux rapports sur le transport aérien peuvent être trouvées à l'adresse</w:t>
        <w:br/>
        <w:t xml:space="preserve">http://www.icao.int/sustainability/pages/eap-sta-excel.aspx/ </w:t>
        <w:br/>
        <w:t xml:space="preserve">Le Forum international des transports (ITF) collecte chaque année des données sur les statistiques des transports (ferroviaires et routiers) auprès de tous ses pays membres. Données </w:t>
        <w:br/>
        <w:t xml:space="preserve">sont collectées auprès des ministères des transports, des bureaux de statistiques et d'autres institutions désignées comme source de données officielle. Bien qu'il soit clair </w:t>
        <w:br/>
        <w:t>définitions de tous les termes utilisés dans cette enquête, les pays peuvent avoir des méthodologies différentes pour calculer les tonnes-kilomètres et les passagers-</w:t>
        <w:br/>
        <w:t xml:space="preserve">kilomètres. Les méthodes pourraient être basées sur des enquêtes de trafic ou de mobilité, utiliser des méthodes d'échantillonnage et des techniques d'estimation très différentes qui pourraient </w:t>
        <w:br/>
        <w:t xml:space="preserve">affecter la comparabilité de leurs statistiques. </w:t>
        <w:br/>
        <w:t>Justification et interprétation :</w:t>
        <w:br/>
        <w:t xml:space="preserve">Les volumes de passagers et de fret transportés par les États membres et les régions constituent un indicateur fiable pour mesurer les infrastructures régionales et transfrontalières. </w:t>
        <w:br/>
        <w:t xml:space="preserve">développement. Toute augmentation des volumes peut être directement associée à l'amélioration de ces infrastructures et aux conséquences socio-économiques qui en résultent. </w:t>
        <w:br/>
        <w:t xml:space="preserve">avantages. </w:t>
        <w:br/>
        <w:t xml:space="preserve">Le transport aérien est particulièrement important non seulement en raison de ses avantages économiques et de l'emploi, mais aussi parce qu'il est l'un des rares modes de transport qui </w:t>
        <w:br/>
        <w:t xml:space="preserve">On pourrait compter sur lui en cas d'urgence, comme les catastrophes naturelles et les épidémies, pour la nourriture, les médicaments, le personnel médical, les vaccins et </w:t>
        <w:br/>
        <w:t xml:space="preserve">d'autres fournitures aux zones et aux personnes touchées. </w:t>
        <w:br/>
        <w:t xml:space="preserve">Les données sont collectées auprès des ministères des transports, des bureaux de statistiques et d'autres institutions désignées comme source de données officielle. Bien qu'il soit clair </w:t>
        <w:br/>
        <w:t>définitions de tous les termes utilisés dans cette enquête, les pays peuvent avoir des méthodologies différentes pour calculer les tonnes-kilomètres et les passagers-</w:t>
        <w:br/>
        <w:t xml:space="preserve">kilomètres. Les méthodes pourraient être basées sur des enquêtes de trafic ou de mobilité, utiliser des méthodes d'échantillonnage et des techniques d'estimation très différentes qui pourraient </w:t>
        <w:br/>
        <w:t>affecter la comparabilité de leurs statistiques.</w:t>
      </w:r>
    </w:p>
    <w:p>
      <w:pPr>
        <w:pStyle w:val="Heading2"/>
      </w:pPr>
      <w:r>
        <w:t>Page 233</w:t>
      </w:r>
    </w:p>
    <w:p>
      <w:r>
        <w:t>Texte d'en-tête</w:t>
        <w:br/>
        <w:t>Texte de pied de page</w:t>
        <w:br/>
        <w:t>Désagrégation des données</w:t>
        <w:br/>
        <w:t>Références</w:t>
        <w:br/>
        <w:t>Organisation(s) internationale(s) de surveillance mondiale</w:t>
        <w:br/>
        <w:t>Méthode de calcul :</w:t>
        <w:br/>
        <w:t>Cet indicateur se compose de six composantes (somme du volume pour les composantes respectives) :</w:t>
        <w:br/>
        <w:t>(1) Volume de fret (tonnes kilomètres), par transport routier ;</w:t>
        <w:br/>
        <w:t>(2) Volume de passagers (passagers-kilomètres), par transport routier ;</w:t>
        <w:br/>
        <w:t>(3) Volume de fret (tonnes kilomètres), par transport ferroviaire ;</w:t>
        <w:br/>
        <w:t>(4) Volume de passagers (passagers-kilomètres), par transport ferroviaire ;</w:t>
        <w:br/>
        <w:t>(5) Volume de fret (tonnes kilomètres), par transport aérien ; et</w:t>
        <w:br/>
        <w:t xml:space="preserve">(6) Volume de passagers (passagers-kilomètres), par transport aérien. </w:t>
        <w:br/>
        <w:t xml:space="preserve">Commentaires et limites : N/A </w:t>
        <w:br/>
        <w:t>Indicateurs proxy, alternatifs et supplémentaires : N/A</w:t>
        <w:br/>
        <w:t>Cet indicateur doit être ventilé par mode de transport (route, rail et train).</w:t>
        <w:br/>
        <w:t>URL officielle des métadonnées ODD</w:t>
        <w:br/>
        <w:t xml:space="preserve">https://unstats.un.org/sdgs/metadata/files/Metadata-09-01-02.pdf  </w:t>
        <w:br/>
        <w:t>Méthodologie reconnue au niveau international et URL des lignes directrices</w:t>
        <w:br/>
        <w:t xml:space="preserve">https://www.icao.int/sustainability/pages/eap-sta-excel.aspx/ </w:t>
        <w:br/>
        <w:t xml:space="preserve">Autres références </w:t>
        <w:br/>
        <w:t xml:space="preserve">N/D </w:t>
        <w:br/>
        <w:t xml:space="preserve">Exemples de pays </w:t>
        <w:br/>
        <w:t>N/D</w:t>
        <w:br/>
        <w:t>Ce document a été préparé sur la base des contributions de l'Organisation de l'aviation civile internationale (OACI) et du Forum international des transports (ITF) -</w:t>
        <w:br/>
        <w:t>Organisation de coopération et de développement économiques (OCDE).</w:t>
        <w:br/>
        <w:t>Pour obtenir des informations sur les points focaux pour cet indicateur, veuillez visiter https://unstats.un.org/sdgs/dataContacts/</w:t>
      </w:r>
    </w:p>
    <w:p>
      <w:pPr>
        <w:pStyle w:val="Heading2"/>
      </w:pPr>
      <w:r>
        <w:t>Page 234</w:t>
      </w:r>
    </w:p>
    <w:p>
      <w:r>
        <w:t>Texte d'en-tête</w:t>
        <w:br/>
        <w:t>Texte de pied de page</w:t>
        <w:br/>
        <w:t>Indicateur 9.2.1</w:t>
        <w:br/>
        <w:t>Page d'accueil du manuel électronique</w:t>
        <w:br/>
        <w:t xml:space="preserve"> </w:t>
        <w:br/>
        <w:t>Nom de l’indicateur, cible et objectif</w:t>
        <w:br/>
        <w:t>Définition et justification</w:t>
        <w:br/>
        <w:t>Sources de données et méthode de collecte</w:t>
        <w:br/>
        <w:t>Méthode de calcul et autres considérations méthodologiques</w:t>
        <w:br/>
        <w:t>Contenu</w:t>
        <w:br/>
        <w:t>Nom de l’indicateur, cible et objectif</w:t>
        <w:br/>
        <w:t>Définition et justification</w:t>
        <w:br/>
        <w:t>Sources de données et méthode de collecte</w:t>
        <w:br/>
        <w:t>Méthode de calcul et autres considérations méthodologiques</w:t>
        <w:br/>
        <w:t>Désagrégation des données</w:t>
        <w:br/>
        <w:t>Références</w:t>
        <w:br/>
        <w:t>Organisation(s) internationale(s) de surveillance mondiale</w:t>
        <w:br/>
        <w:t xml:space="preserve"> Indicateur 9.2.1 : Valeur ajoutée manufacturière en proportion du PIB et par habitant</w:t>
        <w:br/>
        <w:t xml:space="preserve">Cible 9.2 : Promouvoir une industrialisation inclusive et durable et, d'ici 2030, augmenter considérablement la part de l'industrie dans l'emploi et le PIB </w:t>
        <w:br/>
        <w:t>produit national, en fonction des circonstances nationales, et doubler sa part dans les pays les moins avancés</w:t>
        <w:br/>
        <w:t>Objectif 9 : Construire des infrastructures résilientes, promouvoir une industrialisation inclusive et durable et favoriser l’innovation</w:t>
        <w:br/>
        <w:t>Définition :</w:t>
        <w:br/>
        <w:t xml:space="preserve">Cet indicateur est défini comme le rapport entre la valeur ajoutée manufacturière (VAM) et le produit intérieur brut (PIB), les deux étant déclarés. </w:t>
        <w:br/>
        <w:t xml:space="preserve">en dollars américains constants. Il est représenté en pourcentage. </w:t>
        <w:br/>
        <w:t xml:space="preserve">La MVA par habitant est la MVA totale divisée par la population totale du pays. </w:t>
        <w:br/>
        <w:t>Concepts :</w:t>
        <w:br/>
        <w:t xml:space="preserve">La valeur ajoutée brute est une mesure de productivité qui mesure les contributions à l'économie. Il est calculé à l'aide du système des comptes nationaux </w:t>
        <w:br/>
        <w:t xml:space="preserve">(SCN) comme la somme de toutes les rémunérations des employés, de l'excédent brut d'exploitation du gouvernement et des sociétés, du revenu mixte brut des sociétés non constituées en société. </w:t>
        <w:br/>
        <w:t xml:space="preserve">entreprises et impôts, déduction faite des éventuelles subventions à la production et aux importations, à l'exception des impôts nets sur les produits. </w:t>
        <w:br/>
        <w:t xml:space="preserve">La MVA est la valeur totale ajoutée à l’économie par le secteur manufacturier. est défini selon le secteur manufacturier international </w:t>
        <w:br/>
        <w:t xml:space="preserve">Classification type par industrie de toutes les activités économiques (CITI) révision 3 (1990) ou révision 4 (2008). Il fait référence aux industries appartenant au secteur </w:t>
        <w:br/>
        <w:t xml:space="preserve">D en révision 3 ou secteur C en révision 4. </w:t>
        <w:br/>
        <w:t xml:space="preserve">Le PIB est la somme des valeurs brutes ajoutées par tous les secteurs qui font partie de l'économie. </w:t>
        <w:br/>
        <w:t>Justification et interprétation :</w:t>
        <w:br/>
        <w:t xml:space="preserve">La MVA est un indicateur bien reconnu et largement utilisé par les chercheurs et les décideurs politiques pour évaluer le niveau d’industrialisation d’un pays. Le </w:t>
        <w:br/>
        <w:t xml:space="preserve">La part de la VAM dans le PIB reflète le rôle du secteur manufacturier dans l’économie et le développement national d’un pays en général. </w:t>
        <w:br/>
        <w:t xml:space="preserve">La VAM par habitant est un indicateur du niveau d’industrialisation d’un pays, ajusté à la taille de son économie. Il est largement utilisé pour classer les pays </w:t>
        <w:br/>
        <w:t xml:space="preserve">groupes selon le stade de développement industriel. MVA ajustée par habitant exprimée en termes d'estimation implicite de la MVA par habitant à </w:t>
        <w:br/>
        <w:t>la parité de pouvoir d’achat (PPA) est utilisée comme mesure de base sous-tendant les groupes de pays dans les statistiques de l’ONUDI (ONUDI, 2013).</w:t>
        <w:br/>
        <w:t xml:space="preserve">Les données pour cet indicateur sont compilées par les offices nationaux de statistique, les ministères des finances ou de l'économie, dans le cadre de leur comptabilité nationale. </w:t>
        <w:br/>
        <w:t>activités.</w:t>
      </w:r>
    </w:p>
    <w:p>
      <w:pPr>
        <w:pStyle w:val="Heading2"/>
      </w:pPr>
      <w:r>
        <w:t>Page 235</w:t>
      </w:r>
    </w:p>
    <w:p>
      <w:r>
        <w:t>Texte d'en-tête</w:t>
        <w:br/>
        <w:t>Texte de pied de page</w:t>
        <w:br/>
        <w:t>Désagrégation des données</w:t>
        <w:br/>
        <w:t>Références</w:t>
        <w:br/>
        <w:t>Organisation(s) internationale(s) de surveillance mondiale</w:t>
        <w:br/>
        <w:t>Méthode de calcul :</w:t>
        <w:br/>
        <w:t>Le pourcentage de valeur ajoutée au PIB provenant du secteur manufacturier peut être calculé comme : (P ) Manuf</w:t>
        <w:br/>
        <w:t xml:space="preserve">La MVA par habitant peut être calculée comme suit : </w:t>
        <w:br/>
        <w:t>Commentaires et limites :</w:t>
        <w:br/>
        <w:t xml:space="preserve">Des problèmes de comparabilité peuvent survenir en raison de l'utilisation de différentes versions du SCN ou de la Classification internationale type par industrie (CITI) </w:t>
        <w:br/>
        <w:t xml:space="preserve">qui sont utilisés par les pays. </w:t>
        <w:br/>
        <w:t xml:space="preserve">Il peut également y avoir des différences dues à l'utilisation de conversions de taux de change en USD, aux différentes années de base utilisées pour les données à prix constants et </w:t>
        <w:br/>
        <w:t xml:space="preserve">méthodes d’estimation de la période récente. </w:t>
        <w:br/>
        <w:t>Indicateurs proxy, alternatifs et supplémentaires : N/A</w:t>
        <w:br/>
        <w:t xml:space="preserve">Il n’est pas nécessaire que cet indicateur soit ventilé, mais il peut l’être selon différents secteurs du secteur manufacturier. </w:t>
        <w:br/>
        <w:t>URL officielle des métadonnées ODD</w:t>
        <w:br/>
        <w:t xml:space="preserve">https://unstats.un.org/sdgs/metadata/files/Metadata-09-02-01.pdf  </w:t>
        <w:br/>
        <w:t>Méthodologie reconnue au niveau international et URL des lignes directrices</w:t>
        <w:br/>
        <w:t xml:space="preserve">https://www.unido.org/resources/publications/cross-cutting-services/industrial-statistics-guidelines-and-methodology </w:t>
        <w:br/>
        <w:t>Autres références</w:t>
        <w:br/>
        <w:t>ONUDI (2010). Vienne. Disponible sur : Statistiques industrielles : lignes directrices et méthodologie. https://www.unido.org/resources/publications/cross-cutting-</w:t>
        <w:br/>
        <w:t>services/statistiques-industrielles-lignes directrices-et-méthodologie</w:t>
        <w:br/>
        <w:t xml:space="preserve">ONU-DESA (2015). New York. Disponible sur : Perspectives démographiques mondiales : Méthodologie des estimations et projections démographiques des Nations Unies. </w:t>
        <w:br/>
        <w:t xml:space="preserve"> https://esa.un.org/unpd/wpp/Publications/Files/WPP2015_Methodology.pdf www.unido.org/statistics</w:t>
        <w:br/>
        <w:t>DSNU (2008). New York. Disponible sur : Méthodologie pour la base de données des principaux agrégats des comptes nationaux. https://unstats.un.org/unsd/snaama</w:t>
        <w:br/>
        <w:t>/méthodologie.pdf</w:t>
        <w:br/>
        <w:t>ONUDI. Site Internet : Annuaires internationaux de statistiques industrielles. https://www.unido.org/resources/publications/flagship-publications</w:t>
        <w:br/>
        <w:t>/annuaire-international-statistiques-industrielles</w:t>
        <w:br/>
        <w:t>DSNU (2008). New York. Disponible sur : Classification internationale type, par industrie, de toutes les activités économiques (CITI), Rév. 4. https://unstats.un.</w:t>
        <w:br/>
        <w:t>org/unsd/publication/seriesm/seriesm_4rev4e.pdf</w:t>
        <w:br/>
        <w:t>ONUDI (2013). . Vienne. Disponible sur : Regroupements de pays dans les statistiques de l'ONUDI https://www.unido.org/sites/default/files/files/2018-03</w:t>
        <w:br/>
        <w:t xml:space="preserve">/Country_Grouping_in_UNIDO_Statistics_2013.pdf </w:t>
        <w:br/>
        <w:t>Exemples de pays</w:t>
        <w:br/>
        <w:t>N/D</w:t>
        <w:br/>
        <w:t>Ce document a été préparé sur la base des contributions de l'Organisation des Nations Unies pour le développement industriel (ONUDI).</w:t>
        <w:br/>
        <w:t>Pour obtenir des informations sur les points focaux pour cet indicateur, veuillez visiter https://unstats.un.org/sdgs/dataContacts/</w:t>
      </w:r>
    </w:p>
    <w:p>
      <w:pPr>
        <w:pStyle w:val="Heading2"/>
      </w:pPr>
      <w:r>
        <w:t>Page 236</w:t>
      </w:r>
    </w:p>
    <w:p>
      <w:r>
        <w:t>Texte d'en-tête</w:t>
        <w:br/>
        <w:t>Texte de pied de page</w:t>
        <w:br/>
        <w:t>Indicateur 9.2.2</w:t>
        <w:br/>
        <w:t>Page d'accueil du manuel électronique</w:t>
        <w:br/>
        <w:t xml:space="preserve"> </w:t>
        <w:br/>
        <w:t>Nom de l’indicateur, cible et objectif</w:t>
        <w:br/>
        <w:t>Définition et justification</w:t>
        <w:br/>
        <w:t>Sources de données et méthode de collecte</w:t>
        <w:br/>
        <w:t>Méthode de calcul et autres considérations méthodologiques</w:t>
        <w:br/>
        <w:t>Contenu</w:t>
        <w:br/>
        <w:t>Nom de l’indicateur, cible et objectif</w:t>
        <w:br/>
        <w:t>Définition et justification</w:t>
        <w:br/>
        <w:t>Sources de données et méthode de collecte</w:t>
        <w:br/>
        <w:t>Méthode de calcul et autres considérations méthodologiques</w:t>
        <w:br/>
        <w:t>Désagrégation des données</w:t>
        <w:br/>
        <w:t>Références</w:t>
        <w:br/>
        <w:t>Organisation(s) internationale(s) de surveillance mondiale</w:t>
        <w:br/>
        <w:t xml:space="preserve"> Indicateur 9.2.2 : Emploi dans le secteur manufacturier en proportion de l'emploi total</w:t>
        <w:br/>
        <w:t xml:space="preserve">Cible 9.2 : Promouvoir une industrialisation inclusive et durable et, d'ici 2030, augmenter considérablement la part de l'industrie dans l'emploi et le PIB </w:t>
        <w:br/>
        <w:t>produit national, en fonction des circonstances nationales, et doubler sa part dans les pays les moins avancés</w:t>
        <w:br/>
        <w:t>Objectif 9 : Construire des infrastructures résilientes, promouvoir une industrialisation inclusive et durable et favoriser l’innovation</w:t>
        <w:br/>
        <w:t>Définition :</w:t>
        <w:br/>
        <w:t xml:space="preserve">Cet indicateur est défini comme le pourcentage de l'emploi manufacturier dans l'emploi total d'un pays. </w:t>
        <w:br/>
        <w:t>Concepts :</w:t>
        <w:br/>
        <w:t xml:space="preserve">L'emploi comprend toutes les personnes en âge de travailler qui, pendant une courte période de référence (une semaine), ont exercé une activité visant à produire </w:t>
        <w:br/>
        <w:t xml:space="preserve">biens ou fournir des services contre rémunération ou profit. La population en âge de travailler est généralement définie comme l’ensemble des personnes âgées de 15 ans et plus. Pour plus loin </w:t>
        <w:br/>
        <w:t>Pour plus de précisions, voir : Résolution concernant les statistiques du travail, de l'emploi et de la sous-utilisation de la main-d'œuvre (2013), disponible sur http://ilo.org/global</w:t>
        <w:br/>
        <w:t>/statistiques-et-bases de données/normes-et-directives/résolutions-adoptées-par-les-conférences-internationales-des-statisticiens-du-travail/WCMS_230304/lang--</w:t>
        <w:br/>
        <w:t>.  fr/index.htm</w:t>
        <w:br/>
        <w:t xml:space="preserve">Le secteur manufacturier est défini selon la Classification internationale type, industrielle, de toutes les activités économiques (CITI), révision 4 (2008, </w:t>
        <w:br/>
        <w:t xml:space="preserve">la plus récente) ou révision 3 (1990). Il fait référence aux industries appartenant au secteur C en révision 4 ou au secteur D en révision 3. </w:t>
        <w:br/>
        <w:t>Justification et interprétation :</w:t>
        <w:br/>
        <w:t xml:space="preserve">Cet indicateur rend compte de la contribution du secteur manufacturier à l’emploi total. Il mesure la capacité du secteur manufacturier à absorber </w:t>
        <w:br/>
        <w:t xml:space="preserve">la main-d’œuvre excédentaire de l’agriculture et d’autres secteurs traditionnels vers une main-d’œuvre de production avec des salaires plus élevés, lorsqu’elle est suivie au fil du temps. </w:t>
        <w:br/>
        <w:t>Cependant, dans les pays développés, on s’attend à une tendance inverse où l’accent est désormais mis sur la réduction de la main-d’œuvre dans le secteur manufacturier dans le cadre de la réduction des coûts.</w:t>
        <w:br/>
        <w:t>mesures de réduction des dépenses, pour promouvoir des industries à plus forte intensité de capital.</w:t>
        <w:br/>
        <w:t xml:space="preserve">Les données sur la part de l'emploi dans le secteur manufacturier peuvent être obtenues à partir de diverses sources, notamment des enquêtes sur la population active et d'autres types similaires. </w:t>
        <w:br/>
        <w:t xml:space="preserve">des enquêtes auprès des ménages, des enquêtes auprès des établissements et des dossiers administratifs. Les enquêtes sur la population active constituent la source de données privilégiée pour cet indicateur, car </w:t>
        <w:br/>
        <w:t xml:space="preserve">ils ont la couverture la plus large : ils couvrent toutes les activités économiques entrant dans leur champ d'application, tous les statuts dans la profession, toutes les tailles d'établissement, les établissements formels et </w:t>
        <w:br/>
        <w:t>emploi informel, etc.</w:t>
      </w:r>
    </w:p>
    <w:p>
      <w:pPr>
        <w:pStyle w:val="Heading2"/>
      </w:pPr>
      <w:r>
        <w:t>Page 237</w:t>
      </w:r>
    </w:p>
    <w:p>
      <w:r>
        <w:t>Texte d'en-tête</w:t>
        <w:br/>
        <w:t>Texte de pied de page</w:t>
        <w:br/>
        <w:t>Désagrégation des données</w:t>
        <w:br/>
        <w:t>Références</w:t>
        <w:br/>
        <w:t>Organisation(s) internationale(s) de surveillance mondiale</w:t>
        <w:br/>
        <w:t>Méthode de calcul :</w:t>
        <w:br/>
        <w:t>Le pourcentage de l'emploi manufacturier dans l'emploi total est calculé comme : (P )MEmp</w:t>
        <w:br/>
        <w:t>Commentaires et limites :</w:t>
        <w:br/>
        <w:t xml:space="preserve">Les caractéristiques de la source de données ont un impact sur la comparabilité internationale des données, en particulier dans les cas où la couverture de la source est </w:t>
        <w:br/>
        <w:t xml:space="preserve">moins qu’exhaustif (que ce soit en termes de territoire national ou d’activités économiques). En l’absence d’enquête sur les forces de travail (source privilégiée </w:t>
        <w:br/>
        <w:t xml:space="preserve">de données pour cet indicateur), certains pays peuvent utiliser une enquête auprès des établissements pour dériver cet indicateur, mais ceux-ci ont généralement des seuils tels que </w:t>
        <w:br/>
        <w:t xml:space="preserve">que les petites unités qui ne sont pas officiellement enregistrées (qu'elles soient ou non dans le secteur manufacturier) ne sont pas incluses dans l'enquête et, par conséquent, l'emploi </w:t>
        <w:br/>
        <w:t xml:space="preserve">les données peuvent être sous-estimées. Les divergences peuvent également être causées par des différences dans la définition de l’emploi ou de l’âge de travailler. </w:t>
        <w:br/>
        <w:t>Indicateurs proxy, alternatifs et supplémentaires : N/A</w:t>
        <w:br/>
        <w:t>Cet indicateur peut être ventilé par sexe, profession et/ou région du pays.</w:t>
        <w:br/>
        <w:t>URL officielle des métadonnées ODD</w:t>
        <w:br/>
        <w:t xml:space="preserve">https://unstats.un.org/sdgs/metadata/files/Metadata-09-02-02.pdf  </w:t>
        <w:br/>
        <w:t>Méthodologie reconnue au niveau international et URL des lignes directrices</w:t>
        <w:br/>
        <w:t xml:space="preserve">http://www.ilo.org/ilostat-files/Documents/description_ECO_EN.pdf  </w:t>
        <w:br/>
        <w:t>Autres références</w:t>
        <w:br/>
        <w:t>OIT. Genève. Site Internet : Indicateurs clés du marché du travail (KILM). http://www.ilo.org/ilostat</w:t>
        <w:br/>
        <w:t xml:space="preserve">OIT (2013). Dix-neuvième Conférence internationale du travail Résolution concernant les statistiques du travail, de l'emploi et de la sous-utilisation de la main-d'œuvre. </w:t>
        <w:br/>
        <w:t>Statisticiens. Disponible sur : http://ilo.org/global/statistics-and-databases/standards-and-guidelines/resolutions-adopted-by-international-</w:t>
        <w:br/>
        <w:t>conférences-des-statisticiens-du-travail/WCMS_230304/lang--en/index.htm</w:t>
        <w:br/>
        <w:t>DSNU (2008). New York. Disponible sur : Classification internationale type, par industrie, de toutes les activités économiques (CITI), Rév. 4. https://unstats.un.</w:t>
        <w:br/>
        <w:t>org/unsd/publication/seriesm/seriesm_4rev4e.pdf</w:t>
        <w:br/>
        <w:t xml:space="preserve">ONUDI. Site Internet : Statistiques industrielles. www.unido.org/statistiques </w:t>
        <w:br/>
        <w:t xml:space="preserve">Exemples de pays </w:t>
        <w:br/>
        <w:t>N/D</w:t>
        <w:br/>
        <w:t>Ce document a été préparé sur la base des contributions de l'Organisation des Nations Unies pour le développement industriel (ONUDI).</w:t>
        <w:br/>
        <w:t>Pour obtenir des informations sur les points focaux pour cet indicateur, veuillez visiter https://unstats.un.org/sdgs/dataContacts/</w:t>
      </w:r>
    </w:p>
    <w:p>
      <w:pPr>
        <w:pStyle w:val="Heading2"/>
      </w:pPr>
      <w:r>
        <w:t>Page 238</w:t>
      </w:r>
    </w:p>
    <w:p>
      <w:r>
        <w:t>Texte d'en-tête</w:t>
        <w:br/>
        <w:t>Texte de pied de page</w:t>
        <w:br/>
        <w:t>Indicateur 9.3.1</w:t>
        <w:br/>
        <w:t>Page d'accueil du manuel électronique</w:t>
        <w:br/>
        <w:t xml:space="preserve"> </w:t>
        <w:br/>
        <w:t>Nom de l’indicateur, cible et objectif</w:t>
        <w:br/>
        <w:t>Définition et justification</w:t>
        <w:br/>
        <w:t>Contenu</w:t>
        <w:br/>
        <w:t>Nom de l’indicateur, cible et objectif</w:t>
        <w:br/>
        <w:t>Définition et justification</w:t>
        <w:br/>
        <w:t>Sources de données et méthode de collecte</w:t>
        <w:br/>
        <w:t>Méthode de calcul et autres considérations méthodologiques</w:t>
        <w:br/>
        <w:t>Désagrégation des données</w:t>
        <w:br/>
        <w:t>Références</w:t>
        <w:br/>
        <w:t>Organisation(s) internationale(s) de surveillance mondiale</w:t>
        <w:br/>
        <w:t xml:space="preserve"> Indicateur 9.3.1 : Proportion des petites industries dans la valeur ajoutée totale de l'industrie</w:t>
        <w:br/>
        <w:t xml:space="preserve">Cible 9.3 : Accroître l'accès des petites entreprises industrielles et autres, en particulier dans les pays en développement, aux services financiers, </w:t>
        <w:br/>
        <w:t>y compris un crédit abordable, et leur intégration dans les chaînes de valeur et les marchés.</w:t>
        <w:br/>
        <w:t>Objectif 9 : Construire des infrastructures résilientes, promouvoir une industrialisation inclusive et durable et favoriser l’innovation</w:t>
      </w:r>
    </w:p>
    <w:p>
      <w:pPr>
        <w:pStyle w:val="Heading2"/>
      </w:pPr>
      <w:r>
        <w:t>Page 239</w:t>
      </w:r>
    </w:p>
    <w:p>
      <w:r>
        <w:t>Texte d'en-tête</w:t>
        <w:br/>
        <w:t>Texte de pied de page</w:t>
        <w:br/>
        <w:t>Sources de données et méthode de collecte</w:t>
        <w:br/>
        <w:t>Méthode de calcul et autres considérations méthodologiques</w:t>
        <w:br/>
        <w:t>Définition :</w:t>
        <w:br/>
        <w:t xml:space="preserve">Cet indicateur est défini comme la part de la valeur ajoutée manufacturière des petites entreprises manufacturières dans la valeur manufacturière totale. </w:t>
        <w:br/>
        <w:t xml:space="preserve">ajouté. </w:t>
        <w:br/>
        <w:t>Concepts :</w:t>
        <w:br/>
        <w:t>An est définie, dans les Recommandations internationales pour les statistiques industrielles 2008 (IRIS 2008) (Nations Unies, 2011), comme la plus petite entreprise légale.</w:t>
        <w:br/>
        <w:t xml:space="preserve">unité qui constitue une unité organisationnelle produisant des biens ou des services. L'entreprise est l'unité statistique de base où sont transmises toutes les informations relatives </w:t>
        <w:br/>
        <w:t xml:space="preserve">à ses activités de production et les transactions, y compris les comptes financiers et de bilan, sont tenues. Il est également utilisé pour le secteur institutionnel </w:t>
        <w:br/>
        <w:t xml:space="preserve">classification dans le Système de comptabilité nationale de 2008. </w:t>
        <w:br/>
        <w:t xml:space="preserve">Dans le cas des grandes entreprises, une distinction est faite entre entreprise et établissement. Une entreprise, en particulier celle de grande taille, peut </w:t>
        <w:br/>
        <w:t xml:space="preserve">posséder plus d'un établissement ayant des emplacements physiques ou des types d'activités différents. C'est pour cette raison qu'IRIS 2008 recommande la création </w:t>
        <w:br/>
        <w:t xml:space="preserve">comme unité statistique à des fins de collecte de données. Toutefois, les petites entreprises sont essentiellement des entreprises à établissement unique. Donc non </w:t>
        <w:br/>
        <w:t xml:space="preserve">la distinction entre entreprise et établissement est faite dans la définition de cet indicateur. </w:t>
        <w:br/>
        <w:t xml:space="preserve">Les petites entreprises industrielles, également appelées « petites industries » dans le cadre des ODD, font référence aux unités statistiques, généralement des entreprises, </w:t>
        <w:br/>
        <w:t xml:space="preserve">engagés dans la production de biens et de services destinés à un marché inférieur à une classe de taille désignée. La définition de la classe de taille dans de nombreux pays est liée </w:t>
        <w:br/>
        <w:t xml:space="preserve">avec le cadre juridique et politique du pays. La taille d'une unité statistique basée sur l'emploi doit être définie principalement en termes de </w:t>
        <w:br/>
        <w:t xml:space="preserve">nombre moyen de personnes employées dans cette unité pendant la période de référence. Si le nombre moyen de personnes occupées n'est pas disponible, le </w:t>
        <w:br/>
        <w:t xml:space="preserve">le nombre total de personnes employées au cours d’une même période peut être utilisé comme critère de taille. La classification par taille doit être composée des éléments suivants </w:t>
        <w:br/>
        <w:t xml:space="preserve">classes du nombre moyen de personnes occupées : 1-9, 10-19, 20-49, 50-249, 250 et plus. Cela doit être considéré comme une division minimale de </w:t>
        <w:br/>
        <w:t xml:space="preserve">la gamme globale ; des classifications plus détaillées, lorsque cela est nécessaire, devraient être élaborées dans ce cadre. </w:t>
        <w:br/>
        <w:t xml:space="preserve">Le nombre total de personnes occupées est défini comme le nombre total de personnes qui travaillent dans ou pour l'unité statistique, que ce soit à temps plein ou à temps partiel, </w:t>
        <w:br/>
        <w:t>comprenant :</w:t>
        <w:br/>
        <w:t>• Propriétaires en activité</w:t>
        <w:br/>
        <w:t>• Partenaires commerciaux actifs</w:t>
        <w:br/>
        <w:t>• Travailleurs familiaux non rémunérés</w:t>
        <w:br/>
        <w:t xml:space="preserve">• Employés rémunérés </w:t>
        <w:br/>
        <w:t xml:space="preserve">La valeur ajoutée est calculée comme la différence entre la production brute et la consommation intermédiaire ou (Nations Unies, 2011), et ne peut pas être directement </w:t>
        <w:br/>
        <w:t xml:space="preserve">constatées dans les registres comptables des unités. La valeur ajoutée aux prix de base est calculée comme la différence entre la production brute aux prix de base </w:t>
        <w:br/>
        <w:t xml:space="preserve">de base et la consommation intermédiaire aux prix d’achat. La valorisation de la valeur ajoutée correspond étroitement à la valorisation du brut </w:t>
        <w:br/>
        <w:t xml:space="preserve">sortie. Si la production est valorisée aux prix de base, alors la valorisation de la valeur ajoutée est également aux prix de base (la valorisation de la consommation intermédiaire </w:t>
        <w:br/>
        <w:t xml:space="preserve">est toujours au prix d’achat). </w:t>
        <w:br/>
        <w:t xml:space="preserve">Tous les termes mentionnés ci-dessus sont introduits pour être conformes à IRIS 2008 (Nations Unies, 2011). </w:t>
        <w:br/>
        <w:t>Justification et interprétation :</w:t>
        <w:br/>
        <w:t xml:space="preserve">Les entreprises industrielles sont classées comme petites par rapport aux grandes ou moyennes en raison de la nature distincte de leur organisation économique, de leur capacité de production, </w:t>
        <w:br/>
        <w:t xml:space="preserve">l’ampleur de l’investissement et d’autres caractéristiques économiques. Les « petites industries » peuvent être gérées avec un petit capital et relativement peu qualifiés. </w:t>
        <w:br/>
        <w:t xml:space="preserve">travail et en utilisant des matériaux locaux. Malgré leur faible contribution à la production industrielle totale, leur rôle dans la création d'emplois, notamment dans les pays en développement </w:t>
        <w:br/>
        <w:t xml:space="preserve">pays est reconnu comme étant important lorsque la portée de l’absorption de la main-d’œuvre excédentaire des secteurs traditionnels tels que l’agriculture ou la pêche </w:t>
        <w:br/>
        <w:t>est très élevé. Les « petites industries » sont capables de répondre à la demande intérieure de biens de consommation de base comme la nourriture, les vêtements, les meubles, etc.</w:t>
        <w:br/>
        <w:t xml:space="preserve">Les données sont collectées principalement à partir d'enquêtes industrielles annuelles, où la valeur ajoutée est désagrégée par classes de taille exprimées en termes de nombre d'entreprises. </w:t>
        <w:br/>
        <w:t xml:space="preserve">salariés et d’enquêtes portant particulièrement sur les petites entreprises, ou les petites et moyennes entreprises en général. Les données sont collectées à partir de </w:t>
        <w:br/>
        <w:t>bureaux nationaux de statistique au moyen d’un questionnaire ou directement à partir de publications nationales ou de plateformes de données en ligne.</w:t>
      </w:r>
    </w:p>
    <w:p>
      <w:pPr>
        <w:pStyle w:val="Heading2"/>
      </w:pPr>
      <w:r>
        <w:t>Page 240</w:t>
      </w:r>
    </w:p>
    <w:p>
      <w:r>
        <w:t>Texte d'en-tête</w:t>
        <w:br/>
        <w:t>Texte de pied de page</w:t>
        <w:br/>
        <w:t>Désagrégation des données</w:t>
        <w:br/>
        <w:t>Références</w:t>
        <w:br/>
        <w:t>Organisation(s) internationale(s) de surveillance mondiale</w:t>
        <w:br/>
        <w:t>Méthode de calcul :</w:t>
        <w:br/>
        <w:t xml:space="preserve">La proportion des « petites industries » dans la valeur ajoutée totale est un indicateur calculé en tant que part de la valeur ajoutée pour l’industrie manufacturière à petite échelle. </w:t>
        <w:br/>
        <w:t xml:space="preserve">entreprises dans la valeur ajoutée manufacturière totale : </w:t>
        <w:br/>
        <w:t xml:space="preserve">La « petite industrie » fait ici référence à une entreprise employant moins de 20 personnes. Il est recommandé de calculer l'indicateur séparément pour chaque </w:t>
        <w:br/>
        <w:t xml:space="preserve">Section CITI telle que les activités manufacturières, commerciales ou de services dans la mesure du possible. </w:t>
        <w:br/>
        <w:t>Commentaires et limites :</w:t>
        <w:br/>
        <w:t xml:space="preserve">La principale limite des données nationales existantes réside dans les classes de taille variables selon les pays, ce qui indique que les données sont obtenues auprès de différentes populations cibles. </w:t>
        <w:br/>
        <w:t xml:space="preserve">Les données d'un pays ne sont pas comparables à celles d'un autre. </w:t>
        <w:br/>
        <w:t xml:space="preserve">Dans de nombreux pays, la définition de la classe de taille est liée au cadre juridique et politique du pays. Cela a des implications sur l’enregistrement </w:t>
        <w:br/>
        <w:t xml:space="preserve">procédure, fiscalité et différentes dérogations visant à promouvoir les « petites industries ».  Aux seules fins du suivi des ODD, l’IAEG-SDG a </w:t>
        <w:br/>
        <w:t xml:space="preserve">Il est recommandé que l'indicateur soit calculé pour les entreprises employant moins de 20 personnes.  </w:t>
        <w:br/>
        <w:t>Sous-indicateur, indicateurs alternatifs et supplémentaires : N/A</w:t>
        <w:br/>
        <w:t>Les données pourraient être ventilées par secteurs selon la Classification internationale type, par industrie, de toutes les activités économiques (CITI).</w:t>
        <w:br/>
        <w:t>URL officielle des métadonnées ODD</w:t>
        <w:br/>
        <w:t xml:space="preserve">https://unstats.un.org/sdgs/metadata/files/Metadata-09-03-01.pdf </w:t>
        <w:br/>
        <w:t xml:space="preserve">Méthodologie reconnue au niveau international et URL des lignes directrices </w:t>
        <w:br/>
        <w:t xml:space="preserve">N/D </w:t>
        <w:br/>
        <w:t>Autres références</w:t>
        <w:br/>
        <w:t>Nations Unies. (2008). Classification internationale type, par industrie, de toutes les activités économiques (CITI Révision 4). New York : Nations Unies. htt</w:t>
        <w:br/>
        <w:t xml:space="preserve"> ps://unstats.un.org/unsd/publication/seriesm/seriesm_4rev4e.pdf</w:t>
        <w:br/>
        <w:t>Nations Unies. (2002). Classification internationale type, par industrie, de toutes les activités économiques (CITI Révision 3.1). New York : Nations Unies. h</w:t>
        <w:br/>
        <w:t xml:space="preserve"> ttps://unstats.un.org/unsd/publication/SeriesM/seriesm_4rev3_1e.pdf</w:t>
        <w:br/>
        <w:t>Nations Unies. (2011). Recommandations internationales pour les statistiques industrielles 2008 (IRIS 2008), New York : Nations Unies. http://dx.doi.org/10.</w:t>
        <w:br/>
        <w:t xml:space="preserve"> 18356/677c08dd-fr</w:t>
        <w:br/>
        <w:t>OCDE. (2017). Statistiques structurelles et démographiques des entreprises (SDBS). Paris : OCDE. http://www.oecd.org/std/business-stats</w:t>
        <w:br/>
        <w:t xml:space="preserve"> /statistiquesstructurellesetdémographiquesdes entreprisessdbsoecd.htm</w:t>
        <w:br/>
        <w:t xml:space="preserve">Exemples de pays </w:t>
        <w:br/>
        <w:t>N/D</w:t>
        <w:br/>
        <w:t>Ce document a été préparé sur la base des contributions de l'Organisation des Nations Unies pour le développement industriel (ONUDI)</w:t>
        <w:br/>
        <w:t>Pour obtenir des informations sur les points focaux pour cet indicateur, veuillez visiter https://unstats.un.org/sdgs/dataContacts/</w:t>
      </w:r>
    </w:p>
    <w:p>
      <w:pPr>
        <w:pStyle w:val="Heading2"/>
      </w:pPr>
      <w:r>
        <w:t>Page 241</w:t>
      </w:r>
    </w:p>
    <w:p>
      <w:r>
        <w:t>Texte d'en-tête</w:t>
        <w:br/>
        <w:t>Texte de pied de page</w:t>
        <w:br/>
        <w:t>Indicateur 9.3.2</w:t>
        <w:br/>
        <w:t>Page d'accueil du manuel électronique</w:t>
        <w:br/>
        <w:t xml:space="preserve"> </w:t>
        <w:br/>
        <w:t>Nom de l’indicateur, cible et objectif</w:t>
        <w:br/>
        <w:t>Définition et justification</w:t>
        <w:br/>
        <w:t>Contenu</w:t>
        <w:br/>
        <w:t>Nom de l’indicateur, cible et objectif</w:t>
        <w:br/>
        <w:t>Définition et justification</w:t>
        <w:br/>
        <w:t>Sources de données et méthode de collecte</w:t>
        <w:br/>
        <w:t>Méthode de calcul et autres considérations méthodologiques</w:t>
        <w:br/>
        <w:t>Désagrégation des données</w:t>
        <w:br/>
        <w:t>Références</w:t>
        <w:br/>
        <w:t>Organisation(s) internationale(s) de surveillance mondiale</w:t>
        <w:br/>
        <w:t xml:space="preserve"> Indicateur 9.3.2 : Proportion de petites industries bénéficiant d’un prêt ou d’une ligne de crédit</w:t>
        <w:br/>
        <w:t xml:space="preserve">Cible 9.3 : Accroître l'accès des petites entreprises industrielles et autres, en particulier dans les pays en développement, aux services financiers, </w:t>
        <w:br/>
        <w:t>y compris un crédit abordable, et leur intégration dans les chaînes de valeur et les marchés.</w:t>
        <w:br/>
        <w:t>Objectif 9 : Construire des infrastructures résilientes, promouvoir une industrialisation inclusive et durable et favoriser l’innovation</w:t>
      </w:r>
    </w:p>
    <w:p>
      <w:pPr>
        <w:pStyle w:val="Heading2"/>
      </w:pPr>
      <w:r>
        <w:t>Page 242</w:t>
      </w:r>
    </w:p>
    <w:p>
      <w:r>
        <w:t>Texte d'en-tête</w:t>
        <w:br/>
        <w:t>Texte de pied de page</w:t>
        <w:br/>
        <w:t>Sources de données et méthode de collecte</w:t>
        <w:br/>
        <w:t>Méthode de calcul et autres considérations méthodologiques</w:t>
        <w:br/>
        <w:t>Définition :</w:t>
        <w:br/>
        <w:t xml:space="preserve">Cet indicateur est défini comme le nombre de « petites industries » disposant d'une ligne de crédit active ou d'un prêt auprès d'une institution financière dans la période de référence. </w:t>
        <w:br/>
        <w:t xml:space="preserve">année en pourcentage par rapport au nombre total de ces entreprises. </w:t>
        <w:br/>
        <w:t>Concepts :</w:t>
        <w:br/>
        <w:t>An est définie, dans les Recommandations internationales pour les statistiques industrielles 2008 (IRIS 2008) (Nations Unies, 2011), comme la plus petite entreprise légale.</w:t>
        <w:br/>
        <w:t xml:space="preserve">unité qui constitue une unité organisationnelle produisant des biens ou des services. L'entreprise est l'unité statistique de base où sont transmises toutes les informations relatives </w:t>
        <w:br/>
        <w:t xml:space="preserve">à ses activités de production et les transactions, y compris les comptes financiers et de bilan, sont tenues. Il est également utilisé pour le secteur institutionnel </w:t>
        <w:br/>
        <w:t xml:space="preserve">classification dans le Système de comptabilité nationale de 2008. </w:t>
        <w:br/>
        <w:t xml:space="preserve">Dans le cas des grandes entreprises, une distinction est faite entre entreprise et établissement. Une entreprise, en particulier celle de grande taille, peut </w:t>
        <w:br/>
        <w:t xml:space="preserve">posséder plus d'un établissement ayant des emplacements physiques ou des types d'activités différents. C'est pour cette raison qu'IRIS 2008 recommande la création </w:t>
        <w:br/>
        <w:t xml:space="preserve">comme unité statistique à des fins de collecte de données. Toutefois, les petites entreprises sont essentiellement des entreprises à établissement unique. Donc non </w:t>
        <w:br/>
        <w:t xml:space="preserve">la distinction entre entreprise et établissement est faite dans la définition de cet indicateur. </w:t>
        <w:br/>
        <w:t xml:space="preserve">Les petites entreprises industrielles, également appelées « petites industries » dans le cadre des ODD, font référence aux unités statistiques, généralement des entreprises, </w:t>
        <w:br/>
        <w:t xml:space="preserve">engagés dans la production de biens et de services destinés à un marché inférieur à une classe de taille désignée. La définition de la classe de taille dans de nombreux pays est liée </w:t>
        <w:br/>
        <w:t xml:space="preserve">avec le cadre juridique et politique du pays. La taille d'une unité statistique basée sur l'emploi doit être définie principalement en termes de </w:t>
        <w:br/>
        <w:t xml:space="preserve">nombre moyen de personnes employées dans cette unité pendant la période de référence. Si le nombre moyen de personnes occupées n'est pas disponible, le </w:t>
        <w:br/>
        <w:t xml:space="preserve">le nombre total de personnes employées au cours d’une même période peut être utilisé comme critère de taille. La classification par taille doit être composée des éléments suivants </w:t>
        <w:br/>
        <w:t xml:space="preserve">classes du nombre moyen de personnes occupées : 1-9, 10-19, 20-49, 50-249, 250 et plus. Cela doit être considéré comme une division minimale de </w:t>
        <w:br/>
        <w:t xml:space="preserve">la gamme globale ; des classifications plus détaillées, lorsque cela est nécessaire, devraient être élaborées dans ce cadre. </w:t>
        <w:br/>
        <w:t>A est un instrument financier créé lorsqu'un créancier prête des fonds directement à un débiteur et reçoit un document non négociable sous forme de prêt.</w:t>
        <w:br/>
        <w:t xml:space="preserve">preuve du bien. Cette catégorie comprend les découverts, les prêts hypothécaires, les prêts destinés à financer les crédits et avances commerciaux, les opérations de mise en pension, </w:t>
        <w:br/>
        <w:t xml:space="preserve">les actifs et passifs financiers créés par le crédit-bail, ainsi que les créances ou engagements envers le Fonds monétaire international (FMI) sous forme de prêts. </w:t>
        <w:br/>
        <w:t xml:space="preserve">Les crédits commerciaux, les avances et les comptes créditeurs/créanciers similaires ne sont pas des prêts. Prêts devenus négociables sur les marchés secondaires </w:t>
        <w:br/>
        <w:t xml:space="preserve">doivent être reclassés en titres de créance. Toutefois, s’il n’est négocié qu’occasionnellement, le prêt n’est pas reclassé en titres de dette (FMI, 2011). </w:t>
        <w:br/>
        <w:t xml:space="preserve">Les lignes de crédit et les engagements de prêt garantissent que les fonds non tirés seront disponibles à l'avenir, mais il n'existe aucun passif/actif financier. </w:t>
        <w:br/>
        <w:t xml:space="preserve">jusqu'à ce que ces fonds soient effectivement fournis. Les lignes de crédit non tirées et les engagements de prêt non décaissés constituent des passifs conditionnels de l'émetteur. </w:t>
        <w:br/>
        <w:t xml:space="preserve">institutions – en général, les banques (FMI, 2011). Un prêt ou une marge de crédit concerne uniquement les institutions financières réglementées. </w:t>
        <w:br/>
        <w:t>Justification et interprétation :</w:t>
        <w:br/>
        <w:t xml:space="preserve">Les entreprises industrielles sont classées comme petites par rapport aux grandes ou moyennes en raison de la nature distincte de leur organisation économique, de leur capacité de production, </w:t>
        <w:br/>
        <w:t xml:space="preserve">l’ampleur de l’investissement et d’autres caractéristiques économiques. Les « petites industries » peuvent être gérées avec un petit capital et relativement peu qualifiés. </w:t>
        <w:br/>
        <w:t xml:space="preserve">travail et en utilisant des matériaux locaux. Malgré leur faible contribution à la production industrielle totale, leur rôle dans la création d'emplois, notamment dans les pays en développement </w:t>
        <w:br/>
        <w:t xml:space="preserve">les pays sont reconnus est reconnu comme étant important lorsque la capacité d'absorption de la main-d'œuvre excédentaire des secteurs traditionnels tels que l'agriculture ou la pêche est limitée. </w:t>
        <w:br/>
        <w:t xml:space="preserve">très élevé. Les « petites industries » sont capables de répondre à la demande intérieure de biens de consommation de base tels que la nourriture, les vêtements, les meubles, etc. </w:t>
        <w:br/>
        <w:t xml:space="preserve">Les « petites industries » jouent donc un rôle important dans l’économie. Cependant, son accès aux services financiers est assez limité, notamment dans </w:t>
        <w:br/>
        <w:t xml:space="preserve">pays en développement. Afin d'améliorer les compétences des travailleurs et la technologie de production, les petites entreprises industrielles ont besoin de ressources financières. </w:t>
        <w:br/>
        <w:t xml:space="preserve">soutien sous forme de prêt préférentiel, de crédit, etc. Cet indicateur montre dans quelle mesure les institutions financières servent les « petites industries ». </w:t>
        <w:br/>
        <w:t>Avec l'indicateur ODD 9.3.1, cet indicateur reflète le message principal de la cible 9.3 qui promeut l'amélioration de l'accès des « petits</w:t>
        <w:br/>
        <w:t>des industries à grande échelle »aux services financiers.</w:t>
        <w:br/>
        <w:t xml:space="preserve">Les données pour cet indicateur sont généralement collectées à partir d’enquêtes sur les petits établissements industriels, d’enquêtes sur le crédit ou de recensements économiques. La banque centrale ou </w:t>
        <w:br/>
        <w:t xml:space="preserve">des institutions similaires peuvent également mener l’enquête. Lors de la compilation des données, il est important de considérer que l'unité statistique (répondant) de l'enquête </w:t>
        <w:br/>
        <w:t>devrait être une entreprise emprunteuse du prêt.</w:t>
      </w:r>
    </w:p>
    <w:p>
      <w:pPr>
        <w:pStyle w:val="Heading2"/>
      </w:pPr>
      <w:r>
        <w:t>Page 243</w:t>
      </w:r>
    </w:p>
    <w:p>
      <w:r>
        <w:t>Texte d'en-tête</w:t>
        <w:br/>
        <w:t>Texte de pied de page</w:t>
        <w:br/>
        <w:t>Désagrégation des données</w:t>
        <w:br/>
        <w:t>Références</w:t>
        <w:br/>
        <w:t>Organisation(s) internationale(s) de surveillance mondiale</w:t>
        <w:br/>
        <w:t>Méthode de calcul :</w:t>
        <w:br/>
        <w:t xml:space="preserve">La proportion de « petites industries » bénéficiant d’un prêt ou d’une ligne de crédit est calculée comme le nombre de « petites industries » disposant d’une ligne de crédit active. </w:t>
        <w:br/>
        <w:t>un crédit ou un prêt d'une institution financière au cours de l'année de référence en pourcentage du nombre total de ces entreprises :</w:t>
        <w:br/>
        <w:t xml:space="preserve">La « petite industrie » fait ici référence à une entreprise employant moins de 20 personnes. Il est recommandé de calculer l'indicateur séparément pour chaque </w:t>
        <w:br/>
        <w:t xml:space="preserve">Section CITI telle que les activités manufacturières, commerciales… ou de services dans la mesure du possible. </w:t>
        <w:br/>
        <w:t>Commentaires et limites :</w:t>
        <w:br/>
        <w:t xml:space="preserve">La principale limite des données nationales existantes réside dans les classes de taille variables selon les pays, ce qui indique que les données sont obtenues auprès de différentes populations cibles. </w:t>
        <w:br/>
        <w:t xml:space="preserve">Les données d'un pays ne sont pas comparables à celles d'un autre. </w:t>
        <w:br/>
        <w:t xml:space="preserve">Dans de nombreux pays, la définition de la classe de taille est liée au cadre juridique et politique du pays. Cela a des implications sur l’enregistrement </w:t>
        <w:br/>
        <w:t xml:space="preserve">procédure, fiscalité et différentes dérogations visant à promouvoir les « petites industries ». Aux seules fins du suivi des ODD, l’IAEG-SDG a </w:t>
        <w:br/>
        <w:t xml:space="preserve">Il est recommandé que l'indicateur soit calculé pour les entreprises employant moins de 20 personnes. </w:t>
        <w:br/>
        <w:t>Sous-indicateur, indicateurs alternatifs et supplémentaires : N/A</w:t>
        <w:br/>
        <w:t>Les données pourraient être ventilées par CITI et urbain/rural.</w:t>
        <w:br/>
        <w:t>URL officielle des métadonnées ODD</w:t>
        <w:br/>
        <w:t xml:space="preserve">https://unstats.un.org/sdgs/metadata/files/Metadata-09-03-02.pdf </w:t>
        <w:br/>
        <w:t>Méthodologie reconnue au niveau international et URL des lignes directrices</w:t>
        <w:br/>
        <w:t xml:space="preserve">N/D </w:t>
        <w:br/>
        <w:t>Autres références</w:t>
        <w:br/>
        <w:t xml:space="preserve">Fonds monétaire international. (2011). Statistiques de la dette du secteur public : Guide pour les compilateurs et les utilisateurs. Washington, DC : Politique monétaire internationale </w:t>
        <w:br/>
        <w:t>Fonds.  http://www.tffs.org/pdf/method/2013/psds2013.pdf</w:t>
        <w:br/>
        <w:t>Nations Unies. (2008). Classification internationale type, par industrie, de toutes les activités économiques (CITI Révision 4). New York : Nations Unies. htt</w:t>
        <w:br/>
        <w:t xml:space="preserve"> ps://unstats.un.org/unsd/publication/seriesm/seriesm_4rev4e.pdf</w:t>
        <w:br/>
        <w:t>Nations Unies. (2002). Classification internationale type, par industrie, de toutes les activités économiques (CITI Révision 3.1). New York : Nations Unies. h</w:t>
        <w:br/>
        <w:t xml:space="preserve"> ttps://unstats.un.org/unsd/publication/SeriesM/seriesm_4rev3_1e.pdf</w:t>
        <w:br/>
        <w:t>Nations Unies. (2011). Recommandations internationales pour les statistiques industrielles 2008 (IRIS 2008), New York : Nations Unies. http://dx.doi.org/10.</w:t>
        <w:br/>
        <w:t xml:space="preserve"> 18356/677c08dd-fr</w:t>
        <w:br/>
        <w:t>OCDE. (2017). Statistiques structurelles et démographiques des entreprises (SDBS). Paris : OCDE. http://www.oecd.org/std/business-stats</w:t>
        <w:br/>
        <w:t xml:space="preserve"> /statistiquesstructurellesetdémographiquesdes entreprisessdbsoecd.htm</w:t>
        <w:br/>
        <w:t>Exemples de pays</w:t>
        <w:br/>
        <w:t>N/D</w:t>
        <w:br/>
        <w:t>Ce document a été préparé sur la base des contributions de l'Organisation des Nations Unies pour le développement industriel (ONUDI)</w:t>
        <w:br/>
        <w:t>Pour obtenir des informations sur les points focaux pour cet indicateur, veuillez visiter https://unstats.un.org/sdgs/dataContacts/</w:t>
      </w:r>
    </w:p>
    <w:p>
      <w:pPr>
        <w:pStyle w:val="Heading2"/>
      </w:pPr>
      <w:r>
        <w:t>Page 244</w:t>
      </w:r>
    </w:p>
    <w:p>
      <w:r>
        <w:t>Texte d'en-tête</w:t>
        <w:br/>
        <w:t>Texte de pied de page</w:t>
        <w:br/>
        <w:t>Indicateur 9.4.1</w:t>
        <w:br/>
        <w:t>Page d'accueil du manuel électronique</w:t>
        <w:br/>
        <w:t xml:space="preserve"> </w:t>
        <w:br/>
        <w:t>Nom de l’indicateur, cible et objectif</w:t>
        <w:br/>
        <w:t>Définition et justification</w:t>
        <w:br/>
        <w:t>Contenu</w:t>
        <w:br/>
        <w:t>Nom de l’indicateur, cible et objectif</w:t>
        <w:br/>
        <w:t>Définition et justification</w:t>
        <w:br/>
        <w:t>Sources de données et méthode de collecte</w:t>
        <w:br/>
        <w:t>Méthode de calcul et autres considérations méthodologiques</w:t>
        <w:br/>
        <w:t>Désagrégation des données</w:t>
        <w:br/>
        <w:t>Références</w:t>
        <w:br/>
        <w:t>Organisation(s) internationale(s) de surveillance mondiale</w:t>
        <w:br/>
        <w:t xml:space="preserve"> Indicateur 9.4.1 : Émissions de CO par unité de valeur ajoutée2</w:t>
        <w:br/>
        <w:t xml:space="preserve">Cible 9.4 : D’ici 2030, moderniser les infrastructures et moderniser les industries pour les rendre durables, avec une utilisation plus efficace des ressources et une plus grande efficacité. </w:t>
        <w:br/>
        <w:t xml:space="preserve">l’adoption de technologies et de processus industriels propres et respectueux de l’environnement, tous les pays prenant des mesures conformément à leurs </w:t>
        <w:br/>
        <w:t>capacités respectives</w:t>
        <w:br/>
        <w:t>Objectif 9 : Construire des infrastructures résilientes, promouvoir une industrialisation inclusive et durable et favoriser l’innovation</w:t>
      </w:r>
    </w:p>
    <w:p>
      <w:pPr>
        <w:pStyle w:val="Heading2"/>
      </w:pPr>
      <w:r>
        <w:t>Page 245</w:t>
      </w:r>
    </w:p>
    <w:p>
      <w:r>
        <w:t>Texte d'en-tête</w:t>
        <w:br/>
        <w:t>Texte de pied de page</w:t>
        <w:br/>
        <w:t>Sources de données et méthode de collecte</w:t>
        <w:br/>
        <w:t>Méthode de calcul et autres considérations méthodologiques</w:t>
        <w:br/>
        <w:t>Définition :</w:t>
        <w:br/>
        <w:t>Cet indicateur est défini comme le rapport entre les émissions de CO liées à la combustion de carburants et la valeur ajoutée des activités économiques associées. Cela peut 2</w:t>
        <w:br/>
        <w:t xml:space="preserve">être calculé soit pour l’ensemble de l’économie (PIB), soit pour des secteurs particuliers tels que l’industrie manufacturière (valeur ajoutée manufacturière). </w:t>
        <w:br/>
        <w:t xml:space="preserve">Les émissions de CO par unité de PIB sont exprimées en kilogrammes de CO par USD (en prix constants). 2 2 </w:t>
        <w:br/>
        <w:t>Concepts :</w:t>
        <w:br/>
        <w:t xml:space="preserve">La valeur ajoutée brute est une mesure de productivité qui mesure les contributions à l'économie. Il est calculé à l'aide du système des comptes nationaux </w:t>
        <w:br/>
        <w:t xml:space="preserve">(SCN 2008) comme la somme de toutes les rémunérations des salariés, de l'excédent brut d'exploitation du gouvernement et des entreprises, du revenu mixte brut des </w:t>
        <w:br/>
        <w:t xml:space="preserve">entreprises non constituées en sociétés et impôts, déduction faite des éventuelles subventions à la production et aux importations, à l'exception des impôts nets sur les produits. </w:t>
        <w:br/>
        <w:t xml:space="preserve">Les émissions de CO2 d'une économie sont estimées sur la base des données de consommation d'énergie de tous les secteurs. Pour le secteur manufacturier, les éléments suivants </w:t>
        <w:br/>
        <w:t>les sous-secteurs sont considérés au-delà du secteur manufacturier total (l’énergie utilisée pour le transport par l’industrie est déclarée sous transport) :</w:t>
        <w:br/>
        <w:t>(1)    Industrie sidérurgique [Groupe CITI 241 et Classe 2431] ;</w:t>
        <w:br/>
        <w:t>(2)    Industrie chimique et pétrochimique [divisions 20 et 21 de la CITI], à l'exclusion des matières premières pétrochimiques ;</w:t>
        <w:br/>
        <w:t>(3)    Industries de base des métaux non ferreux [Groupe 242 et classe 2432 de la CITI] ;</w:t>
        <w:br/>
        <w:t>(4)    Minéraux non métalliques tels que le verre, la céramique, le ciment, etc. [Division 23 de la CITI] ;</w:t>
        <w:br/>
        <w:t>(5)    Matériel de transport [Divisions 29 et 30 de la CITI] ;</w:t>
        <w:br/>
        <w:t>(6)    Les machines comprennent les produits métalliques, les machines et les équipements autres que le matériel de transport [divisions 25 à 28 de la CITI] ;</w:t>
        <w:br/>
        <w:t>(7)    Alimentation et tabac [divisions 10 à 12 de la CITI] ;</w:t>
        <w:br/>
        <w:t>(8)    Papier, pâte à papier et imprimerie [Divisions 17 et 18 de la CITI] ;</w:t>
        <w:br/>
        <w:t>(9)    Bois et produits du bois (autres que les pâtes et papiers) [Division 16 de la CITI] ;</w:t>
        <w:br/>
        <w:t>(10) Textiles et cuirs [Divisions 13 à 15 de la CITI] ; et</w:t>
        <w:br/>
        <w:t xml:space="preserve">(11) Non spécifié (toute industrie manufacturière non incluse ci-dessus) [Divisions 22, 31 et 32 de la CITI] </w:t>
        <w:br/>
        <w:t>Justification et interprétation :</w:t>
        <w:br/>
        <w:t>Cet indicateur mesure la quantité d'émissions de CO liées à la consommation de carburant produites par une activité économique, par unité de production économique. 2</w:t>
        <w:br/>
        <w:t xml:space="preserve">Calculé pour l’ensemble de l’économie, il s’agit d’une mesure des effets combinés de : (1) l’intensité carbone moyenne du mix énergétique (liée à </w:t>
        <w:br/>
        <w:t xml:space="preserve">les parts des différents combustibles fossiles dans le total) ; (2) la structure d'une économie (liée au poids relatif des secteurs plus ou moins énergivores) </w:t>
        <w:br/>
        <w:t xml:space="preserve">secteurs); et (3) de l’efficacité moyenne de l’utilisation de l’énergie. </w:t>
        <w:br/>
        <w:t xml:space="preserve">Calculé pour le secteur manufacturier (émissions de CO2 par unité MVA), il mesure l’effet combiné de : (1) l’intensité carbone du secteur </w:t>
        <w:br/>
        <w:t xml:space="preserve">production économique manufacturière (intensité carbone moyenne du mix énergétique utilisé) ; (2) la structure du secteur manufacturier (le secteur de l’énergie </w:t>
        <w:br/>
        <w:t xml:space="preserve">l'efficacité des technologies de production dans chaque sous-secteur) ; et (3) la valeur économique des différents produits. </w:t>
        <w:br/>
        <w:t xml:space="preserve">Les industries manufacturières améliorent généralement l’intensité de leurs émissions à mesure que les pays progressent vers des niveaux d’industrialisation plus élevés. </w:t>
        <w:br/>
        <w:t>a noté que les intensités des émissions peuvent également être réduites grâce à des changements structurels et à la diversification des produits dans le secteur manufacturier. Valeurs inférieures de CO 2</w:t>
        <w:br/>
        <w:t xml:space="preserve">par unité de MVA pourrait être interprétée comme des structures de fabrication plus efficaces. </w:t>
        <w:br/>
        <w:t xml:space="preserve">Les émissions de CO représentent environ 80 % de toutes les émissions de gaz à effet de serre liées aux processus de fabrication. 2 </w:t>
        <w:br/>
        <w:t xml:space="preserve">Les pays estiment les émissions de CO2 dues à la combustion de carburants sur la base des données de consommation d'énergie et des lignes directrices du GIEC sur les gaz à effet de serre. </w:t>
        <w:br/>
        <w:t xml:space="preserve">Inventaires. Les données sur la consommation d'énergie par carburant sont collectées au moyen d'enquêtes nationales dans tous les secteurs de consommation dans le cadre du programme énergétique national. </w:t>
        <w:br/>
        <w:t>statistiques.</w:t>
        <w:br/>
        <w:t xml:space="preserve">Les données énergétiques sont compilées selon des définitions et des questionnaires internationaux harmonisés, comme décrit dans le Rapport international des Nations Unies. </w:t>
        <w:br/>
        <w:t>Recommandations pour les statistiques de l'énergie. Pour plus d'informations, voir : https://unstats.un.org/unsd/energy/ires/</w:t>
        <w:br/>
        <w:t>Pour plus d'informations Pour plus d'informations sur la méthodologie relative à cet indicateur, voir : http://wds.iea.org/wds/pdf/Worldco2_Documentation.pdf</w:t>
      </w:r>
    </w:p>
    <w:p>
      <w:pPr>
        <w:pStyle w:val="Heading2"/>
      </w:pPr>
      <w:r>
        <w:t>Page 246</w:t>
      </w:r>
    </w:p>
    <w:p>
      <w:r>
        <w:t>Texte d'en-tête</w:t>
        <w:br/>
        <w:t>Texte de pied de page</w:t>
        <w:br/>
        <w:t>Désagrégation des données</w:t>
        <w:br/>
        <w:t>Références</w:t>
        <w:br/>
        <w:t>Organisation(s) internationale(s) de surveillance mondiale</w:t>
        <w:br/>
        <w:t>Méthode de calcul :</w:t>
        <w:br/>
        <w:t xml:space="preserve">Cet indicateur peut être calculé selon la formule suivante pour chaque secteur : </w:t>
        <w:br/>
        <w:t xml:space="preserve">Cet indicateur peut être calculé pour chaque secteur. </w:t>
        <w:br/>
        <w:t>Commentaires et limites :</w:t>
        <w:br/>
        <w:t>L'estimation des données sur le CO n'est pas systématisée dans de nombreux pays, bien qu'elle soit réalisée au niveau international sur la base de données énergétiques harmonisées collectées 2</w:t>
        <w:br/>
        <w:t xml:space="preserve">au niveau national. Il existe des possibilités de différences entre les différents systèmes de comptabilité énergétique suivis par différents pays. </w:t>
        <w:br/>
        <w:t xml:space="preserve">Les données sur la consommation d'énergie et la date de valeur ajoutée proviennent souvent de sources différentes, ce qui peut soulever des problèmes de cohérence. </w:t>
        <w:br/>
        <w:t>Indicateurs proxy, alternatifs et supplémentaires : N/A</w:t>
        <w:br/>
        <w:t xml:space="preserve">Il n’est pas nécessaire de ventiler cet indicateur. Cependant, il peut être ventilé par sous-secteur manufacturier. </w:t>
        <w:br/>
        <w:t>URL officielle des métadonnées ODD</w:t>
        <w:br/>
        <w:t xml:space="preserve">https://unstats.un.org/sdgs/metadata/files/Metadata-09-04-01.pdf  </w:t>
        <w:br/>
        <w:t>Méthodologie reconnue au niveau international et URL des lignes directrices</w:t>
        <w:br/>
        <w:t xml:space="preserve">http://wds.iea.org/wds/pdf/Worldco2_Documentation.pdf </w:t>
        <w:br/>
        <w:t>Autres références</w:t>
        <w:br/>
        <w:t>AIE (2016). Paris. Disponible sur : CO Emissions from Fuel Combustion Highlights 2016. 2 https://www.iea.org/publications/freepublications</w:t>
        <w:br/>
        <w:t>/publication/CO2EmissionsfromFuelCombustion_Highlights_2016.pdf</w:t>
        <w:br/>
        <w:t>DSNU (2008). New York. Disponible sur : Classification internationale type, par industrie, de toutes les activités économiques (CITI), Rév. 4. https://unstats.un.</w:t>
        <w:br/>
        <w:t>org/unsd/publication/seriesm/seriesm_4rev4e.pdf</w:t>
        <w:br/>
        <w:t>ONUDI. Site Internet : Annuaires internationaux de statistiques industrielles. https://www.unido.org/resources/publications/flagship-publications</w:t>
        <w:br/>
        <w:t>/annuaire-international-statistiques-industrielles</w:t>
        <w:br/>
        <w:t>DSNU (2008). New York. Disponible sur : Méthodologie pour la base de données des principaux agrégats des comptes nationaux. https://unstats.un.org/unsd/snaama</w:t>
        <w:br/>
        <w:t>/méthodologie.pdf</w:t>
        <w:br/>
        <w:t>AIE (2017). Paris. Disponible sur : Statistiques clés sur l’énergie mondiale. https://www.iea.org/publications/freepublications/publication/KeyWorld2017.pdf</w:t>
        <w:br/>
        <w:t>AIE. Site Internet : Service de données en ligne sur les émissions de CO2 liées à la combustion de carburant, édition 2017 - (expire le 15 avril 2018). https://www.iea.org/statistics</w:t>
        <w:br/>
        <w:t>/bases de données associées/émissions de co2 dues à la combustion de carburants/</w:t>
        <w:br/>
        <w:t>DSNU (2017). New York. Disponible sur : Recommandations internationales pour les statistiques énergétiques. https://unstats.un.org/unsd/energy/ires/</w:t>
        <w:br/>
        <w:t>GIEC (2006). Genève. Disponible sur : Lignes directrices 2006 du GIEC pour les inventaires nationaux de gaz à effet de serre. http://www.ipcc-nggip.iges.or.jp/public</w:t>
        <w:br/>
        <w:t xml:space="preserve"> /2006gl/  </w:t>
        <w:br/>
        <w:t xml:space="preserve">Exemples de pays </w:t>
        <w:br/>
        <w:t>N/D</w:t>
        <w:br/>
        <w:t xml:space="preserve">Ce document a été préparé sur la base des contributions de l'Organisation des Nations Unies pour le développement industriel (ONUDI) et de l'International Energy </w:t>
        <w:br/>
        <w:t>Agence (AIE).</w:t>
        <w:br/>
        <w:t>Pour obtenir des informations sur les points focaux pour cet indicateur, veuillez visiter https://unstats.un.org/sdgs/dataContacts/</w:t>
      </w:r>
    </w:p>
    <w:p>
      <w:pPr>
        <w:pStyle w:val="Heading2"/>
      </w:pPr>
      <w:r>
        <w:t>Page 247</w:t>
      </w:r>
    </w:p>
    <w:p>
      <w:r>
        <w:t>Texte d'en-tête</w:t>
        <w:br/>
        <w:t>Texte de pied de page</w:t>
        <w:br/>
        <w:t>Indicateur 9.5.1</w:t>
        <w:br/>
        <w:t>Page d'accueil du manuel électronique</w:t>
        <w:br/>
        <w:t xml:space="preserve"> </w:t>
        <w:br/>
        <w:t>Nom de l’indicateur, cible et objectif</w:t>
        <w:br/>
        <w:t>Définition et justification</w:t>
        <w:br/>
        <w:t>Sources de données et méthode de collecte</w:t>
        <w:br/>
        <w:t>Contenu</w:t>
        <w:br/>
        <w:t>Nom de l’indicateur, cible et objectif</w:t>
        <w:br/>
        <w:t>Définition et justification</w:t>
        <w:br/>
        <w:t>Sources de données et méthode de collecte</w:t>
        <w:br/>
        <w:t>Méthode de calcul et autres considérations méthodologiques</w:t>
        <w:br/>
        <w:t>Désagrégation des données</w:t>
        <w:br/>
        <w:t>Références</w:t>
        <w:br/>
        <w:t>Organisation(s) internationale(s) de surveillance mondiale</w:t>
        <w:br/>
        <w:t xml:space="preserve"> Indicateur 9.5.1 : Dépenses de recherche et développement en proportion du PIB</w:t>
        <w:br/>
        <w:t xml:space="preserve">Cible 9.5 : Renforcer la recherche scientifique et améliorer les capacités technologiques des secteurs industriels dans tous les pays, en particulier en développement. </w:t>
        <w:br/>
        <w:t xml:space="preserve">pays, y compris, d’ici 2030, en encourageant l’innovation et en augmentant considérablement le nombre de travailleurs en recherche et développement pour 1 million </w:t>
        <w:br/>
        <w:t>les personnes et les dépenses publiques et privées de recherche et développement</w:t>
        <w:br/>
        <w:t>Objectif 9 : Construire des infrastructures résilientes, promouvoir une industrialisation inclusive et durable et favoriser l’innovation</w:t>
        <w:br/>
        <w:t>Définition :</w:t>
        <w:br/>
        <w:t xml:space="preserve">Cet indicateur est défini comme le total des dépenses intra-muros en recherche et développement expérimental (R&amp;D) réalisées sur le territoire national. </w:t>
        <w:br/>
        <w:t xml:space="preserve">au cours d’une période de référence spécifique, exprimée en pourcentage du produit intérieur brut (PIB) national. </w:t>
        <w:br/>
        <w:t>Concepts :</w:t>
        <w:br/>
        <w:t xml:space="preserve">La recherche et le développement expérimental (R&amp;D) comprennent des travaux créatifs et systématiques entrepris afin d’augmenter le stock de connaissances – </w:t>
        <w:br/>
        <w:t xml:space="preserve">y compris la connaissance de l’humanité, de la culture et de la société – et concevoir de nouvelles applications des connaissances disponibles. </w:t>
        <w:br/>
        <w:t>Le terme recouvre trois types d'activités : la recherche fondamentale, la recherche appliquée et le développement expérimental.  est une recherche expérimentale ou de R&amp;D Recherche fondamentale</w:t>
        <w:br/>
        <w:t xml:space="preserve">travaux théoriques entrepris principalement pour acquérir de nouvelles connaissances sur les fondements sous-jacents des phénomènes et des faits observables, sans aucune </w:t>
        <w:br/>
        <w:t>application ou utilisation particulière en vue.  est une enquête originale entreprise dans le but d’acquérir de nouvelles connaissances. Il s'agit cependant de recherche appliquée</w:t>
        <w:br/>
        <w:t>orienté principalement vers un but ou un objectif spécifique et pratique.  est un travail systématique, s'appuyant sur les connaissances acquises grâce au développement expérimental</w:t>
        <w:br/>
        <w:t xml:space="preserve">recherche et expérience pratique et production de connaissances supplémentaires, destinées à produire de nouveaux produits ou procédés ou à améliorer </w:t>
        <w:br/>
        <w:t xml:space="preserve">produits ou procédés existants. </w:t>
        <w:br/>
        <w:t>Les dépenses de R&amp;D ou, en d’autres termes, correspondent aux dépenses intra-muros totales de R&amp;D réalisées dans le pays. Dépense intérieure brute de R&amp;D (DIRD)</w:t>
        <w:br/>
        <w:t xml:space="preserve">territoire pendant une période de référence spécifique. Il couvre toutes les dépenses de R&amp;D réalisées dans l’économie, y compris les coûts courants et les dépenses en capital. </w:t>
        <w:br/>
        <w:t xml:space="preserve">dépenses de R&amp;D. </w:t>
        <w:br/>
        <w:t xml:space="preserve">Pour plus d’informations sur les définitions ci-dessus, voir : OCDE (2015). 7 édition.  Manuel Frascati. e  </w:t>
        <w:br/>
        <w:t xml:space="preserve">Le PIB est la somme de la valeur ajoutée brute de tous les producteurs résidents de l'économie, plus les taxes sur les produits et moins les subventions non incluses dans </w:t>
        <w:br/>
        <w:t xml:space="preserve">la valeur des produits. </w:t>
        <w:br/>
        <w:t>Justification et interprétation :</w:t>
        <w:br/>
        <w:t>Cet indicateur est une mesure directe des dépenses de R&amp;D, qui doivent être augmentées conformément à l'objectif 9.5.</w:t>
      </w:r>
    </w:p>
    <w:p>
      <w:pPr>
        <w:pStyle w:val="Heading2"/>
      </w:pPr>
      <w:r>
        <w:t>Page 248</w:t>
      </w:r>
    </w:p>
    <w:p>
      <w:r>
        <w:t>Texte d'en-tête</w:t>
        <w:br/>
        <w:t>Texte de pied de page</w:t>
        <w:br/>
        <w:t>Méthode de calcul et autres considérations méthodologiques</w:t>
        <w:br/>
        <w:t>Désagrégation des données</w:t>
        <w:br/>
        <w:t>Références</w:t>
        <w:br/>
        <w:t xml:space="preserve">Les données pour cet indicateur sont principalement collectées par le biais d'enquêtes R&amp;D représentatives au niveau national, menées par les bureaux nationaux de statistique. </w:t>
        <w:br/>
        <w:t xml:space="preserve">ou les ministères compétents tels que le ministère de la science et de la technologie. La collecte directe de données de R&amp;D au moyen d’enquêtes dédiées a un </w:t>
        <w:br/>
        <w:t>avantage distinct dans la mesure où les concepts et définitions utilisés peuvent s'aligner complètement sur ceux contenus dans le . Données administratives Manuel de Frascati</w:t>
        <w:br/>
        <w:t xml:space="preserve">sources (qui peuvent inclure à la fois des données financières provenant des agences fiscales ainsi que d'autres types de sources administratives, telles que les données des entreprises). </w:t>
        <w:br/>
        <w:t xml:space="preserve">enregistrements) peuvent être utilisés comme une autre source d’information pour la compilation des données de R&amp;D, si les concepts, définitions et couverture utilisés par </w:t>
        <w:br/>
        <w:t>les sources de données administratives sont suffisamment proches de celles contenues dans le . Manuel Frascati</w:t>
        <w:br/>
        <w:t>L'OCDE (veuillez trouver le lien dans la section de référence ci-dessous) fournit des lignes directrices et des recommandations standard pour la collecte du Manuel de Frascati.</w:t>
        <w:br/>
        <w:t xml:space="preserve">et communiquer des statistiques comparables à l’échelle internationale sur les ressources financières et humaines consacrées à la R&amp;D.  Les informations sur la couverture et </w:t>
        <w:br/>
        <w:t>le contenu des différents chapitres du est résumé ci-dessous à titre de guide pour les lecteurs. Le chapitre 1 présente le manuel Frascati Manual (2015)</w:t>
        <w:br/>
        <w:t xml:space="preserve">et les douze chapitres suivants fournissent des conseils sur des sujets spécifiques. Les cinq chapitres (2 à 6) qui suivent contiennent des orientations générales sur la définition </w:t>
        <w:br/>
        <w:t xml:space="preserve">et mesurer la R&amp;D dans tous les secteurs de performance en R&amp;D : concepts et définitions, secteurs institutionnels, dépenses de R&amp;D, personnel de R&amp;D et </w:t>
        <w:br/>
        <w:t xml:space="preserve">méthodologies et procédures statistiques. Les cinq chapitres suivants (7 à 11) abordent des questions méthodologiques et de classification particulières </w:t>
        <w:br/>
        <w:t xml:space="preserve">chaque secteur performant (entreprises, gouvernement, enseignement supérieur et secteur privé à but non lucratif). Le cinquième secteur, le Reste du monde </w:t>
        <w:br/>
        <w:t xml:space="preserve">(anciennement appelé À l’étranger) est abordé dans le chapitre 11 sur la mondialisation de la R&amp;D, qui aborde la performance et le financement de la R&amp;D dans le </w:t>
        <w:br/>
        <w:t xml:space="preserve">Reste du monde. En outre, il existe des orientations sur la collecte de données sur les entreprises multinationales (EMN) et le commerce des services de R&amp;D. Le secteur </w:t>
        <w:br/>
        <w:t xml:space="preserve">Les chapitres sont suivis de deux chapitres (12-13) qui abordent la mesure du soutien gouvernemental à la R&amp;D du point de vue des bailleurs de fonds : </w:t>
        <w:br/>
        <w:t xml:space="preserve">allocations budgétaires gouvernementales pour la R&amp;D et mesures des allégements fiscaux pour la R&amp;D. </w:t>
        <w:br/>
        <w:t xml:space="preserve">L'Institut de statistique de l'UNESCO (ISU) fournit un guide pour mener une enquête sur la R&amp;D pour les pays commençant à mesurer la R&amp;D (veuillez trouver le </w:t>
        <w:br/>
        <w:t>lien dans la section de référence ci-dessous). En plus de résumer les principaux concepts et définitions du , ce guide présente le Manuel de Frascati.</w:t>
        <w:br/>
        <w:t xml:space="preserve">indicateurs de R&amp;D pertinents, aborde les problèmes courants rencontrés lors de la collecte de données, fournit un modèle de gestion de projet simple et </w:t>
        <w:br/>
        <w:t>propose des modèles de questionnaires génériques pour le secteur public, l'enseignement supérieur, les entreprises et le secteur privé à but non lucratif.</w:t>
        <w:br/>
        <w:t>Méthode de calcul :</w:t>
        <w:br/>
        <w:t>Les dépenses de recherche et développement en proportion du PIB sont calculées comme : (R&amp;D) Intensité</w:t>
        <w:br/>
        <w:t>Commentaires et limites :</w:t>
        <w:br/>
        <w:t xml:space="preserve">Les données de R&amp;D peuvent être collectées directement au moyen d’enquêtes, de sources de données administratives ou par une combinaison des deux. La collecte directe de </w:t>
        <w:br/>
        <w:t>Les données de R&amp;D présentent un avantage certain dans la mesure où les concepts et définitions utilisés peuvent s'aligner complètement sur ceux contenus dans le manuel de Frascati.</w:t>
        <w:br/>
        <w:t xml:space="preserve">bien que cela puisse avoir des implications financières. En outre, les données sur la R&amp;D ne sont pas collectées régulièrement dans de nombreux pays en développement et cela </w:t>
        <w:br/>
        <w:t xml:space="preserve">tous les secteurs de performance (entreprises, gouvernement, enseignement supérieur et secteur privé à but non lucratif) ne sont pas couverts. En particulier, le </w:t>
        <w:br/>
        <w:t xml:space="preserve">Le secteur des entreprises commerciales est souvent négligé. </w:t>
        <w:br/>
        <w:t>Indicateurs proxy, alternatifs et supplémentaires : N/A</w:t>
        <w:br/>
        <w:t xml:space="preserve">Les dépenses de R&amp;D peuvent être ventilées par secteur d’exécution, source de financement, domaine de R&amp;D, type de recherche et type de coût. Les Frascati </w:t>
        <w:br/>
        <w:t xml:space="preserve"> fournit plus de détails relatifs à ces pannes (que sont ces pannes/cl les assifications sont, les objectifs, y compris les besoins des utilisateurs, le manuel</w:t>
        <w:br/>
        <w:t>principaux critères appliqués, etc.).</w:t>
      </w:r>
    </w:p>
    <w:p>
      <w:pPr>
        <w:pStyle w:val="Heading2"/>
      </w:pPr>
      <w:r>
        <w:t>Page 249</w:t>
      </w:r>
    </w:p>
    <w:p>
      <w:r>
        <w:t>Texte d'en-tête</w:t>
        <w:br/>
        <w:t>Texte de pied de page</w:t>
        <w:br/>
        <w:t>Organisation(s) internationale(s) de surveillance mondiale</w:t>
        <w:br/>
        <w:t>URL officielle des métadonnées ODD</w:t>
        <w:br/>
        <w:t xml:space="preserve">https://unstats.un.org/sdgs/metadata/files/Metadata-09-05-01.pdf  </w:t>
        <w:br/>
        <w:t>Méthodologie reconnue au niveau international et URL des lignes directrices</w:t>
        <w:br/>
        <w:t xml:space="preserve">http://www.oecd-ilibrary.org/science-and-technology/frascati-manual-2015_9789264239012-fr  </w:t>
        <w:br/>
        <w:t>Autres références</w:t>
        <w:br/>
        <w:t xml:space="preserve">OCDE (2015). Manuel de Frascati 2015 : Lignes directrices pour la collecte et la communication de données sur la recherche et le développement expérimental, le </w:t>
        <w:br/>
        <w:t>Éditions OCDE. Paris. Disponible sur : Mesure des activités scientifiques, technologiques et d'innovation. http://www.oecd-ilibrary.org/science-</w:t>
        <w:br/>
        <w:t>et-technologie/frascati-manual-2015_9789264239012-fr</w:t>
        <w:br/>
        <w:t>UNESCO- .  Site Internet : ISU Centre de données de l'ISU – Science, technologie et innovation. http://data.uis.unesco.org/Index.aspx?</w:t>
        <w:br/>
        <w:t>DataSetCode=SCN_DS&amp;popupcustomise=true&amp;lang=fr</w:t>
        <w:br/>
        <w:t xml:space="preserve">UNESCO-ISU (2014). Guide pour mener une enquête sur la R&amp;D : pour les pays commençant à mesurer la recherche et le développement expérimental, </w:t>
        <w:br/>
        <w:t>. Disponible sur : Document technique n° 11, ISU, Montréal http://uis.unesco.org/sites/default/files/documents/guide-to-conducting-an-rd-survey-for-</w:t>
        <w:br/>
        <w:t>pays-commençant-à-mesurer-la-recherche-et-le-développement-expérimental-2014-fr.pdf</w:t>
        <w:br/>
        <w:t xml:space="preserve">Exemples de pays </w:t>
        <w:br/>
        <w:t>N/D</w:t>
        <w:br/>
        <w:t>Ce document a été préparé sur la base des contributions de l'Institut de statistique de l'UNESCO (ISU).</w:t>
        <w:br/>
        <w:t>Pour obtenir des informations sur les points focaux pour cet indicateur, veuillez visiter https://unstats.un.org/sdgs/dataContacts/</w:t>
      </w:r>
    </w:p>
    <w:p>
      <w:pPr>
        <w:pStyle w:val="Heading2"/>
      </w:pPr>
      <w:r>
        <w:t>Page 250</w:t>
      </w:r>
    </w:p>
    <w:p>
      <w:r>
        <w:t>Texte d'en-tête</w:t>
        <w:br/>
        <w:t>Texte de pied de page</w:t>
        <w:br/>
        <w:t>Indicateur 9.5.2</w:t>
        <w:br/>
        <w:t>Page d'accueil du manuel électronique</w:t>
        <w:br/>
        <w:t xml:space="preserve"> </w:t>
        <w:br/>
        <w:t>Nom de l’indicateur, cible et objectif</w:t>
        <w:br/>
        <w:t>Définition et justification</w:t>
        <w:br/>
        <w:t>Sources de données et méthode de collecte</w:t>
        <w:br/>
        <w:t>Contenu</w:t>
        <w:br/>
        <w:t>Nom de l’indicateur, cible et objectif</w:t>
        <w:br/>
        <w:t>Définition et justification</w:t>
        <w:br/>
        <w:t>Sources de données et méthode de collecte</w:t>
        <w:br/>
        <w:t>Méthode de calcul et autres considérations méthodologiques</w:t>
        <w:br/>
        <w:t>Désagrégation des données</w:t>
        <w:br/>
        <w:t>Références</w:t>
        <w:br/>
        <w:t>Organisation(s) internationale(s) de surveillance mondiale</w:t>
        <w:br/>
        <w:t xml:space="preserve"> Indicateur 9.5.2 : Chercheurs (en équivalent temps plein) par million d'habitants</w:t>
        <w:br/>
        <w:t xml:space="preserve">Cible 9.5 : Renforcer la recherche scientifique et améliorer les capacités technologiques des secteurs industriels dans tous les pays, en particulier en développement. </w:t>
        <w:br/>
        <w:t xml:space="preserve">pays, y compris, d’ici 2030, en encourageant l’innovation et en augmentant considérablement le nombre de travailleurs en recherche et développement pour 1 million </w:t>
        <w:br/>
        <w:t>les personnes et les dépenses publiques et privées de recherche et développement</w:t>
        <w:br/>
        <w:t>Objectif 9 : Construire des infrastructures résilientes, promouvoir une industrialisation inclusive et durable et favoriser l’innovation</w:t>
        <w:br/>
        <w:t>Définition :</w:t>
        <w:br/>
        <w:t xml:space="preserve">Cet indicateur est défini comme le nombre de chercheurs (en équivalent temps plein) sur le territoire national pendant une période de référence déterminée. </w:t>
        <w:br/>
        <w:t xml:space="preserve">exprimé en proportion d’une population d’un million d’habitants. </w:t>
        <w:br/>
        <w:t>Concepts :</w:t>
        <w:br/>
        <w:t xml:space="preserve">La recherche et le développement expérimental (R&amp;D) comprennent des travaux créatifs et systématiques entrepris afin d’augmenter le stock de connaissances – </w:t>
        <w:br/>
        <w:t xml:space="preserve">y compris la connaissance de l’humanité, de la culture et de la société – et concevoir de nouvelles applications des connaissances disponibles. </w:t>
        <w:br/>
        <w:t>Le terme recouvre trois types d'activités : la recherche fondamentale, la recherche appliquée et le développement expérimental.  est une recherche expérimentale ou de R&amp;D Recherche fondamentale</w:t>
        <w:br/>
        <w:t xml:space="preserve">travaux théoriques entrepris principalement pour acquérir de nouvelles connaissances sur les fondements sous-jacents des phénomènes et des faits observables, sans aucune </w:t>
        <w:br/>
        <w:t>application ou utilisation particulière en vue.  est une enquête originale entreprise dans le but d’acquérir de nouvelles connaissances. Il s'agit cependant de recherche appliquée</w:t>
        <w:br/>
        <w:t>orienté principalement vers un but ou un objectif spécifique et pratique.  est un travail systématique, s'appuyant sur les connaissances acquises grâce au développement expérimental</w:t>
        <w:br/>
        <w:t xml:space="preserve">recherche et expérience pratique et production de connaissances supplémentaires, destinées à produire de nouveaux produits ou procédés ou à améliorer </w:t>
        <w:br/>
        <w:t xml:space="preserve">produits ou procédés existants. </w:t>
        <w:br/>
        <w:t xml:space="preserve">Le personnel de R&amp;D désigne toutes les personnes engagées directement dans la R&amp;D, ainsi que celles fournissant des services directs pour les activités de R&amp;D. Ils sont classés </w:t>
        <w:br/>
        <w:t xml:space="preserve">selon leur fonction R&amp;D : chercheurs, techniciens et autres personnels de support.  Parmi eux, les chercheurs jouent un rôle essentiel dans </w:t>
        <w:br/>
        <w:t xml:space="preserve">conduite de projets ou d'activités de R&amp;D, en dirigeant généralement ces projets (contrairement aux autres membres du personnel de R&amp;D). </w:t>
        <w:br/>
        <w:t xml:space="preserve">Les chercheurs sont des professionnels engagés dans la conception ou la création de nouvelles connaissances. Ils mènent des recherches et améliorent ou développent </w:t>
        <w:br/>
        <w:t xml:space="preserve">concepts, théories, modèles, techniques, instrumentation, logiciels ou méthodes opérationnelles. </w:t>
        <w:br/>
        <w:t xml:space="preserve">L'équivalent temps plein (ETP) du personnel de R&amp;D (chercheurs) est défini comme le ratio des heures de travail réellement consacrées à la R&amp;D au cours d'une activité spécifique. </w:t>
        <w:br/>
        <w:t xml:space="preserve">période de référence (généralement une année civile) divisée par le nombre total d'heures conventionnellement travaillées au cours de la même période par un individu ou un </w:t>
        <w:br/>
        <w:t xml:space="preserve">groupe. Ainsi, un ETP de personnel de R&amp;D (chercheurs) équivaut à une personne travaillant à temps plein en R&amp;D. Ainsi, un individu qui </w:t>
        <w:br/>
        <w:t xml:space="preserve">consacre normalement 30 % de son temps à la R&amp;D et le reste à d'autres activités (telles que l'enseignement, l'administration universitaire et l'orientation des étudiants) </w:t>
        <w:br/>
        <w:t xml:space="preserve">doit être considéré comme 0,3 ETP. De même, si un travailleur de R&amp;D à temps plein est employé dans une unité de R&amp;D pendant seulement six mois, cela se traduit par un ETP de </w:t>
        <w:br/>
        <w:t xml:space="preserve">0,5. Elle est mesurée en combinant deux variables : l'implication réelle dans les activités de R&amp;D et l'engagement formel sur la base de normes ou </w:t>
        <w:br/>
        <w:t>horaires légaux de travail.</w:t>
        <w:br/>
        <w:t xml:space="preserve">Pour plus d’informations sur les définitions ci-dessus, voir : OCDE (2015). 7 édition. Manuel Frascati. e  </w:t>
        <w:br/>
        <w:t>Justification et interprétation :</w:t>
        <w:br/>
        <w:t>Cet indicateur est une mesure directe du nombre de travailleurs en R&amp;D par million d’habitants, qui doit être augmenté conformément à l’objectif 9.5.</w:t>
      </w:r>
    </w:p>
    <w:p>
      <w:pPr>
        <w:pStyle w:val="Heading2"/>
      </w:pPr>
      <w:r>
        <w:t>Page 251</w:t>
      </w:r>
    </w:p>
    <w:p>
      <w:r>
        <w:t>Texte d'en-tête</w:t>
        <w:br/>
        <w:t>Texte de pied de page</w:t>
        <w:br/>
        <w:t>Méthode de calcul et autres considérations méthodologiques</w:t>
        <w:br/>
        <w:t>Désagrégation des données</w:t>
        <w:br/>
        <w:t>Références</w:t>
        <w:br/>
        <w:t xml:space="preserve">Les données pour cet indicateur sont principalement collectées par le biais d'enquêtes R&amp;D représentatives au niveau national, menées par les bureaux nationaux de statistique. </w:t>
        <w:br/>
        <w:t xml:space="preserve">ou les ministères compétents tels que le ministère de la science et de la technologie. La collecte directe de données de R&amp;D au moyen d’enquêtes dédiées a un </w:t>
        <w:br/>
        <w:t>avantage distinct dans la mesure où les concepts et définitions utilisés peuvent s'aligner complètement sur ceux contenus dans le . Données administratives Manuel de Frascati</w:t>
        <w:br/>
        <w:t xml:space="preserve">sources (qui peuvent inclure à la fois des données financières provenant des agences fiscales ainsi que d'autres types de sources administratives, telles que les données des entreprises). </w:t>
        <w:br/>
        <w:t xml:space="preserve">enregistrements) peuvent être utilisés comme une autre source d’information pour la compilation des données de R&amp;D, si les concepts, définitions et couverture utilisés par </w:t>
        <w:br/>
        <w:t>les sources de données administratives sont suffisamment proches de celles contenues dans le . Manuel Frascati</w:t>
        <w:br/>
        <w:t>L'OCDE (veuillez trouver le lien dans la section de référence ci-dessous) fournit des lignes directrices et des recommandations standard pour la collecte du Manuel de Frascati.</w:t>
        <w:br/>
        <w:t xml:space="preserve">et communiquer des statistiques comparables à l’échelle internationale sur les ressources financières et humaines consacrées à la R&amp;D. Les informations sur la couverture et </w:t>
        <w:br/>
        <w:t>le contenu des différents chapitres du est résumé ci-dessous à titre de guide pour les lecteurs. Le chapitre 1 présente le manuel Frascati Manual (2015)</w:t>
        <w:br/>
        <w:t xml:space="preserve">et les douze chapitres suivants fournissent des conseils sur des sujets spécifiques. Les cinq chapitres (2 à 6) qui suivent contiennent des orientations générales sur la définition </w:t>
        <w:br/>
        <w:t xml:space="preserve">et mesurer la R&amp;D dans tous les secteurs de performance en R&amp;D : concepts et définitions, secteurs institutionnels, dépenses de R&amp;D, personnel de R&amp;D et </w:t>
        <w:br/>
        <w:t xml:space="preserve">méthodologies et procédures statistiques. Les cinq chapitres suivants (7 à 11) abordent des questions méthodologiques et de classification particulières </w:t>
        <w:br/>
        <w:t xml:space="preserve">chaque secteur performant (entreprises, gouvernement, enseignement supérieur et secteur privé à but non lucratif). Le cinquième secteur, le Reste du monde </w:t>
        <w:br/>
        <w:t xml:space="preserve">(anciennement appelé À l’étranger) est abordé dans le chapitre 11 sur la mondialisation de la R&amp;D, qui aborde la performance et le financement de la R&amp;D dans le </w:t>
        <w:br/>
        <w:t xml:space="preserve">Reste du monde. En outre, il existe des orientations sur la collecte de données sur les entreprises multinationales (EMN) et le commerce des services de R&amp;D. Le secteur </w:t>
        <w:br/>
        <w:t xml:space="preserve">Les chapitres sont suivis de deux chapitres (12-13) qui abordent la mesure du soutien gouvernemental à la R&amp;D du point de vue des bailleurs de fonds : </w:t>
        <w:br/>
        <w:t xml:space="preserve">allocations budgétaires gouvernementales pour la R&amp;D et mesures des allégements fiscaux pour la R&amp;D. </w:t>
        <w:br/>
        <w:t xml:space="preserve">L'Institut de statistique de l'UNESCO (ISU) fournit un guide pour mener une enquête sur la R&amp;D pour les pays commençant à mesurer la R&amp;D (veuillez trouver le </w:t>
        <w:br/>
        <w:t>lien dans la section de référence ci-dessous). En plus de résumer les principaux concepts et définitions du , ce guide présente le Manuel de Frascati.</w:t>
        <w:br/>
        <w:t xml:space="preserve">indicateurs de R&amp;D pertinents, aborde les problèmes courants rencontrés lors de la collecte de données, fournit un modèle de gestion de projet simple et </w:t>
        <w:br/>
        <w:t>propose des modèles de questionnaires génériques pour le secteur public, l'enseignement supérieur, les entreprises et le secteur privé à but non lucratif.</w:t>
        <w:br/>
        <w:t>Méthode de calcul :</w:t>
        <w:br/>
        <w:t>Le nombre de chercheurs (en équivalent temps plein) par million d'habitants est calculé comme : (RES) Densité</w:t>
        <w:br/>
        <w:t xml:space="preserve">où  est calculé comme suit :   « Total des chercheurs (ETP) » </w:t>
        <w:br/>
        <w:t>Commentaires et limites :</w:t>
        <w:br/>
        <w:t xml:space="preserve">Les données de R&amp;D peuvent être collectées directement au moyen d’enquêtes, de sources de données administratives ou par une combinaison des deux. La collecte directe de </w:t>
        <w:br/>
        <w:t>Les données de R&amp;D présentent un avantage certain dans la mesure où les concepts et définitions utilisés peuvent s'aligner complètement sur ceux contenus dans le manuel de Frascati.</w:t>
        <w:br/>
        <w:t xml:space="preserve">bien que cela puisse avoir des implications financières. En outre, les données sur la R&amp;D ne sont pas collectées régulièrement dans de nombreux pays en développement et cela </w:t>
        <w:br/>
        <w:t xml:space="preserve">tous les secteurs de performance (entreprises, gouvernement, enseignement supérieur et secteur privé à but non lucratif) ne sont pas couverts. En particulier, le </w:t>
        <w:br/>
        <w:t xml:space="preserve">Le secteur des affaires est souvent négligé. </w:t>
        <w:br/>
        <w:t>Indicateurs proxy, alternatifs et supplémentaires : N/A</w:t>
        <w:br/>
        <w:t>Les chercheurs peuvent être ventilés par secteur d’emploi, domaine de R&amp;D, sexe, niveau de qualification et âge.  Le manuel Frascati est fourni.</w:t>
        <w:br/>
        <w:t xml:space="preserve">plus de détails sur le sujet Ces ventilations (quels sont ces ventilations/classifications, les finalités, y compris les besoins des utilisateurs, les principaux critères qui </w:t>
        <w:br/>
        <w:t>sont appliqués, etc.).</w:t>
      </w:r>
    </w:p>
    <w:p>
      <w:pPr>
        <w:pStyle w:val="Heading2"/>
      </w:pPr>
      <w:r>
        <w:t>Page 252</w:t>
      </w:r>
    </w:p>
    <w:p>
      <w:r>
        <w:t>Texte d'en-tête</w:t>
        <w:br/>
        <w:t>Texte de pied de page</w:t>
        <w:br/>
        <w:t>Organisation(s) internationale(s) de surveillance mondiale</w:t>
        <w:br/>
        <w:t>URL officielle des métadonnées ODD</w:t>
        <w:br/>
        <w:t xml:space="preserve">https://unstats.un.org/sdgs/metadata/files/Metadata-09-05-02.pdf  </w:t>
        <w:br/>
        <w:t>Méthodologie reconnue au niveau international et URL des lignes directrices</w:t>
        <w:br/>
        <w:t xml:space="preserve">http://www.oecd-ilibrary.org/science-and-technology/frascati-manual-2015_9789264239012-fr  </w:t>
        <w:br/>
        <w:t>Autres références</w:t>
        <w:br/>
        <w:t xml:space="preserve">OCDE (2015). Manuel de Frascati 2015 : Lignes directrices pour la collecte et la communication de données sur la recherche et le développement expérimental, le </w:t>
        <w:br/>
        <w:t>Éditions OCDE. Paris. Disponible sur : Mesure des activités scientifiques, technologiques et d'innovation. http://www.oecd-ilibrary.org/science-</w:t>
        <w:br/>
        <w:t>et-technologie/frascati-manual-2015_9789264239012-fr</w:t>
        <w:br/>
        <w:t>UNESCO-ISU.  Site Internet : Centre de données de l'ISU – Science, technologie et innovation. http://data.uis.unesco.org/Index.aspx?</w:t>
        <w:br/>
        <w:t>DataSetCode=SCN_DS&amp;popupcustomise=true&amp;lang=fr</w:t>
        <w:br/>
        <w:t xml:space="preserve">UNESCO-ISU (2014). Guide pour mener une enquête sur la R&amp;D : pour les pays commençant à mesurer la recherche et le développement expérimental, </w:t>
        <w:br/>
        <w:t>. Disponible sur : Document technique n° 11, ISU, Montréal http://uis.unesco.org/sites/default/files/documents/guide-to-conducting-an-rd-survey-for-</w:t>
        <w:br/>
        <w:t xml:space="preserve">pays-commençant-à-mesurer-la-recherche-et-le-développement-expérimental-2014-fr.pdf </w:t>
        <w:br/>
        <w:t xml:space="preserve">Exemples de pays </w:t>
        <w:br/>
        <w:t>N/D</w:t>
        <w:br/>
        <w:t>Ce document a été préparé sur la base des contributions de l'Institut de statistique de l'UNESCO (ISU).</w:t>
        <w:br/>
        <w:t>Pour obtenir des informations sur les points focaux pour cet indicateur, veuillez visiter https://unstats.un.org/sdgs/dataContacts/</w:t>
      </w:r>
    </w:p>
    <w:p>
      <w:pPr>
        <w:pStyle w:val="Heading2"/>
      </w:pPr>
      <w:r>
        <w:t>Page 253</w:t>
      </w:r>
    </w:p>
    <w:p>
      <w:r>
        <w:t>Texte d'en-tête</w:t>
        <w:br/>
        <w:t>Texte de pied de page</w:t>
        <w:br/>
        <w:t>Indicateur 9.a.1</w:t>
        <w:br/>
        <w:t>Page d'accueil du manuel électronique</w:t>
        <w:br/>
        <w:t xml:space="preserve"> </w:t>
        <w:br/>
        <w:t>Nom de l’indicateur, cible et objectif</w:t>
        <w:br/>
        <w:t>Définition et justification</w:t>
        <w:br/>
        <w:t>Sources de données et méthode de collecte</w:t>
        <w:br/>
        <w:t>Méthode de calcul et autres considérations méthodologiques</w:t>
        <w:br/>
        <w:t>Contenu</w:t>
        <w:br/>
        <w:t>Nom de l’indicateur, cible et objectif</w:t>
        <w:br/>
        <w:t>Définition et justification</w:t>
        <w:br/>
        <w:t>Sources de données et méthode de collecte</w:t>
        <w:br/>
        <w:t>Méthode de calcul et autres considérations méthodologiques</w:t>
        <w:br/>
        <w:t>Désagrégation des données</w:t>
        <w:br/>
        <w:t>Références</w:t>
        <w:br/>
        <w:t>Organisation(s) internationale(s) de surveillance mondiale</w:t>
        <w:br/>
        <w:t xml:space="preserve"> Indicateur 9.a.1 : Total du soutien international officiel (aide publique au développement et autres flux publics) aux infrastructures</w:t>
        <w:br/>
        <w:t xml:space="preserve">Cible 9.a : Faciliter le développement d’infrastructures durables et résilientes dans les pays en développement grâce à un renforcement des capacités financières, technologiques et </w:t>
        <w:br/>
        <w:t>appui technique aux pays africains, aux pays les moins avancés, aux pays en développement sans littoral et aux petits États insulaires en développement</w:t>
        <w:br/>
        <w:t>Objectif 9 : Construire des infrastructures résilientes, promouvoir une industrialisation inclusive et durable et favoriser l’innovation</w:t>
        <w:br/>
        <w:t>Définition :</w:t>
        <w:br/>
        <w:t xml:space="preserve">Cet indicateur est défini comme la somme de tous les décaissements bruts d'aide publique au développement (APD) et d'autres flux officiels (OOF) de tous les pays. </w:t>
        <w:br/>
        <w:t xml:space="preserve">donateurs à l’appui du développement des infrastructures. </w:t>
        <w:br/>
        <w:t>Concepts :</w:t>
        <w:br/>
        <w:t>Le Comité d'aide au développement (CAD) définit comme étant les flux vers les pays et territoires figurant sur la liste du CAD des bénéficiaires de l'APD et l'APD.</w:t>
        <w:br/>
        <w:t>les institutions multilatérales qui sont :</w:t>
        <w:br/>
        <w:t>(1)    Fournis par des agences officielles, y compris les gouvernements des États et locaux, ou par leurs agences exécutives ; et</w:t>
        <w:br/>
        <w:t>(2)    Chaque transaction dont :</w:t>
        <w:br/>
        <w:t>une. est administré avec la promotion du développement économique et du bien-être des pays en développement comme objectif principal ; et</w:t>
        <w:br/>
        <w:t xml:space="preserve">b. a un caractère concessionnel et comporte un élément de don d'au moins 25 pour cent (calculé à un taux d'actualisation de 10 pour cent). </w:t>
        <w:br/>
        <w:t xml:space="preserve">L'OOF fait référence à toutes les autres transactions du secteur public qui ne répondent pas aux critères de l'APD et ne sont pas des crédits à l'exportation. </w:t>
        <w:br/>
        <w:t>Le soutien aux infrastructures fait référence à tous les codes-objet du Système de déclaration des créanciers (CRS) de l'OCDE de la série 200 (voir http://www.oecd.org/dac</w:t>
        <w:br/>
        <w:t xml:space="preserve">). /financement-du-developpement-durable/normes-de-financement-du-developpement/Purposecodessectorclassification.htm  </w:t>
        <w:br/>
        <w:t>Justification et interprétation :</w:t>
        <w:br/>
        <w:t xml:space="preserve">Les flux totaux de ressources vers les pays en développement quantifient l’effort public (à l’exclusion des crédits à l’exportation) que les donateurs fournissent aux pays en développement pour </w:t>
        <w:br/>
        <w:t xml:space="preserve">infrastructures. </w:t>
        <w:br/>
        <w:t>Les données sont reçues des points focaux nationaux (journalistes statistiques) au sein des agences d'aide nationales, des ministères des affaires étrangères ou des finances, etc.</w:t>
      </w:r>
    </w:p>
    <w:p>
      <w:pPr>
        <w:pStyle w:val="Heading2"/>
      </w:pPr>
      <w:r>
        <w:t>Page 254</w:t>
      </w:r>
    </w:p>
    <w:p>
      <w:r>
        <w:t>Texte d'en-tête</w:t>
        <w:br/>
        <w:t>Texte de pied de page</w:t>
        <w:br/>
        <w:t>Désagrégation des données</w:t>
        <w:br/>
        <w:t>Références</w:t>
        <w:br/>
        <w:t>Organisation(s) internationale(s) de surveillance mondiale</w:t>
        <w:br/>
        <w:t>Méthode de calcul :</w:t>
        <w:br/>
        <w:t xml:space="preserve">Cet indicateur est calculé comme la somme de l’ensemble de l’APD et de l’OOF des donateurs vers les pays en développement pour les infrastructures (codes SNPC de la série 200). </w:t>
        <w:br/>
        <w:t>Commentaires et limites :</w:t>
        <w:br/>
        <w:t xml:space="preserve">Les données du SNPC sont disponibles à partir de 1973. Cependant, la couverture des données, au niveau des activités, est considérée comme complète à partir de 1995 pour les engagements et </w:t>
        <w:br/>
        <w:t xml:space="preserve">2002 pour les décaissements. </w:t>
        <w:br/>
        <w:t>Indicateurs proxy, alternatifs et supplémentaires : N/A</w:t>
        <w:br/>
        <w:t xml:space="preserve">Cet indicateur peut être désagrégé par type de flux (APD ou OOF), par donateur, pays bénéficiaire, type de financement, type d'aide, sous-secteur, etc. </w:t>
        <w:br/>
        <w:t>URL officielle des métadonnées ODD</w:t>
        <w:br/>
        <w:t xml:space="preserve">https://unstats.un.org/sdgs/metadata/files/Metadata-09-0A-01.pdf  </w:t>
        <w:br/>
        <w:t>Méthodologie reconnue au niveau international et URL des lignes directrices</w:t>
        <w:br/>
        <w:t xml:space="preserve">http://www.oecd.org/dac/stats/methodology.htm  </w:t>
        <w:br/>
        <w:t>Autres références</w:t>
        <w:br/>
        <w:t>OCDE. Paris. Site Internet : Normes de financement du développement. http://www.oecd.org/dac/financing-sustainable-development/development-finance-</w:t>
        <w:br/>
        <w:t xml:space="preserve">normes/ </w:t>
        <w:br/>
        <w:t>Exemples de pays</w:t>
        <w:br/>
        <w:t>N/D</w:t>
        <w:br/>
        <w:t>Ce document a été préparé sur la base des contributions de l'Organisation de coopération et de développement économiques (OCDE).</w:t>
        <w:br/>
        <w:t>Pour obtenir des informations sur les points focaux pour cet indicateur, veuillez visiter https://unstats.un.org/sdgs/dataContacts/</w:t>
      </w:r>
    </w:p>
    <w:p>
      <w:pPr>
        <w:pStyle w:val="Heading2"/>
      </w:pPr>
      <w:r>
        <w:t>Page 255</w:t>
      </w:r>
    </w:p>
    <w:p>
      <w:r>
        <w:t>Texte d'en-tête</w:t>
        <w:br/>
        <w:t>Texte de pied de page</w:t>
        <w:br/>
        <w:t>Indicateur 9.b.1</w:t>
        <w:br/>
        <w:t>Page d'accueil du manuel électronique</w:t>
        <w:br/>
        <w:t xml:space="preserve"> </w:t>
        <w:br/>
        <w:t>Nom de l’indicateur, cible et objectif</w:t>
        <w:br/>
        <w:t>Définition et justification</w:t>
        <w:br/>
        <w:t>Sources de données et méthode de collecte</w:t>
        <w:br/>
        <w:t>Méthode de calcul et autres considérations méthodologiques</w:t>
        <w:br/>
        <w:t>Contenu</w:t>
        <w:br/>
        <w:t>Nom de l’indicateur, cible et objectif</w:t>
        <w:br/>
        <w:t>Définition et justification</w:t>
        <w:br/>
        <w:t>Sources de données et méthode de collecte</w:t>
        <w:br/>
        <w:t>Méthode de calcul et autres considérations méthodologiques</w:t>
        <w:br/>
        <w:t>Désagrégation des données</w:t>
        <w:br/>
        <w:t>Références</w:t>
        <w:br/>
        <w:t>Organisation(s) internationale(s) de surveillance mondiale</w:t>
        <w:br/>
        <w:t xml:space="preserve"> Indicateur 9.b.1 : Proportion de la valeur ajoutée des industries de moyenne et haute technologie dans la valeur ajoutée totale</w:t>
        <w:br/>
        <w:t xml:space="preserve">Cible 9.b : Soutenir le développement technologique national, la recherche et l'innovation dans les pays en développement, notamment en garantissant un environnement favorable </w:t>
        <w:br/>
        <w:t>environnement politique pour, entre autres, la diversification industrielle et la valeur ajoutée des produits de base</w:t>
        <w:br/>
        <w:t>Objectif 9 : Construire des infrastructures résilientes, promouvoir une industrialisation inclusive et durable et favoriser l’innovation</w:t>
        <w:br/>
        <w:t>Définition :</w:t>
        <w:br/>
        <w:t xml:space="preserve">Cet indicateur est défini comme le pourcentage des industries de moyenne-haute et haute technologie (MHT) par rapport à la valeur ajoutée totale de l'ensemble du secteur manufacturier. </w:t>
        <w:br/>
        <w:t xml:space="preserve">industries </w:t>
        <w:br/>
        <w:t>Concepts :</w:t>
        <w:br/>
        <w:t xml:space="preserve">La valeur ajoutée d’une industrie (valeur ajoutée de l’industrie) est un concept d’enquête qui fait référence à la production nette d’une industrie donnée dérivée de la </w:t>
        <w:br/>
        <w:t xml:space="preserve">différence entre la production brute et la consommation intermédiaire. Le secteur manufacturier est défini selon l’International Standard Industrial  </w:t>
        <w:br/>
        <w:t xml:space="preserve">Nomenclature de toutes les activités économiques (CITI) révision 3 (1990) ou révision 4 (2008). Il fait référence aux industries appartenant au secteur D en révision 3 ou </w:t>
        <w:br/>
        <w:t xml:space="preserve">secteur C dans la révision 4. </w:t>
        <w:br/>
        <w:t xml:space="preserve">La classification technologique est basée sur les dépenses de recherche et développement (R&amp;D) par rapport à la valeur ajoutée, autrement appelée R&amp;D. </w:t>
        <w:br/>
        <w:t xml:space="preserve">intensité.  Les données sur l’intensité de R&amp;D sont présentées dans un rapport (Galindo-Rueda et Verger, 2016) publié par l’OCDE en 2016, qui </w:t>
        <w:br/>
        <w:t xml:space="preserve">propose une taxonomie pour les groupes industriels avec différentes gammes de dépenses de R&amp;D par rapport à leur valeur ajoutée brute. Les industries MHT ont </w:t>
        <w:br/>
        <w:t xml:space="preserve">traditionnellement définie exclusivement pour les industries manufacturières. Cependant, des efforts ont été récemment déployés (Galindo-Rueda et Verger, 2016) pour </w:t>
        <w:br/>
        <w:t xml:space="preserve">étendre également la définition aux industries non manufacturières. Néanmoins, les secteurs de moyenne-haute et haute technologie, également dans le nouveau papier, sont </w:t>
        <w:br/>
        <w:t>principalement représenté par les industries manufacturières.</w:t>
        <w:br/>
        <w:t>Les industries manufacturières MHT font référence à tous les sous-codes des codes ISIC suivants :</w:t>
        <w:br/>
        <w:t>(1)    CITI Rév. 4 – 20, 21, 252, 26, 27, 28, 29, 30 (à l'exclusion de 301), 325 ; ou</w:t>
        <w:br/>
        <w:t xml:space="preserve">(2)    CITI Rév. 3 –24, 29, 30, 31, 32, 33, 34, 35 (à l'exclusion de 351). </w:t>
        <w:br/>
        <w:t>Justification et interprétation :</w:t>
        <w:br/>
        <w:t xml:space="preserve">Le développement industriel implique généralement une transition structurelle des activités basées sur les ressources et à faible technologie vers les activités MHT. Moderne, hautement </w:t>
        <w:br/>
        <w:t>les structures de production complexes offrent de meilleures opportunités de développement des compétences et d’innovation technologique. Les activités MHT sont considérées comme hautement</w:t>
        <w:br/>
        <w:t xml:space="preserve">industries à valeur ajoutée avec une intensité technologique et une productivité du travail plus élevées. En suivant cet indicateur, le niveau de technologie nationale, ainsi que </w:t>
        <w:br/>
        <w:t xml:space="preserve">ainsi que celui de la recherche et de l'innovation. </w:t>
        <w:br/>
        <w:t>Une part croissante du MHT reflète le progrès technologique national grâce à des impacts plus élevés de l’innovation.</w:t>
        <w:br/>
        <w:t xml:space="preserve">Les données pour cet indicateur sont compilées par les offices nationaux de statistique, les ministères des finances ou de l'économie, dans le cadre de leur comptabilité nationale. </w:t>
        <w:br/>
        <w:t>activités. Il est fortement recommandé d'utiliser le système de comptabilité nationale (2008) et de suivre l'activité économique au moins selon la CITI à 3 chiffres.</w:t>
      </w:r>
    </w:p>
    <w:p>
      <w:pPr>
        <w:pStyle w:val="Heading2"/>
      </w:pPr>
      <w:r>
        <w:t>Page 256</w:t>
      </w:r>
    </w:p>
    <w:p>
      <w:r>
        <w:t>Texte d'en-tête</w:t>
        <w:br/>
        <w:t>Texte de pied de page</w:t>
        <w:br/>
        <w:t>Désagrégation des données</w:t>
        <w:br/>
        <w:t>Références</w:t>
        <w:br/>
        <w:t>Organisation(s) internationale(s) de surveillance mondiale</w:t>
        <w:br/>
        <w:t>Méthode de calcul :</w:t>
        <w:br/>
        <w:t>La contribution en pourcentage du MHT à la MVA totale peut être calculée comme : (P )MHT</w:t>
        <w:br/>
        <w:t xml:space="preserve"> </w:t>
        <w:br/>
        <w:t>Commentaires et limites :</w:t>
        <w:br/>
        <w:t>La valeur ajoutée par l'activité économique doit être déclarée au moins selon la CITI à 3 chiffres pour la compilation des valeurs MHT.</w:t>
        <w:br/>
        <w:t>Indicateurs proxy, alternatifs et supplémentaires : N/A</w:t>
        <w:br/>
        <w:t>Aucune ventilation n’est disponible pour cet indicateur.</w:t>
        <w:br/>
        <w:t>URL officielle des métadonnées ODD</w:t>
        <w:br/>
        <w:t xml:space="preserve">https://unstats.un.org/sdgs/metadata/files/Metadata-09-0B-01.pdf  </w:t>
        <w:br/>
        <w:t>Méthodologie reconnue au niveau international et URL des lignes directrices</w:t>
        <w:br/>
        <w:t>https://www.unido.org/resources/publications/cross-cutting-services/industrial-statistics-guidelines-and-methodology</w:t>
        <w:br/>
        <w:t>Autres références</w:t>
        <w:br/>
        <w:t>ONUDI (2010). Vienne. Disponible sur : Statistiques industrielles : lignes directrices et méthodologie. https://www.unido.org/resources/publications/cross-cutting-</w:t>
        <w:br/>
        <w:t>services/statistiques-industrielles-lignes directrices-et-méthodologie</w:t>
        <w:br/>
        <w:t>ONUDI (2013). Vienne. Disponible sur : La compétitivité industrielle des nations : regarder en arrière, aller de l’avant. https://www.unido.org/sites/default</w:t>
        <w:br/>
        <w:t>/files/2013-07/Competitive_Industrial_Performance_Report_UNIDO_2012_2013_0.PDF</w:t>
        <w:br/>
        <w:t xml:space="preserve">ONUDI (2016). Rapport sur le développement industriel 2016 : Le rôle de la technologie et de l'innovation dans une industrie inclusive et durable </w:t>
        <w:br/>
        <w:t>Vienne. Disponible sur : Développement. https://www.unido.org/sites/default/files/2015-12/EBOOK_IDR2016_FULLREPORT_0.pdf</w:t>
        <w:br/>
        <w:t xml:space="preserve">ONUDI (2018).  Statistiques industrielles. www.unido.org/statistiques </w:t>
        <w:br/>
        <w:t>DSNU (2008). New York. Disponible sur : Classification internationale type, par industrie, de toutes les activités économiques (CITI), Rév. 4. https://unstats.un.</w:t>
        <w:br/>
        <w:t>org/unsd/publication/seriesm/seriesm_4rev4e.pdf</w:t>
        <w:br/>
        <w:t>DSNU (2008). New York. Disponible sur : Méthodologie pour la base de données des principaux agrégats des comptes nationaux. https://unstats.un.org/unsd/snaama</w:t>
        <w:br/>
        <w:t>/méthodologie.pdf</w:t>
        <w:br/>
        <w:t>Galindo-Rueda, F. et F. Verger (2016). Taxonomie de l'OCDE des activités économiques fondée sur l'intensité de la R&amp;D, OCDE Science,</w:t>
        <w:br/>
        <w:t xml:space="preserve">Documents de travail sur la technologie et l'industrie, 2016/04, Éditions OCDE, Paris. Disponible sur : http://dx.doi.org/10.1787/5jlv73sqqp8r-en </w:t>
        <w:br/>
        <w:t xml:space="preserve">Exemples de pays </w:t>
        <w:br/>
        <w:t>N/D</w:t>
        <w:br/>
        <w:t>Ce document a été préparé sur la base des contributions de l'Organisation des Nations Unies pour le développement industriel (ONUDI).</w:t>
        <w:br/>
        <w:t>Pour obtenir des informations sur les points focaux pour cet indicateur, veuillez visiter https://unstats.un.org/sdgs/dataContacts/</w:t>
      </w:r>
    </w:p>
    <w:p>
      <w:pPr>
        <w:pStyle w:val="Heading2"/>
      </w:pPr>
      <w:r>
        <w:t>Page 257</w:t>
      </w:r>
    </w:p>
    <w:p>
      <w:r>
        <w:t>Texte d'en-tête</w:t>
        <w:br/>
        <w:t>Texte de pied de page</w:t>
        <w:br/>
        <w:t>Indicateur 9.c.1</w:t>
        <w:br/>
        <w:t>Page d'accueil du manuel électronique</w:t>
        <w:br/>
        <w:t xml:space="preserve"> </w:t>
        <w:br/>
        <w:t>Nom de l’indicateur, cible et objectif</w:t>
        <w:br/>
        <w:t>Définition et justification</w:t>
        <w:br/>
        <w:t>Sources de données et méthode de collecte</w:t>
        <w:br/>
        <w:t>Méthode de calcul et autres considérations méthodologiques</w:t>
        <w:br/>
        <w:t>Contenu</w:t>
        <w:br/>
        <w:t>Nom de l’indicateur, cible et objectif</w:t>
        <w:br/>
        <w:t>Définition et justification</w:t>
        <w:br/>
        <w:t>Sources de données et méthode de collecte</w:t>
        <w:br/>
        <w:t>Méthode de calcul et autres considérations méthodologiques</w:t>
        <w:br/>
        <w:t>Désagrégation des données</w:t>
        <w:br/>
        <w:t>Références</w:t>
        <w:br/>
        <w:t>Organisation(s) internationale(s) de surveillance mondiale</w:t>
        <w:br/>
        <w:t xml:space="preserve"> Indicateur 9.c.1 : Proportion de la population couverte par un réseau mobile, par technologie</w:t>
        <w:br/>
        <w:t xml:space="preserve">Cible 9.c : Augmenter considérablement l'accès aux technologies de l'information et des communications et s'efforcer de fournir un accès universel et abordable à </w:t>
        <w:br/>
        <w:t>Internet dans les pays les moins avancés d’ici 2020</w:t>
        <w:br/>
        <w:t>Objectif 9 : Construire des infrastructures résilientes, promouvoir une industrialisation inclusive et durable et favoriser l’innovation</w:t>
        <w:br/>
        <w:t xml:space="preserve"> </w:t>
        <w:br/>
        <w:t>Définition :</w:t>
        <w:br/>
        <w:t xml:space="preserve">Cet indicateur est défini comme le pourcentage d'habitants vivant à portée d'un signal cellulaire mobile (2G, 3G ou LTE), indépendamment du fait que </w:t>
        <w:br/>
        <w:t xml:space="preserve">ce ne sont pas des abonnés ou des utilisateurs de téléphonie mobile. </w:t>
        <w:br/>
        <w:t>Concepts :</w:t>
        <w:br/>
        <w:t>La couverture de la population 2G fait référence à la population ayant accès uniquement aux réseaux mobiles avec des communications de données à des vitesses descendantes inférieures à 256 Kbits.</w:t>
        <w:br/>
        <w:t xml:space="preserve">/s. Cela inclut les technologies cellulaires mobiles telles que GPRS, CDMA2000 1x et la plupart des implémentations EDGE. </w:t>
        <w:br/>
        <w:t xml:space="preserve">La couverture de la population 3G fait référence à la population ayant accès aux signaux cellulaires mobiles 3G. Cela inclut les technologies cellulaires mobiles telles que HSPA, </w:t>
        <w:br/>
        <w:t xml:space="preserve">UMTS et EV-DO. Il exclut les personnes couvertes uniquement par GPRS, EDGE ou CDMA 1xRTT. </w:t>
        <w:br/>
        <w:t>La couverture de la population LTE fait référence à la population ayant accès au LTE/LTE-Advanced, au WiMAX/WirelessMAN mobile ou à d'autres services mobiles plus avancés.</w:t>
        <w:br/>
        <w:t xml:space="preserve">réseaux cellulaires. Il exclut les personnes couvertes uniquement par les technologies HSPA, UMTS, EV-DO et 3G précédentes, et exclut également le WiMAX fixe. </w:t>
        <w:br/>
        <w:t xml:space="preserve">couverture. </w:t>
        <w:br/>
        <w:t>Justification et interprétation :</w:t>
        <w:br/>
        <w:t xml:space="preserve">Le pourcentage de la population couverte par un réseau mobile peut être considéré comme un indicateur de référence pour l'accès aux TIC, car il mesure la possibilité de </w:t>
        <w:br/>
        <w:t xml:space="preserve">abonnez-vous et utilisez des services cellulaires pour la communication. À mesure que les réseaux mobiles se développent, de plus en plus de personnes bénéficient de telles opportunités d'abonnement. </w:t>
        <w:br/>
        <w:t xml:space="preserve">surmonter les obstacles liés aux infrastructures de base présentés par les réseaux de téléphonie fixe (fixe). Répartition par offres technologiques (2G, 3G et LTE) </w:t>
        <w:br/>
        <w:t xml:space="preserve">mesures indirectes de l'accès à différents types de services cellulaires, tels que la voix uniquement (pour la 2G) et l'accès de plus en plus haut débit à Internet </w:t>
        <w:br/>
        <w:t xml:space="preserve">et d'autres services basés sur les données (pour 3G et LTE). Cet indicateur donne donc un aperçu direct du niveau de fracture numérique qui prévaut dans un pays, </w:t>
        <w:br/>
        <w:t xml:space="preserve">et aiderait à concevoir des politiques ciblées pour surmonter les obstacles infrastructurels restants. </w:t>
        <w:br/>
        <w:t xml:space="preserve">Ces données peuvent être collectées auprès d'opérateurs de téléphonie mobile agréés. Dans les cas où les opérateurs ont différents niveaux et emplacements de couverture, ils </w:t>
        <w:br/>
        <w:t>Il devrait être demandé de fournir les cartes de couverture de chaque opérateur, qui peuvent être superposées avec des cartes montrant la population du pays.</w:t>
      </w:r>
    </w:p>
    <w:p>
      <w:pPr>
        <w:pStyle w:val="Heading2"/>
      </w:pPr>
      <w:r>
        <w:t>Page 258</w:t>
      </w:r>
    </w:p>
    <w:p>
      <w:r>
        <w:t>Texte d'en-tête</w:t>
        <w:br/>
        <w:t>Texte de pied de page</w:t>
        <w:br/>
        <w:t>Désagrégation des données</w:t>
        <w:br/>
        <w:t>Références</w:t>
        <w:br/>
        <w:t>Organisation(s) internationale(s) de surveillance mondiale</w:t>
        <w:br/>
        <w:t>Méthode de calcul :</w:t>
        <w:br/>
        <w:t>Le pourcentage d'habitants vivant à portée d'un signal cellulaire mobile (2G, 3G ou LTE) est calculé comme : (P )mob</w:t>
        <w:br/>
        <w:t>Commentaires et limites :</w:t>
        <w:br/>
        <w:t xml:space="preserve">L'indicateur est basé sur le lieu de résidence de la population, et non sur celui où elle travaille, fréquente l'école, etc. Lorsqu'il existe plusieurs opérateurs proposant le </w:t>
        <w:br/>
        <w:t xml:space="preserve">service, le nombre maximum de personnes couvertes doit être déclaré. </w:t>
        <w:br/>
        <w:t xml:space="preserve">Dans certains pays, les données se réfèrent uniquement à l'opérateur ayant la plus grande couverture. Dans de tels cas, la couverture pourrait être sous-estimée. </w:t>
        <w:br/>
        <w:t>Indicateurs proxy, alternatifs et supplémentaires : N/A</w:t>
        <w:br/>
        <w:t xml:space="preserve">Cet indicateur doit être ventilé par technologie (2G, 3G et LTE). Il peut être ventilé par emplacement (rural/urbain). </w:t>
        <w:br/>
        <w:t>URL officielle des métadonnées ODD</w:t>
        <w:br/>
        <w:t xml:space="preserve">https://unstats.un.org/sdgs/metadata/files/Metadata-09-0C-01.pdf  </w:t>
        <w:br/>
        <w:t>Méthodologie reconnue au niveau international et URL des lignes directrices</w:t>
        <w:br/>
        <w:t>https://www.itu.int/dms_pub/itu-d/opb/ind/D-IND-ITC_IND_HBK-2011-PDF-E.pdf</w:t>
        <w:br/>
        <w:t>Autres références</w:t>
        <w:br/>
        <w:t>UIT (2011). Genève. Disponible sur : Manuel pour la collecte de données administratives sur les télécommunications/TIC. https://www.itu.int/dms_pub</w:t>
        <w:br/>
        <w:t>/itu-d/opb/ind/D-IND-ITC_IND_HBK-2011-PDF-E.pdf</w:t>
        <w:br/>
        <w:t xml:space="preserve">UIT. Genève. Site Internet : Portail des statistiques des TIC. https://www.itu.int/en/ITU-D/Statistics/Pages/default.aspx </w:t>
        <w:br/>
        <w:t xml:space="preserve">Exemples de pays </w:t>
        <w:br/>
        <w:t>N/D</w:t>
        <w:br/>
        <w:t>Ce document a été préparé sur la base des contributions de l'Union internationale des télécommunications (UIT).</w:t>
        <w:br/>
        <w:t>Pour obtenir des informations sur les points focaux pour cet indicateur, veuillez visiter https://unstats.un.org/sdgs/dataContacts/</w:t>
      </w:r>
    </w:p>
    <w:p>
      <w:pPr>
        <w:pStyle w:val="Heading2"/>
      </w:pPr>
      <w:r>
        <w:t>Page 259</w:t>
      </w:r>
    </w:p>
    <w:p>
      <w:r>
        <w:t>Texte d'en-tête</w:t>
        <w:br/>
        <w:t>Texte de pied de page</w:t>
        <w:br/>
        <w:t>Objectif 10</w:t>
        <w:br/>
        <w:t>Réduire les inégalités au sein et entre les pays</w:t>
        <w:br/>
        <w:t xml:space="preserve">  Page d'accueil du manuel électronique</w:t>
        <w:br/>
        <w:t>Dans cet objectif :</w:t>
        <w:br/>
        <w:t xml:space="preserve">La Division de statistique des Nations Unies (DSNU) a travaillé en consultation avec l'agence(s) dépositaire(s) de chaque indicateur pour préparer ces chapitres. Pour </w:t>
        <w:br/>
        <w:t>les indicateurs qui n’ont pas encore de chapitre ici, sont en cours de préparation et seront téléchargés ici dès qu’ils seront disponibles.</w:t>
        <w:br/>
        <w:t>Si vous avez des questions sur le manuel électronique, n'hésitez pas à contacter M. Yuxi Zhang ( yuxi.zhang@un.org) avec copie à M. Ze Yar Min (min@</w:t>
        <w:br/>
        <w:t>.un.org)</w:t>
      </w:r>
    </w:p>
    <w:p>
      <w:pPr>
        <w:pStyle w:val="Heading2"/>
      </w:pPr>
      <w:r>
        <w:t>Page 260</w:t>
      </w:r>
    </w:p>
    <w:p>
      <w:r>
        <w:t>Texte d'en-tête</w:t>
        <w:br/>
        <w:t>Texte de pied de page</w:t>
        <w:br/>
        <w:t>Indicateur 10.4.1</w:t>
        <w:br/>
        <w:t>Page d'accueil du manuel électronique</w:t>
        <w:br/>
        <w:t>Nom de l’indicateur, cible et objectif</w:t>
        <w:br/>
        <w:t>Définition et justification</w:t>
        <w:br/>
        <w:t>Sources de données et méthode de collecte</w:t>
        <w:br/>
        <w:t>Méthode de calcul et autres considérations méthodologiques</w:t>
        <w:br/>
        <w:t>Contenu</w:t>
        <w:br/>
        <w:t>Nom de l’indicateur, cible et objectif</w:t>
        <w:br/>
        <w:t>Définition et justification</w:t>
        <w:br/>
        <w:t>Sources de données et méthode de collecte</w:t>
        <w:br/>
        <w:t>Méthode de calcul et autres considérations méthodologiques</w:t>
        <w:br/>
        <w:t>Désagrégation des données</w:t>
        <w:br/>
        <w:t>Références</w:t>
        <w:br/>
        <w:t>Organisation(s) internationale(s) de surveillance mondiale</w:t>
        <w:br/>
        <w:t xml:space="preserve"> Indicateur 10.4.1 : Part du travail dans le PIB </w:t>
        <w:br/>
        <w:t>Cible 10.4 : Adopter des politiques, en particulier des politiques budgétaires, salariales et de protection sociale, et parvenir progressivement à une plus grande égalité</w:t>
        <w:br/>
        <w:t>Objectif 10 : Réduire les inégalités au sein et entre les pays</w:t>
        <w:br/>
        <w:t>Définition :</w:t>
        <w:br/>
        <w:t xml:space="preserve">Cet indicateur est défini comme la rémunération totale de tous les salariés d'un pays en proportion de son PIB. </w:t>
        <w:br/>
        <w:t>Concepts :</w:t>
        <w:br/>
        <w:t xml:space="preserve">La rémunération des salariés est la rémunération totale en espèces ou en nature payable au salarié par l'entreprise pour le travail effectué par l'entreprise. </w:t>
        <w:br/>
        <w:t xml:space="preserve">salarié au cours de la période comptable. Il comprend les salaires et traitements (en espèces ou en nature) et les cotisations de sécurité sociale payables par </w:t>
        <w:br/>
        <w:t xml:space="preserve">employeurs. Tout travail non rémunéré ou bénévole est compté comme une rémunération nulle aux fins de cet indicateur. De plus, il n'inclut pas les taxes </w:t>
        <w:br/>
        <w:t xml:space="preserve">payables par les employeurs sur la masse salariale, comme les charges sociales. </w:t>
        <w:br/>
        <w:t xml:space="preserve">Le produit intérieur brut (PIB) est la mesure de la valeur monétaire des biens et services finaux achetés par l'utilisateur final, qui sont </w:t>
        <w:br/>
        <w:t xml:space="preserve">produits sur un territoire/pays économique dans un temps donné.  Il est calculé sans déduction pour amortissement des actifs fabriqués ou pour </w:t>
        <w:br/>
        <w:t>l'épuisement et la dégradation des ressources naturelles. Elle peut être mesurée soit par :</w:t>
        <w:br/>
        <w:t>(1)    La méthode des dépenses – la somme des dépenses consacrées à la consommation finale, à la formation brute de capital et aux exportations nettes ; ou</w:t>
        <w:br/>
        <w:t>(2)    La méthode de production – la valeur des produits finaux moins toute consommation intermédiaire, plus les impôts nets (impôts moins subventions) ; ou</w:t>
        <w:br/>
        <w:t xml:space="preserve">(3)    L'approche par le revenu – la somme de la rémunération des salariés, de l'excédent brut d'exploitation, des revenus mixtes bruts et des impôts nets sur les deux </w:t>
        <w:br/>
        <w:t xml:space="preserve">production et importations. </w:t>
        <w:br/>
        <w:t xml:space="preserve">Les salariés sont toutes les personnes physiques titulaires de contrats de travail explicites ou implicites, sur la base desquels ils perçoivent une rémunération de base non directement </w:t>
        <w:br/>
        <w:t xml:space="preserve">dépendent des revenus de l'entreprise pour laquelle ils travaillent. Cet indicateur n'inclut pas les revenus du travail des travailleurs indépendants. </w:t>
        <w:br/>
        <w:t>Justification et interprétation :</w:t>
        <w:br/>
        <w:t xml:space="preserve">Cet indicateur mesure la part relative du PIB qui revient aux salariés par rapport à la part qui revient au capital dans un contexte donné. </w:t>
        <w:br/>
        <w:t xml:space="preserve">année. Cela reflète la mesure dans laquelle la croissance économique se traduit par des revenus plus élevés pour les salariés au fil du temps. Augmentation de la production et du PIB </w:t>
        <w:br/>
        <w:t xml:space="preserve">conduisent souvent à une amélioration du niveau de vie des individus dans l’économie, mais cela dépendra de la répartition des revenus réels et des politiques publiques. </w:t>
        <w:br/>
        <w:t>entre autres facteurs. Cet indicateur est donc important pour comprendre les progrès réalisés par un pays vers une plus grande égalité.</w:t>
        <w:br/>
        <w:t xml:space="preserve">La principale source de données recommandée pour cet indicateur est les estimations des comptes nationaux du PIB et de la rémunération des salariés. Ce sont </w:t>
        <w:br/>
        <w:t>produits par les bureaux nationaux de statistique des pays et devraient de préférence suivre la révision de 2008 du Système de comptabilité nationale (SCN 2008).</w:t>
      </w:r>
    </w:p>
    <w:p>
      <w:pPr>
        <w:pStyle w:val="Heading2"/>
      </w:pPr>
      <w:r>
        <w:t>Page 261</w:t>
      </w:r>
    </w:p>
    <w:p>
      <w:r>
        <w:t>Texte d'en-tête</w:t>
        <w:br/>
        <w:t>Texte de pied de page</w:t>
        <w:br/>
        <w:t>Désagrégation des données</w:t>
        <w:br/>
        <w:t>Références</w:t>
        <w:br/>
        <w:t>Organisation(s) internationale(s) de surveillance mondiale</w:t>
        <w:br/>
        <w:t>Méthode de calcul :</w:t>
        <w:br/>
        <w:t>Cet indicateur peut être calculé à l'aide de la formule suivante :</w:t>
        <w:br/>
        <w:t xml:space="preserve"> </w:t>
        <w:br/>
        <w:t>Commentaires et limites :</w:t>
        <w:br/>
        <w:t xml:space="preserve">La part du travail dans le PIB sous-estime la proportion du PIB accumulé dans l’emploi total car elle ne couvre que la rémunération des salariés et </w:t>
        <w:br/>
        <w:t xml:space="preserve">n’inclut pas le revenu du travail des travailleurs indépendants. Par conséquent, pour les pays où la proportion de travailleurs indépendants est plus importante, cet indicateur </w:t>
        <w:br/>
        <w:t xml:space="preserve">il faudra peut-être l'ajuster. </w:t>
        <w:br/>
        <w:t xml:space="preserve">Lors de l'utilisation des comptes nationaux pour calculer cet indicateur, il convient de préciser la définition du concept de rémunération des salariés utilisée. </w:t>
        <w:br/>
        <w:t xml:space="preserve">Par contre, si un autre concept de salaire ou de revenu du travail est utilisé, il doit être clairement indiqué. </w:t>
        <w:br/>
        <w:t>Indicateurs proxy, alternatifs et supplémentaires : N/A</w:t>
        <w:br/>
        <w:t>N/D</w:t>
        <w:br/>
        <w:t xml:space="preserve">URL officielle des métadonnées ODD </w:t>
        <w:br/>
        <w:t xml:space="preserve">https://unstats.un.org/sdgs/metadata/files/Metadata-10-04-01.pdf  </w:t>
        <w:br/>
        <w:t>Méthodologie reconnue au niveau international et URL des lignes directrices</w:t>
        <w:br/>
        <w:t xml:space="preserve">N/D </w:t>
        <w:br/>
        <w:t>Autres références</w:t>
        <w:br/>
        <w:t>OIT. Genève. Site Internet : Données et indicateurs de protection sociale de l’OIT. http://www.social-protection.org/gimi/gess/ShowTheme.action?th.</w:t>
        <w:br/>
        <w:t>themeId=10&amp;lang=FR</w:t>
        <w:br/>
        <w:t>Nations Unies (2008). New York. Disponible sur : Système de comptabilité nationale. https://unstats.un.org/unsd/nationalaccount/sna.asp</w:t>
        <w:br/>
        <w:t>OIT. Genève. Disponible sur : Indicateurs du travail décent – ​​Lignes directrices à l’intention des producteurs et des utilisateurs d’indicateurs du cadre statistique et juridique. http://www</w:t>
        <w:br/>
        <w:t>w.ilo.org/stat/Publications/WCMS_223121/lang--en/index.htm</w:t>
        <w:br/>
        <w:t xml:space="preserve">Exemples de pays </w:t>
        <w:br/>
        <w:t>N/D</w:t>
        <w:br/>
        <w:t>Ce document a été préparé sur la base des contributions de l'Organisation internationale du travail (OIT).</w:t>
        <w:br/>
        <w:t>Pour obtenir des informations sur les points focaux pour cet indicateur, veuillez visiter https://unstats.un.org/sdgs/dataContacts/</w:t>
      </w:r>
    </w:p>
    <w:p>
      <w:pPr>
        <w:pStyle w:val="Heading2"/>
      </w:pPr>
      <w:r>
        <w:t>Page 262</w:t>
      </w:r>
    </w:p>
    <w:p>
      <w:r>
        <w:t>Texte d'en-tête</w:t>
        <w:br/>
        <w:t>Texte de pied de page</w:t>
        <w:br/>
        <w:t>Indicateur 10.6.1</w:t>
        <w:br/>
        <w:t>Page d'accueil du manuel électronique</w:t>
        <w:br/>
        <w:t>Nom de l’indicateur, cible et objectif</w:t>
        <w:br/>
        <w:t>Définition et justification</w:t>
        <w:br/>
        <w:t>Sources de données et méthode de collecte</w:t>
        <w:br/>
        <w:t>Contenu</w:t>
        <w:br/>
        <w:t>Nom de l’indicateur, cible et objectif</w:t>
        <w:br/>
        <w:t>Définition et justification</w:t>
        <w:br/>
        <w:t>Sources de données et méthode de collecte</w:t>
        <w:br/>
        <w:t>Méthode de calcul et autres considérations méthodologiques</w:t>
        <w:br/>
        <w:t>Désagrégation des données</w:t>
        <w:br/>
        <w:t>Références</w:t>
        <w:br/>
        <w:t>Organisation(s) internationale(s) de surveillance mondiale</w:t>
        <w:br/>
        <w:t xml:space="preserve"> Indicateur 10.6.1 : Proportion de membres et droits de vote des pays en développement dans les organisations internationales </w:t>
        <w:br/>
        <w:t xml:space="preserve">Cible 10.6 : Assurer une représentation et une voix accrues des pays en développement dans la prise de décision dans les domaines économiques et internationaux mondiaux. </w:t>
        <w:br/>
        <w:t>institutions financières afin de créer des institutions plus efficaces, crédibles, responsables et légitimes</w:t>
        <w:br/>
        <w:t>Objectif 10 : Réduire les inégalités au sein et entre les pays</w:t>
        <w:br/>
        <w:t>Définition :</w:t>
        <w:br/>
        <w:t xml:space="preserve">Cet indicateur global est défini comme le pourcentage de membres (ou de droits de vote) dans des organisations internationales qui sont (ou appartiennent) en développement. </w:t>
        <w:br/>
        <w:t>pays. Pour les institutions dont les membres et les droits de vote sont différents, cet indicateur observe les pourcentages séparément.</w:t>
        <w:br/>
        <w:t>Concepts :</w:t>
        <w:br/>
        <w:t>Les organisations internationales comprennent les onze institutions multilatérales suivantes aux fins de cet indicateur :</w:t>
        <w:br/>
        <w:t>(1)     Assemblée générale des Nations Unies ;</w:t>
        <w:br/>
        <w:t>(2)    Conseil de sécurité de l'ONU ;</w:t>
        <w:br/>
        <w:t>(3)    Conseil économique et social des Nations Unies ;</w:t>
        <w:br/>
        <w:t>(4)    Fonds monétaire international ;</w:t>
        <w:br/>
        <w:t>(5)    Banque internationale pour la reconstruction et le développement ;</w:t>
        <w:br/>
        <w:t>(6)    Société financière internationale ;</w:t>
        <w:br/>
        <w:t>(7)    Banque africaine de développement ;</w:t>
        <w:br/>
        <w:t>(8)    Banque asiatique de développement ;</w:t>
        <w:br/>
        <w:t>(9)    Banque interaméricaine de développement ;</w:t>
        <w:br/>
        <w:t>(10) Organisation mondiale du commerce ; et</w:t>
        <w:br/>
        <w:t xml:space="preserve">(11) Conseil de stabilité financière. </w:t>
        <w:br/>
        <w:t xml:space="preserve">Il n’existe pas de convention établie pour la désignation des dans le système des Nations Unies. Mais, dans la pratique courante, les pays en développement </w:t>
        <w:br/>
        <w:t xml:space="preserve">font référence à tous les autres pays à l'exception du Japon, du Canada, des États-Unis d'Amérique, de l'Australie, de la Nouvelle-Zélande et des pays européens. Le </w:t>
        <w:br/>
        <w:t xml:space="preserve">l'agrégation de toutes les institutions est actuellement effectuée conformément à la norme statistique M.49 des Nations Unies, qui inclut la désignation des </w:t>
        <w:br/>
        <w:t xml:space="preserve">« régions développées » et « régions en développement ». </w:t>
        <w:br/>
        <w:t>Justification et interprétation :</w:t>
        <w:br/>
        <w:t xml:space="preserve">Les Nations Unies reposent sur le principe de l'égalité souveraine de tous ses États membres (article 2 de la Charte des Nations Unies). Cet indicateur vise à mesurer </w:t>
        <w:br/>
        <w:t>le degré auquel les États bénéficient d’une représentation égale dans les différentes organisations internationales.</w:t>
      </w:r>
    </w:p>
    <w:p>
      <w:pPr>
        <w:pStyle w:val="Heading2"/>
      </w:pPr>
      <w:r>
        <w:t>Page 263</w:t>
      </w:r>
    </w:p>
    <w:p>
      <w:r>
        <w:t>Texte d'en-tête</w:t>
        <w:br/>
        <w:t>Texte de pied de page</w:t>
        <w:br/>
        <w:t>Méthode de calcul et autres considérations méthodologiques</w:t>
        <w:br/>
        <w:t>Désagrégation des données</w:t>
        <w:br/>
        <w:t>Références</w:t>
        <w:br/>
        <w:t>Organisation(s) internationale(s) de surveillance mondiale</w:t>
        <w:br/>
        <w:t xml:space="preserve">Les rapports annuels de chacune des organisations internationales sont utilisés comme sources de données. Les informations sur les membres et les droits de vote sont publiées </w:t>
        <w:br/>
        <w:t>chaque année.</w:t>
        <w:br/>
        <w:t>Méthode de calcul :</w:t>
        <w:br/>
        <w:t>La formule suivante est utilisée pour chaque organisation pour calculer le pourcentage de droits de vote des pays en développement : (PV) Dev</w:t>
        <w:br/>
        <w:t xml:space="preserve"> </w:t>
        <w:br/>
        <w:t>La formule suivante est utilisée pour chaque organisation pour calculer le pourcentage de membres issus de pays en développement :(PM )Dev</w:t>
        <w:br/>
        <w:t xml:space="preserve">Les mêmes formules peuvent être utilisées pour calculer le pourcentage de membres pour chaque pays ou le pourcentage de droits de vote pour chaque pays. </w:t>
        <w:br/>
        <w:t xml:space="preserve">pays. </w:t>
        <w:br/>
        <w:t>Commentaires et limites :</w:t>
        <w:br/>
        <w:t xml:space="preserve">En tant qu'indicateur structurel, seuls de légers changements seront observés au fil du temps, reflétant un accord sur l'adhésion de nouveaux États en tant que membres, la suspension </w:t>
        <w:br/>
        <w:t xml:space="preserve">des droits de vote, le retrait des membres et les modifications négociées des droits de vote. Les comparaisons interinstitutionnelles doivent prêter attention aux </w:t>
        <w:br/>
        <w:t xml:space="preserve">différentes appartenances aux intuitions. Les droits de vote et l'adhésion à leurs institutions sont convenus par les États membres eux-mêmes. </w:t>
        <w:br/>
        <w:t>Indicateurs proxy, alternatifs et supplémentaires : N/A</w:t>
        <w:br/>
        <w:t>Comme seuls les États peuvent en être membres, il n’y a pas de ventilation par sexe, genre, âge, handicap, etc.</w:t>
        <w:br/>
        <w:t>URL officielle des métadonnées ODD</w:t>
        <w:br/>
        <w:t xml:space="preserve">https://unstats.un.org/sdgs/metadata/files/Metadata-10-06-01.pdf  </w:t>
        <w:br/>
        <w:t>Autres références</w:t>
        <w:br/>
        <w:t xml:space="preserve">https://developmentfinance.un.org/strengthening-global-governance </w:t>
        <w:br/>
        <w:t>Ce document a été préparé sur la base des contributions du Bureau de financement du développement durable, DESA.</w:t>
        <w:br/>
        <w:t>Pour obtenir des informations sur les points focaux pour cet indicateur, veuillez visiter https://unstats.un.org/sdgs/dataContacts/</w:t>
      </w:r>
    </w:p>
    <w:p>
      <w:pPr>
        <w:pStyle w:val="Heading2"/>
      </w:pPr>
      <w:r>
        <w:t>Page 264</w:t>
      </w:r>
    </w:p>
    <w:p>
      <w:r>
        <w:t>Texte d'en-tête</w:t>
        <w:br/>
        <w:t>Texte de pied de page</w:t>
        <w:br/>
        <w:t>Indicateur 10.a.1</w:t>
        <w:br/>
        <w:t>Page d'accueil du manuel électronique</w:t>
        <w:br/>
        <w:t>Nom de l’indicateur, cible et objectif</w:t>
        <w:br/>
        <w:t>Définition et justification</w:t>
        <w:br/>
        <w:t>Sources de données et méthode de collecte</w:t>
        <w:br/>
        <w:t>Méthode de calcul et autres considérations méthodologiques</w:t>
        <w:br/>
        <w:t>Contenu</w:t>
        <w:br/>
        <w:t>Nom de l’indicateur, cible et objectif</w:t>
        <w:br/>
        <w:t>Définition et justification</w:t>
        <w:br/>
        <w:t>Sources de données et méthode de collecte</w:t>
        <w:br/>
        <w:t>Méthode de calcul et autres considérations méthodologiques</w:t>
        <w:br/>
        <w:t>Désagrégation des données</w:t>
        <w:br/>
        <w:t>Références</w:t>
        <w:br/>
        <w:t>Organisation(s) internationale(s) de surveillance mondiale</w:t>
        <w:br/>
        <w:t xml:space="preserve"> Indicateur 10.a.1 : Proportion de lignes tarifaires appliquées aux importations en provenance des pays les moins avancés et des pays en développement bénéficiant de droits de douane nuls</w:t>
        <w:br/>
        <w:t xml:space="preserve">Cible 10.a : Mettre en œuvre le principe du traitement spécial et différencié en faveur des pays en développement, en particulier des pays les moins avancés, dans </w:t>
        <w:br/>
        <w:t>conformément aux accords de l'Organisation mondiale du commerce</w:t>
        <w:br/>
        <w:t>Objectif 10 : Réduire les inégalités au sein et entre les pays</w:t>
        <w:br/>
        <w:t>Définition :</w:t>
        <w:br/>
        <w:t xml:space="preserve">Cet indicateur est défini comme le pourcentage de lignes tarifaires qui correspondent à un taux de droit de 0% sur les produits importés des pays les moins avancés et </w:t>
        <w:br/>
        <w:t xml:space="preserve">pays en développement. </w:t>
        <w:br/>
        <w:t>Concepts :</w:t>
        <w:br/>
        <w:t xml:space="preserve">Le code de ligne tarifaire ou de ligne tarifaire nationale (NTL) est un code de classification appliqué aux marchandises importées/exportées. Ils </w:t>
        <w:br/>
        <w:t xml:space="preserve">suivez les systèmes harmonisés de description et de codification des marchandises (SH). Les pays peuvent personnaliser le code SH selon leurs besoins en ajoutant </w:t>
        <w:br/>
        <w:t xml:space="preserve">chiffres supplémentaires (séparés par une décimale) après les six chiffres du SH. Par exemple, 010120.10 est la ligne tarifaire nationale américaine pour les animaux de race pure vivants. </w:t>
        <w:br/>
        <w:t>ânes reproducteurs.</w:t>
        <w:br/>
        <w:t>Les groupes de pays utilisés font référence aux indicatifs de pays ou de zones standard à usage statistique (M49) adoptés par la DSNU.</w:t>
        <w:br/>
        <w:t xml:space="preserve">  .https://unstats.un.org/unsd/methodology/m49/</w:t>
        <w:br/>
        <w:t>Justification et interprétation :</w:t>
        <w:br/>
        <w:t xml:space="preserve">Cet indicateur mesure l'étendue du traitement différentiel entre les pays en développement et les pays les moins avancés (PMA) qui a été mis en œuvre, par </w:t>
        <w:br/>
        <w:t xml:space="preserve">en observant le niveau de libre accès dont ils disposent aux marchés internationaux. Au fil du temps, cet indicateur montrera les progrès réalisés dans la suppression progressive des taux de droits de douane. </w:t>
        <w:br/>
        <w:t xml:space="preserve">sur les marchandises en provenance des pays en développement et des PMA. </w:t>
        <w:br/>
        <w:t xml:space="preserve">Les données tarifaires pour le calcul de cet indicateur sont extraites du Centre du commerce international (ITC), Conférence des Nations Unies sur le commerce et le développement. </w:t>
        <w:br/>
        <w:t xml:space="preserve">(CNUCED) et les bases de données de l’Organisation mondiale du commerce (OMC). Les données au niveau des lignes tarifaires sont collectées directement auprès des bureaux nationaux de statistique, </w:t>
        <w:br/>
        <w:t xml:space="preserve">missions permanentes des pays auprès de l'ONU, des organisations régionales ou des points focaux au sein des douanes ou des ministères en charge des recettes douanières </w:t>
        <w:br/>
        <w:t>(par exemple ministère de l’économie ou des finances, etc.).</w:t>
        <w:br/>
        <w:t xml:space="preserve">Les données commerciales utilisées pour déterminer si des échanges ont lieu au niveau de la ligne tarifaire sont extraites de la consultation des données fournies via le </w:t>
        <w:br/>
        <w:t>bases de données commerciales suivantes : ITC Trade Map ( ), OMC IDB et UNSD COMTRADE.www.trademap.org</w:t>
      </w:r>
    </w:p>
    <w:p>
      <w:pPr>
        <w:pStyle w:val="Heading2"/>
      </w:pPr>
      <w:r>
        <w:t>Page 265</w:t>
      </w:r>
    </w:p>
    <w:p>
      <w:r>
        <w:t>Texte d'en-tête</w:t>
        <w:br/>
        <w:t>Texte de pied de page</w:t>
        <w:br/>
        <w:t>Désagrégation des données</w:t>
        <w:br/>
        <w:t>Références</w:t>
        <w:br/>
        <w:t>Organisation(s) internationale(s) de surveillance mondiale</w:t>
        <w:br/>
        <w:t>Méthode de calcul :</w:t>
        <w:br/>
        <w:t xml:space="preserve">Le calcul de cet indicateur est un rapport simple du nombre total de produits importés pouvant bénéficier des importations en franchise de droits de douane. </w:t>
        <w:br/>
        <w:t xml:space="preserve">pays en développement ou pays les moins avancés et le nombre total de produits importés des pays en développement ou des pays les moins avancés </w:t>
        <w:br/>
        <w:t xml:space="preserve">pays. Le nombre de produits est représenté par le nombre de lignes tarifaires. L’indicateur est calculé hors armes et pétrole. Le pourcentage </w:t>
        <w:br/>
        <w:t>des lignes tarifaires qui correspondent à un taux de droit de 0% sur les produits importés des pays les moins avancés et en développement (P ) est alors calculé comme suit : zéro</w:t>
        <w:br/>
        <w:t>Commentaires et limites :</w:t>
        <w:br/>
        <w:t xml:space="preserve">Les mesures de traitement différencié fondées sur les tarifs ne sont pas précises, mais de meilleures mesures ne sont pas disponibles. Ce ne sont là qu’une partie des limitations commerciales </w:t>
        <w:br/>
        <w:t xml:space="preserve">facteurs, en particulier lorsqu’on examine les exportations des pays en développement ou des pays les moins avancés bénéficiant d’un traitement préférentiel non réciproque qui fixe des critères </w:t>
        <w:br/>
        <w:t xml:space="preserve">pour l’éligibilité. </w:t>
        <w:br/>
        <w:t xml:space="preserve">Le traitement préférentiel ne peut pas être utilisé par les exportateurs des pays en développement et des PMA pour des raisons telles que l'incapacité de satisfaire aux critères d'éligibilité (c.-à-d. </w:t>
        <w:br/>
        <w:t xml:space="preserve">respectant les règles d'origine). Comme il n'existe pas d'informations statistiques précises sur l'étendue de l'utilisation réelle de ces prestations, on suppose </w:t>
        <w:br/>
        <w:t xml:space="preserve">qu'ils soient pleinement utilisés. </w:t>
        <w:br/>
        <w:t xml:space="preserve">La franchise de droits est un indicateur de l'accès au marché, mais n'est pas toujours synonyme de traitement préférentiel pour les pays bénéficiaires. C'est </w:t>
        <w:br/>
        <w:t xml:space="preserve">parce que les tarifs des nations les plus favorisées (NPF) sont déjà à des niveaux proches de zéro, en particulier pour les carburants, les minéraux et les produits informatiques. </w:t>
        <w:br/>
        <w:t>Indicateurs proxy, alternatifs et complémentaires :</w:t>
        <w:br/>
        <w:t xml:space="preserve">(alternative) Un indicateur similaire a été calculé pour la proportion de la valeur des importations en provenance des pays en développement et des PMA admises en franchise de droits. </w:t>
        <w:br/>
        <w:t xml:space="preserve">OMD (indicateur 8.6), mais n’est pas actuellement calculé pour le processus des ODD. Dans ce cas, la valeur des importations pouvant accéder en franchise de droits est calculée </w:t>
        <w:br/>
        <w:t>au lieu de compter le nombre de lignes tarifaires pouvant être importées en franchise de droits.</w:t>
        <w:br/>
        <w:t xml:space="preserve">Cet indicateur peut être ventilé par secteur de produits, zones géographiques et niveau de revenu du pays. </w:t>
        <w:br/>
        <w:t xml:space="preserve">URL officielle des métadonnées ODD </w:t>
        <w:br/>
        <w:t xml:space="preserve">https://unstats.un.org/sdgs/metadata/files/Metadata-10-0A-01.pdf  </w:t>
        <w:br/>
        <w:t>Méthodologie reconnue au niveau international et URL des lignes directrices</w:t>
        <w:br/>
        <w:t>N/D</w:t>
        <w:br/>
        <w:t>Autres références</w:t>
        <w:br/>
        <w:t>CCI. Site Internet : Carte d'accès au marché. http://www.macmap.org/</w:t>
        <w:br/>
        <w:t>OMC. Site Internet : Service d'analyse tarifaire en ligne. https://tao.wto.org/welcome.aspx?ReturnUrl=%2f</w:t>
        <w:br/>
        <w:t>CNUCED. ^ "Système d'information et d'analyse commerciale (TRAINS)". http://unctad.org/en/Pages/DITC/Trade-Analysis/Non-Tariff-Measures</w:t>
        <w:br/>
        <w:t xml:space="preserve">/NTMs-trains.aspx </w:t>
        <w:br/>
        <w:t>Exemples de pays</w:t>
        <w:br/>
        <w:t>N/D</w:t>
      </w:r>
    </w:p>
    <w:p>
      <w:pPr>
        <w:pStyle w:val="Heading2"/>
      </w:pPr>
      <w:r>
        <w:t>Page 266</w:t>
      </w:r>
    </w:p>
    <w:p>
      <w:r>
        <w:t>Texte d'en-tête</w:t>
        <w:br/>
        <w:t>Texte de pied de page</w:t>
        <w:br/>
        <w:t xml:space="preserve">Ce document a été préparé sur la base des contributions du Centre du commerce international (ITC), de l'Organisation mondiale du commerce (OMC) et des Nations Unies. </w:t>
        <w:br/>
        <w:t>Conférence sur le commerce et le développement (CNUCED).</w:t>
        <w:br/>
        <w:t>Pour obtenir des informations sur les points focaux pour cet indicateur, veuillez visiter https://unstats.un.org/sdgs/dataContacts/</w:t>
      </w:r>
    </w:p>
    <w:p>
      <w:pPr>
        <w:pStyle w:val="Heading2"/>
      </w:pPr>
      <w:r>
        <w:t>Page 267</w:t>
      </w:r>
    </w:p>
    <w:p>
      <w:r>
        <w:t>Texte d'en-tête</w:t>
        <w:br/>
        <w:t>Texte de pied de page</w:t>
        <w:br/>
        <w:t>Indicateur 10.b.1</w:t>
        <w:br/>
        <w:t>Page d'accueil du manuel électronique</w:t>
        <w:br/>
        <w:t>Nom de l’indicateur, cible et objectif</w:t>
        <w:br/>
        <w:t>Définition et justification</w:t>
        <w:br/>
        <w:t>Sources de données et méthode de collecte</w:t>
        <w:br/>
        <w:t>Méthode de calcul et autres considérations méthodologiques</w:t>
        <w:br/>
        <w:t>Contenu</w:t>
        <w:br/>
        <w:t>Nom de l’indicateur, cible et objectif</w:t>
        <w:br/>
        <w:t>Définition et justification</w:t>
        <w:br/>
        <w:t>Sources de données et méthode de collecte</w:t>
        <w:br/>
        <w:t>Méthode de calcul et autres considérations méthodologiques</w:t>
        <w:br/>
        <w:t>Désagrégation des données</w:t>
        <w:br/>
        <w:t>Références</w:t>
        <w:br/>
        <w:t>Organisation(s) internationale(s) de surveillance mondiale</w:t>
        <w:br/>
        <w:t xml:space="preserve"> Indicateur 10.b.1 : Flux totaux de ressources pour le développement, par pays bénéficiaire et donateur et type de flux (par exemple, aide publique au développement, </w:t>
        <w:br/>
        <w:t xml:space="preserve">investissements directs étrangers et autres flux) </w:t>
        <w:br/>
        <w:t xml:space="preserve"> Cible 10.b : Encourager l’aide publique au développement et les flux financiers, y compris les investissements étrangers directs, vers les États qui en ont besoin </w:t>
        <w:br/>
        <w:t xml:space="preserve">les plus grands, en particulier les pays les moins avancés, les pays africains, les petits États insulaires en développement et les pays en développement sans littoral, en </w:t>
        <w:br/>
        <w:t>conformément à leurs plans et programmes nationaux</w:t>
        <w:br/>
        <w:t>Objectif 10 : Réduire les inégalités au sein et entre les pays</w:t>
        <w:br/>
        <w:t>Définition :</w:t>
        <w:br/>
        <w:t xml:space="preserve">Cet indicateur est défini comme la somme de tous les flux de ressources destinés au développement. </w:t>
        <w:br/>
        <w:t>Concepts :</w:t>
        <w:br/>
        <w:t xml:space="preserve">Les flux de ressources pour le développement comprennent l'aide publique au développement (APD), les autres flux officiels (OOF) et les flux privés, sous la forme de </w:t>
        <w:br/>
        <w:t xml:space="preserve">les investissements directs étrangers (IDE), qui se font aux conditions du marché. </w:t>
        <w:br/>
        <w:t>Le Comité d'aide au développement (CAD) définit comme étant les flux vers les pays et territoires figurant sur la liste du CAD des bénéficiaires de l'APD et l'APD.</w:t>
        <w:br/>
        <w:t>les institutions multilatérales qui sont :</w:t>
        <w:br/>
        <w:t>(1)    Fournis par des agences officielles, y compris les gouvernements des États et locaux, ou par leurs agences exécutives ; et</w:t>
        <w:br/>
        <w:t>(2)    Chaque transaction dont :</w:t>
        <w:br/>
        <w:t>a) est administré avec la promotion du développement économique et du bien-être des pays en développement comme objectif principal ; et</w:t>
        <w:br/>
        <w:t xml:space="preserve">b) a un caractère concessionnel et comporte un élément de don d'au moins 25 pour cent (calculé avec un taux d'actualisation de 10 pour cent). </w:t>
        <w:br/>
        <w:t xml:space="preserve">Les OOF sont définies comme des transactions du secteur public qui ne remplissent pas les conditions d'éligibilité à l'APD, soit parce qu'elles ne sont pas </w:t>
        <w:br/>
        <w:t xml:space="preserve">visant principalement le développement, soit parce qu’ils ne sont pas suffisamment concessionnels. Ils excluent également les crédits à l’exportation bénéficiant d’un soutien public. </w:t>
        <w:br/>
        <w:t>Justification et interprétation :</w:t>
        <w:br/>
        <w:t xml:space="preserve">Les flux totaux de ressources vers les pays en développement fournissent le relevé le plus complet des ressources et quantifient les dépenses globales engagées par les donateurs. </w:t>
        <w:br/>
        <w:t xml:space="preserve">fournir aux pays en développement. </w:t>
        <w:br/>
        <w:t xml:space="preserve">Ces données sont tirées de la base de données agrégée du CAD de l’OCDE sur les flux de ressources publiques et privées. Les données sur les flux sont rapportées selon </w:t>
        <w:br/>
        <w:t xml:space="preserve">les mêmes normes et méthodologies par les points focaux nationaux (statisticiens) au sein des agences d'aide nationales, des ministères des affaires étrangères ou </w:t>
        <w:br/>
        <w:t>finance, etc. sur les flux financiers fournis par leur pays ou institution.</w:t>
      </w:r>
    </w:p>
    <w:p>
      <w:pPr>
        <w:pStyle w:val="Heading2"/>
      </w:pPr>
      <w:r>
        <w:t>Page 268</w:t>
      </w:r>
    </w:p>
    <w:p>
      <w:r>
        <w:t>Texte d'en-tête</w:t>
        <w:br/>
        <w:t>Texte de pied de page</w:t>
        <w:br/>
        <w:t>Désagrégation des données</w:t>
        <w:br/>
        <w:t>Références</w:t>
        <w:br/>
        <w:t>Organisation(s) internationale(s) de surveillance mondiale</w:t>
        <w:br/>
        <w:t>Méthode de calcul :</w:t>
        <w:br/>
        <w:t xml:space="preserve">Cet indicateur est calculé comme la somme de tous les flux d’APD, d’OOF et privés de tous les donateurs vers les pays en développement. </w:t>
        <w:br/>
        <w:t>Commentaires et limites : N/A</w:t>
        <w:br/>
        <w:t>Indicateurs proxy, alternatifs et supplémentaires : N/A</w:t>
        <w:br/>
        <w:t xml:space="preserve">Les données peuvent être ventilées par donateur, bénéficiaire, type de flux, type de financement, type d'aide, etc. </w:t>
        <w:br/>
        <w:t>URL officielle des métadonnées ODD</w:t>
        <w:br/>
        <w:t xml:space="preserve">https://unstats.un.org/sdgs/metadata/files/Metadata-10-0B-01.pdf  </w:t>
        <w:br/>
        <w:t>Méthodologie reconnue au niveau international et URL des lignes directrices</w:t>
        <w:br/>
        <w:t>http://www.oecd.org/dac/stats/methodology.htm</w:t>
        <w:br/>
        <w:t>Autres références :</w:t>
        <w:br/>
        <w:t>OCDE. Paris. Site Internet : Normes de financement du développement. http://www.oecd.org/dac/financing-sustainable-development/development-finance-</w:t>
        <w:br/>
        <w:t>normes/</w:t>
        <w:br/>
        <w:t>Exemples de pays</w:t>
        <w:br/>
        <w:t>N/D</w:t>
        <w:br/>
        <w:t>Ce document a été préparé sur la base des contributions de l'Organisation de coopération et de développement économiques (OCDE).</w:t>
        <w:br/>
        <w:t>Pour obtenir des informations sur les points focaux pour cet indicateur, veuillez visiter https://unstats.un.org/sdgs/dataContacts/</w:t>
      </w:r>
    </w:p>
    <w:p>
      <w:pPr>
        <w:pStyle w:val="Heading2"/>
      </w:pPr>
      <w:r>
        <w:t>Page 269</w:t>
      </w:r>
    </w:p>
    <w:p>
      <w:r>
        <w:t>Texte d'en-tête</w:t>
        <w:br/>
        <w:t>Texte de pied de page</w:t>
        <w:br/>
        <w:t>Objectif 11</w:t>
        <w:br/>
        <w:t xml:space="preserve">Rendre les villes et les établissements humains inclusifs, sûrs, résilients et </w:t>
        <w:br/>
        <w:t>durable</w:t>
        <w:br/>
        <w:t>Page d'accueil du manuel électronique</w:t>
        <w:br/>
        <w:t>Dans cet objectif :</w:t>
        <w:br/>
        <w:t xml:space="preserve">La Division de statistique des Nations Unies (DSNU) a travaillé en consultation avec l'agence(s) dépositaire(s) de chaque indicateur pour préparer ces chapitres. Pour </w:t>
        <w:br/>
        <w:t>les indicateurs qui n’ont pas encore de chapitre ici, sont en cours de préparation et seront téléchargés ici dès qu’ils seront disponibles.</w:t>
        <w:br/>
        <w:t>Si vous avez des questions sur le manuel électronique, n'hésitez pas à contacter M. Yuxi Zhang ( yuxi.zhang@un.org) avec copie à M. Ze Yar Min (min@</w:t>
        <w:br/>
        <w:t>.un.org)</w:t>
      </w:r>
    </w:p>
    <w:p>
      <w:pPr>
        <w:pStyle w:val="Heading2"/>
      </w:pPr>
      <w:r>
        <w:t>Page 270</w:t>
      </w:r>
    </w:p>
    <w:p>
      <w:r>
        <w:t>Texte d'en-tête</w:t>
        <w:br/>
        <w:t>Texte de pied de page</w:t>
        <w:br/>
        <w:t>Indicateur 11.5.1</w:t>
        <w:br/>
        <w:t>Page d'accueil du manuel électronique</w:t>
        <w:br/>
        <w:t xml:space="preserve"> </w:t>
        <w:br/>
        <w:t>Nom de l’indicateur, cible et objectif</w:t>
        <w:br/>
        <w:t>Définition et justification</w:t>
        <w:br/>
        <w:t>Sources de données et méthode de collecte</w:t>
        <w:br/>
        <w:t>Méthode de calcul et autres considérations méthodologiques</w:t>
        <w:br/>
        <w:t>Contenu</w:t>
        <w:br/>
        <w:t>Nom de l’indicateur, cible et objectif</w:t>
        <w:br/>
        <w:t>Définition et justification</w:t>
        <w:br/>
        <w:t>Sources de données et méthode de collecte</w:t>
        <w:br/>
        <w:t>Méthode de calcul et autres considérations méthodologiques</w:t>
        <w:br/>
        <w:t>Désagrégation des données</w:t>
        <w:br/>
        <w:t>Références</w:t>
        <w:br/>
        <w:t>Organisation(s) internationale(s) de surveillance mondiale</w:t>
        <w:br/>
        <w:t xml:space="preserve"> Indicateur 11.5.1 : Nombre de décès, de personnes disparues et de personnes directement touchées attribués aux catastrophes pour 100 000 habitants</w:t>
        <w:br/>
        <w:t xml:space="preserve">Cible 11.5 : D’ici 2030, réduire considérablement le nombre de décès et le nombre de personnes touchées et diminuer considérablement les conséquences directes </w:t>
        <w:br/>
        <w:t xml:space="preserve">pertes économiques par rapport au produit intérieur brut mondial causées par des catastrophes, y compris des catastrophes liées à l'eau, en mettant l'accent sur la protection de l'environnement. </w:t>
        <w:br/>
        <w:t>pauvres et personnes en situation de vulnérabilité</w:t>
        <w:br/>
        <w:t>Objectif 11 : Rendre les villes et les établissements humains inclusifs, sûrs, résilients et durables</w:t>
        <w:br/>
        <w:t>Définition :</w:t>
        <w:br/>
        <w:t xml:space="preserve">Cet indicateur mesure le nombre de personnes décédées, portées disparues ou directement touchées par des catastrophes pour 100 000 habitants. </w:t>
        <w:br/>
        <w:t>Concepts :</w:t>
        <w:br/>
        <w:t>Décès : nombre de personnes décédées pendant la catastrophe, ou immédiatement après, en conséquence directe de l'événement dangereux.</w:t>
        <w:br/>
        <w:t xml:space="preserve">Manquantes : le nombre de personnes dont on ne sait pas où elles se trouvent depuis l'événement dangereux. Cela inclut les personnes présumées mortes, pour lesquelles  </w:t>
        <w:br/>
        <w:t>il n'existe aucune preuve physique telle qu'un corps, et pour laquelle un rapport officiel/légal a été déposé auprès des autorités compétentes.</w:t>
        <w:br/>
        <w:t xml:space="preserve">Directement touché : le nombre de personnes qui ont subi une blessure, une maladie ou d'autres effets sur la santé ; qui ont été évacués, déplacés, relocalisés ou </w:t>
        <w:br/>
        <w:t xml:space="preserve">ont subi des dommages directs à leurs moyens de subsistance et à leurs biens économiques, physiques, sociaux, culturels et environnementaux. Les personnes indirectement touchées sont celles qui </w:t>
        <w:br/>
        <w:t xml:space="preserve">ont subi des conséquences, autres ou en plus des effets directs, au fil du temps, en raison de perturbations ou de changements dans l'économie, les infrastructures critiques, </w:t>
        <w:br/>
        <w:t xml:space="preserve">services de base, commerce ou travail, ou conséquences sociales, sanitaires et psychologiques. </w:t>
        <w:br/>
        <w:t>Justification et interprétation :</w:t>
        <w:br/>
        <w:t xml:space="preserve">Le Cadre de Sendai pour la réduction des risques de catastrophe 2015-2030 a été adopté par les États membres de l'ONU en mars 2015 en tant que politique mondiale de lutte contre les catastrophes. </w:t>
        <w:br/>
        <w:t xml:space="preserve">réduction des risques. Parmi les objectifs mondiaux, « Cible A : Réduire considérablement la mortalité mondiale due aux catastrophes d’ici 2030, en visant une moyenne inférieure pour 100 000 habitants ». </w:t>
        <w:br/>
        <w:t xml:space="preserve">mortalité mondiale entre 2020-2030 par rapport à 2005-2015 » et « Objectif B : Réduire considérablement le nombre de personnes touchées dans le monde en </w:t>
        <w:br/>
        <w:t xml:space="preserve">2030, visant à réduire le chiffre moyen mondial pour 100 000 entre 2020-2030 par rapport à 2005-2015 » contribuera à un développement durable. </w:t>
        <w:br/>
        <w:t xml:space="preserve">développement et renforcer la résilience économique, sociale, sanitaire et environnementale. Les perspectives économiques, environnementales et sociales seraient </w:t>
        <w:br/>
        <w:t xml:space="preserve">comprennent l’éradication de la pauvreté, la résilience urbaine et l’adaptation au changement climatique. </w:t>
        <w:br/>
        <w:t xml:space="preserve">Le groupe de travail intergouvernemental d'experts à composition non limitée sur les indicateurs et la terminologie relatifs à la réduction des risques de catastrophe (OIEWG) a été créé </w:t>
        <w:br/>
        <w:t xml:space="preserve">par l'Assemblée générale (résolution 69/284) a élaboré un ensemble d'indicateurs pour mesurer les progrès mondiaux dans la mise en œuvre de l'Accord de Sendai. </w:t>
        <w:br/>
        <w:t>Cadre qui a été approuvé par l'AGNU (OIEWG). Les indicateurs mondiaux pertinents pour le Cadre de Sendai seront utilisés dans le rapport A/71/644.</w:t>
        <w:br/>
        <w:t xml:space="preserve">rapporter pour cet indicateur. </w:t>
        <w:br/>
        <w:t xml:space="preserve">Les données sur les pertes liées aux catastrophes sont fortement influencées par les événements catastrophiques à grande échelle, qui représentent d’importantes valeurs aberrantes. L'UNISDR recommande aux pays </w:t>
        <w:br/>
        <w:t xml:space="preserve">rapporter les données par événement, afin qu'une analyse complémentaire puisse être entreprise pour obtenir des tendances et des schémas dans lesquels de tels événements catastrophiques (qui </w:t>
        <w:br/>
        <w:t>peuvent représenter des valeurs aberrantes) peuvent être inclus ou exclus.</w:t>
        <w:br/>
        <w:t xml:space="preserve">Le fournisseur de données au niveau national est nommé point focal du cadre de Sendai. Dans la plupart des pays, les données sur les catastrophes sont collectées par les ministères compétents et </w:t>
        <w:br/>
        <w:t xml:space="preserve">les bases de données nationales sur les pertes liées aux catastrophes sont établies et gérées par des agences spécialisées, notamment des agences nationales de gestion des catastrophes, </w:t>
        <w:br/>
        <w:t xml:space="preserve">agences de protection civile et météorologue agences bancaires. Les points focaux du cadre de Sendai dans chaque pays sont responsables de la communication des données. </w:t>
        <w:br/>
        <w:t>via le système de surveillance du cadre Sendai.</w:t>
      </w:r>
    </w:p>
    <w:p>
      <w:pPr>
        <w:pStyle w:val="Heading2"/>
      </w:pPr>
      <w:r>
        <w:t>Page 271</w:t>
      </w:r>
    </w:p>
    <w:p>
      <w:r>
        <w:t>Texte d'en-tête</w:t>
        <w:br/>
        <w:t>Texte de pied de page</w:t>
        <w:br/>
        <w:t>Désagrégation des données</w:t>
        <w:br/>
        <w:t>Références</w:t>
        <w:br/>
        <w:t>Organisation(s) internationale(s) de surveillance mondiale</w:t>
        <w:br/>
        <w:t>Méthode de calcul :</w:t>
        <w:br/>
        <w:t>Cet indicateur, , est calculé comme une simple somme des indicateurs associés (décès, personnes disparues et personnes touchées) de la catastrophe nationale X.</w:t>
        <w:br/>
        <w:t xml:space="preserve">bases de données sur les pertes divisées par les données démographiques nationales (issues des recensements nationaux, des informations de la Banque mondiale ou de la Commission statistique des Nations Unies). </w:t>
        <w:br/>
        <w:t>Où :</w:t>
        <w:br/>
        <w:t xml:space="preserve">A Nombre de décès attribués aux catastrophes ;2 </w:t>
        <w:br/>
        <w:t>Un nombre de personnes disparues attribuées à des catastrophes ; et3</w:t>
        <w:br/>
        <w:t>B Nombre de personnes directement touchées par les catastrophes.1</w:t>
        <w:br/>
        <w:t>* Des méthodologies détaillées peuvent être trouvées dans le guide technique (voir ci-dessous la section Référence)</w:t>
        <w:br/>
        <w:t>Commentaires et limites :</w:t>
        <w:br/>
        <w:t xml:space="preserve">Le système de suivi du cadre de Sendai a été développé pour mesurer les progrès dans la mise en œuvre du cadre de Sendai en </w:t>
        <w:br/>
        <w:t xml:space="preserve">Indicateurs approuvés par l’AGNU. Les États membres pourront faire rapport via le système à partir de mars 2018. Les données pour les indicateurs des ODD seront </w:t>
        <w:br/>
        <w:t>compilé et rapporté par l’UNISDR.</w:t>
        <w:br/>
        <w:t>Indicateurs proxy, alternatifs et complémentaires :</w:t>
        <w:br/>
        <w:t xml:space="preserve">Dans la plupart des cas, les sources de données internationales enregistrent uniquement les événements qui dépassent un certain seuil d'impact et utilisent des sources de données secondaires qui </w:t>
        <w:br/>
        <w:t>ont généralement des méthodologies non uniformes, voire incohérentes, produisant des ensembles de données hétérogènes.</w:t>
        <w:br/>
        <w:t xml:space="preserve">Cet indicateur peut être ventilé selon le nombre de décès attribués aux catastrophes ; nombre de personnes disparues attribuées à des catastrophes ; et numéro </w:t>
        <w:br/>
        <w:t xml:space="preserve">des personnes directement touchées par les catastrophes. Les dimensions de désagrégation souhaitables possibles comprennent : le risque, la géographie (unité administrative), </w:t>
        <w:br/>
        <w:t xml:space="preserve">sexe, âge (3 catégories), handicap et revenu. </w:t>
        <w:br/>
        <w:t>URL officielle des métadonnées ODD</w:t>
        <w:br/>
        <w:t xml:space="preserve">https://unstats.un.org/sdgs/metadata/files/Metadata-01-05-01.pdf  </w:t>
        <w:br/>
        <w:t>Méthodologie reconnue au niveau international et URL des lignes directrices</w:t>
        <w:br/>
        <w:t xml:space="preserve">Conseils techniques pour le suivi et l'établissement de rapports sur les progrès accomplis dans la réalisation des objectifs mondiaux du Cadre de Sendai pour la réduction des risques de catastrophe </w:t>
        <w:br/>
        <w:t>(UNISDR 2017) https://www.preventionweb.net/files/54970_collectionoftechnicalguidancenoteso.pdf</w:t>
        <w:br/>
        <w:t>Autres références :</w:t>
        <w:br/>
        <w:t xml:space="preserve">Rapport du groupe de travail intergouvernemental d'experts à composition non limitée sur les indicateurs et la terminologie relatifs à la réduction des risques de catastrophe (OEIWG). </w:t>
        <w:br/>
        <w:t>Disponible sur : Approuvé par l'AGNU le 2 février 2017. nd https://www.preventionweb.net/publications/view/51748</w:t>
        <w:br/>
        <w:t xml:space="preserve">Exemples de pays </w:t>
        <w:br/>
        <w:t>N/D</w:t>
        <w:br/>
        <w:t xml:space="preserve">Ce document a été préparé sur la base des contributions du Bureau des Nations Unies pour la réduction des risques de catastrophe (UNISDR). </w:t>
        <w:br/>
        <w:t>Pour obtenir des informations sur les points focaux pour cet indicateur, veuillez visiter https://unstats.un.org/sdgs/dataContacts/</w:t>
      </w:r>
    </w:p>
    <w:p>
      <w:pPr>
        <w:pStyle w:val="Heading2"/>
      </w:pPr>
      <w:r>
        <w:t>Page 272</w:t>
      </w:r>
    </w:p>
    <w:p>
      <w:r>
        <w:t>Texte d'en-tête</w:t>
        <w:br/>
        <w:t>Texte de pied de page</w:t>
        <w:br/>
        <w:t>Indicateur 11.5.2</w:t>
        <w:br/>
        <w:t>Page d'accueil du manuel électronique</w:t>
        <w:br/>
        <w:t xml:space="preserve"> </w:t>
        <w:br/>
        <w:t>Nom de l’indicateur, cible et objectif</w:t>
        <w:br/>
        <w:t>Définition et justification</w:t>
        <w:br/>
        <w:t>Contenu</w:t>
        <w:br/>
        <w:t>Nom de l’indicateur, cible et objectif</w:t>
        <w:br/>
        <w:t>Définition et justification</w:t>
        <w:br/>
        <w:t>Sources de données et méthode de collecte</w:t>
        <w:br/>
        <w:t>Méthode de calcul et autres considérations méthodologiques</w:t>
        <w:br/>
        <w:t>Désagrégation des données</w:t>
        <w:br/>
        <w:t>Références</w:t>
        <w:br/>
        <w:t>Organisation(s) internationale(s) de surveillance mondiale</w:t>
        <w:br/>
        <w:t xml:space="preserve"> Indicateur 11.5.2 : Perte économique directe par rapport au PIB mondial, dommages aux infrastructures critiques et nombre de perturbations des services de base, </w:t>
        <w:br/>
        <w:t>attribué à des catastrophes</w:t>
        <w:br/>
        <w:t xml:space="preserve">Cible 11.5 : D’ici 2030, réduire considérablement le nombre de décès et le nombre de personnes touchées et diminuer considérablement les conséquences directes </w:t>
        <w:br/>
        <w:t xml:space="preserve">pertes économiques par rapport au produit intérieur brut mondial causées par des catastrophes, y compris des catastrophes liées à l'eau, en mettant l'accent sur la protection de l'environnement. </w:t>
        <w:br/>
        <w:t>pauvres et personnes en situation de vulnérabilité</w:t>
        <w:br/>
        <w:t>Objectif 11 : Rendre les villes et les établissements humains inclusifs, sûrs, résilients et durables</w:t>
      </w:r>
    </w:p>
    <w:p>
      <w:pPr>
        <w:pStyle w:val="Heading2"/>
      </w:pPr>
      <w:r>
        <w:t>Page 273</w:t>
      </w:r>
    </w:p>
    <w:p>
      <w:r>
        <w:t>Texte d'en-tête</w:t>
        <w:br/>
        <w:t>Texte de pied de page</w:t>
        <w:br/>
        <w:t>Sources de données et méthode de collecte</w:t>
        <w:br/>
        <w:t>Méthode de calcul et autres considérations méthodologiques</w:t>
        <w:br/>
        <w:t>Définition :</w:t>
        <w:br/>
        <w:t xml:space="preserve">Cet indicateur mesure le ratio des pertes économiques directes attribuées aux catastrophes par rapport au PIB, aux dommages causés aux infrastructures critiques et au nombre de personnes. </w:t>
        <w:br/>
        <w:t xml:space="preserve">perturbations des services de base, attribuées aux catastrophes. </w:t>
        <w:br/>
        <w:t xml:space="preserve">Cet indicateur comporte 3 composantes et elles sont décrites ci-dessous. </w:t>
        <w:br/>
        <w:t>Concepts :</w:t>
        <w:br/>
        <w:t xml:space="preserve">Perte économique directe : la valeur monétaire de la destruction totale ou partielle des actifs physiques existant dans la zone touchée. Économique direct </w:t>
        <w:br/>
        <w:t>la perte équivaut presque à un dommage physique.</w:t>
        <w:br/>
        <w:t xml:space="preserve">*Annotations : Les exemples d'actifs physiques qui servent de base au calcul des pertes économiques directes comprennent les maisons, les écoles, les hôpitaux, </w:t>
        <w:br/>
        <w:t xml:space="preserve">les bâtiments commerciaux et gouvernementaux, les transports, l'énergie, les infrastructures de télécommunications et autres infrastructures ; actifs commerciaux </w:t>
        <w:br/>
        <w:t xml:space="preserve">et installations industrielles ; et la production telle que les cultures, l’élevage et les infrastructures de production. Ils peuvent également englober l'environnement </w:t>
        <w:br/>
        <w:t xml:space="preserve">atouts et patrimoine culturel. Les pertes économiques directes surviennent généralement pendant l'événement ou dans les premières heures qui suivent l'événement et sont </w:t>
        <w:br/>
        <w:t xml:space="preserve">souvent évalué peu de temps après l’événement pour estimer les coûts de récupération et réclamer les paiements d’assurance. Ceux-ci sont tangibles et relativement faciles à mettre en œuvre. </w:t>
        <w:br/>
        <w:t>mesurer.</w:t>
        <w:br/>
        <w:t xml:space="preserve">Infrastructure critique : les structures physiques, les installations, les réseaux et autres actifs qui fournissent des services essentiels au développement social. </w:t>
        <w:br/>
        <w:t>et le fonctionnement économique d’une communauté ou d’une société.</w:t>
        <w:br/>
        <w:t>Services de base : Services nécessaires au bon fonctionnement de l’ensemble de la société.</w:t>
        <w:br/>
        <w:t xml:space="preserve">*Annotation : Des exemples de services de base comprennent l'approvisionnement en eau, l'assainissement, les soins de santé et l'éducation. Ils comprennent également les services fournis </w:t>
        <w:br/>
        <w:t xml:space="preserve">par des infrastructures critiques telles que l'électricité, les télécommunications, les transports ou la gestion des déchets, nécessaires à l'ensemble de la société pour </w:t>
        <w:br/>
        <w:t>fonction.</w:t>
        <w:br/>
        <w:t>Pour cet indicateur, il est proposé de mesurer la perturbation, l'interruption ou la moindre qualité des services de base pour au moins les services publics suivants : H</w:t>
        <w:br/>
        <w:t xml:space="preserve">établissements de soins de santé, établissements d'enseignement, systèmes d'électricité/énergie et autres services publics, système de transport. </w:t>
        <w:br/>
        <w:t>Justification et interprétation :</w:t>
        <w:br/>
        <w:t xml:space="preserve">Le Cadre de Sendai pour la réduction des risques de catastrophe 2015-2030 a été adopté par les États membres de l'ONU en mars 2015 en tant que politique mondiale de lutte contre les catastrophes. </w:t>
        <w:br/>
        <w:t xml:space="preserve">réduction des risques. Parmi les objectifs mondiaux, « Objectif C : Réduire les pertes économiques directes liées aux catastrophes par rapport au produit intérieur brut (PIB) mondial en </w:t>
        <w:br/>
        <w:t xml:space="preserve">2030 » contribuera au développement durable et renforcera la résilience économique, sociale, sanitaire et environnementale. L'économique, </w:t>
        <w:br/>
        <w:t>les perspectives environnementales et sociales incluraient l’éradication de la pauvreté, la résilience urbaine et l’adaptation au changement climatique.</w:t>
        <w:br/>
        <w:t xml:space="preserve">Le groupe de travail intergouvernemental d'experts à composition non limitée sur les indicateurs et la terminologie relatifs à la réduction des risques de catastrophe (OIEWG) a été créé </w:t>
        <w:br/>
        <w:t xml:space="preserve">par l'Assemblée générale (résolution 69/284) a élaboré un ensemble d'indicateurs pour mesurer les progrès mondiaux dans la mise en œuvre de l'Accord de Sendai. </w:t>
        <w:br/>
        <w:t>Cadre qui a été approuvé par l'AGNU (OIEWG). Les indicateurs mondiaux pertinents pour le Cadre de Sendai seront utilisés dans le rapport A/71/644.</w:t>
        <w:br/>
        <w:t xml:space="preserve">rapporter pour cet indicateur. </w:t>
        <w:br/>
        <w:t xml:space="preserve">Les données sur les pertes liées aux catastrophes sont fortement influencées par les événements catastrophiques à grande échelle, qui représentent d’importantes valeurs aberrantes. L'UNISDR recommande aux pays </w:t>
        <w:br/>
        <w:t xml:space="preserve">rapporter les données par événement, afin qu'une analyse complémentaire puisse être entreprise pour obtenir des tendances et des schémas dans lesquels de tels événements catastrophiques (qui </w:t>
        <w:br/>
        <w:t>peuvent représenter des valeurs aberrantes en termes de dommages) peuvent être inclus ou exclus.</w:t>
        <w:br/>
        <w:t xml:space="preserve">Les fournisseurs de données au niveau national sont nommés points focaux du cadre de Sendai. Dans la plupart des pays, les données sur les catastrophes sont collectées par les ministères compétents. </w:t>
        <w:br/>
        <w:t xml:space="preserve">et les bases de données nationales sur les pertes liées aux catastrophes sont établies et gérées par des agences spécialisées, notamment la gestion nationale des catastrophes. </w:t>
        <w:br/>
        <w:t xml:space="preserve">agences, agences de protection civile et agences météorologiques. Les points focaux du cadre de Sendai dans chaque pays sont responsables des données </w:t>
        <w:br/>
        <w:t>reporting via le système de surveillance du cadre Sendai en ligne.</w:t>
      </w:r>
    </w:p>
    <w:p>
      <w:pPr>
        <w:pStyle w:val="Heading2"/>
      </w:pPr>
      <w:r>
        <w:t>Page 274</w:t>
      </w:r>
    </w:p>
    <w:p>
      <w:r>
        <w:t>Texte d'en-tête</w:t>
        <w:br/>
        <w:t>Texte de pied de page</w:t>
        <w:br/>
        <w:t>Méthode de calcul :</w:t>
        <w:br/>
        <w:t>Cet indicateur comporte trois ensembles de données :</w:t>
        <w:br/>
        <w:t>1)        Perte économique directe par rapport au PIB mondial,</w:t>
        <w:br/>
        <w:t>2)       dommages causés aux infrastructures critiques, et</w:t>
        <w:br/>
        <w:t xml:space="preserve">3)       nombre de perturbations des services de base. </w:t>
        <w:br/>
        <w:t>Des méthodologies détaillées peuvent être trouvées dans le guide technique (voir la référence 2)</w:t>
        <w:br/>
        <w:t>Un bref résumé :</w:t>
        <w:br/>
        <w:t xml:space="preserve">Les bases de données nationales originales sur les pertes liées aux catastrophes enregistrent généralement la valeur des dommages physiques (perte d'unités de logement, perte d'infrastructures, etc.), qui est déclarée </w:t>
        <w:br/>
        <w:t xml:space="preserve">à 2), tandis que la valeur monétaire pour 1) doit être convertie selon une méthodologie standardisée, soit fournie au niveau national, soit décrite dans le </w:t>
        <w:br/>
        <w:t xml:space="preserve">Conseils techniques. Pour 3) « perturbation » comprend : les interruptions, simples ou multiples, courtes ou longues, des services ; ou un mesurable/remarquable </w:t>
        <w:br/>
        <w:t xml:space="preserve">réduction de la qualité du service ; ou une réduction de la couverture du service ; ou une combinaison des situations ci-dessus. Les pays sont tenus de </w:t>
        <w:br/>
        <w:t xml:space="preserve">rendre compte séparément par établissement en fonction des sous-indicateurs et maintenir leurs méthodologies cohérentes tout au long de la période de reporting. </w:t>
        <w:br/>
        <w:t>1) Perte économique directe par rapport au PIB mondial :</w:t>
        <w:br/>
        <w:t>Pour des informations complètes sur ce sous-indicateur, veuillez vous référer à l'indicateur : 1.5.2.</w:t>
        <w:br/>
        <w:t>Ces sous-indicateurs comprennent des indicateurs mondiaux pour le cadre de Sendai ;</w:t>
        <w:br/>
        <w:t>C-2 : Pertes agricoles directes attribuées aux catastrophes.</w:t>
        <w:br/>
        <w:t xml:space="preserve">L'agriculture comprend les secteurs des cultures, de l'élevage, de la pêche, de l'apiculture, de l'aquaculture et de la forêt, ainsi que les installations et installations associées. </w:t>
        <w:br/>
        <w:t>infrastructures.</w:t>
        <w:br/>
        <w:t>C-3 : Perte économique directe de tous les autres actifs productifs endommagés ou détruits attribuée aux catastrophes.</w:t>
        <w:br/>
        <w:t xml:space="preserve">Les actifs productifs seraient ventilés par secteur économique, y compris les services, selon les classifications internationales standard. Pays </w:t>
        <w:br/>
        <w:t>feraient rapport sur les secteurs économiques pertinents pour leur économie. Cela serait décrit dans les métadonnées associées.</w:t>
        <w:br/>
        <w:t>C-4 : Perte économique directe dans le secteur du logement attribuée aux catastrophes.</w:t>
        <w:br/>
        <w:t>Les données seraient ventilées selon les logements endommagés et détruits.</w:t>
        <w:br/>
        <w:t>C-5 : Perte économique directe résultant d’infrastructures critiques endommagées ou détruites attribuées à des catastrophes.</w:t>
        <w:br/>
        <w:t xml:space="preserve">La décision concernant les éléments d'infrastructures critiques à inclure dans le calcul sera laissée aux États membres et décrite dans </w:t>
        <w:br/>
        <w:t xml:space="preserve">les métadonnées qui l'accompagnent. Les infrastructures de protection et les infrastructures vertes doivent être incluses le cas échéantC-6 : Perte économique directe pour </w:t>
        <w:br/>
        <w:t xml:space="preserve">patrimoine culturel endommagé ou détruit en raison de catastrophes. </w:t>
        <w:br/>
        <w:t>2) dommages aux infrastructures critiques</w:t>
        <w:br/>
        <w:t>D-2 : Nombre d'établissements de santé détruits ou endommagés attribués aux catastrophes.</w:t>
        <w:br/>
        <w:t>D-3 : Nombre d'établissements d'enseignement détruits ou endommagés attribués aux catastrophes.</w:t>
        <w:br/>
        <w:t>D-4 : Nombre d’autres unités et installations d’infrastructures critiques détruites ou endommagées attribuées aux catastrophes.</w:t>
        <w:br/>
        <w:t xml:space="preserve">La décision concernant les éléments d'infrastructures critiques à inclure dans le calcul sera laissée aux États membres et décrite dans </w:t>
        <w:br/>
        <w:t xml:space="preserve">les métadonnées qui l'accompagnent. Les infrastructures de protection et les infrastructures vertes devraient être incluses lorsque cela est pertinent.  </w:t>
        <w:br/>
        <w:t>3) nombre de perturbations des services de base</w:t>
        <w:br/>
        <w:t>D-6 : Nombre de perturbations des services éducatifs attribuées à des catastrophes.</w:t>
        <w:br/>
        <w:t>D-7 : Nombre de perturbations des services de santé attribuées à des catastrophes.</w:t>
        <w:br/>
        <w:t>D-8 : Nombre de perturbations d'autres services de base attribuées à des catastrophes.</w:t>
        <w:br/>
        <w:t xml:space="preserve">La décision concernant les éléments des services de base à inclure dans le calcul sera laissée aux États membres et décrite dans le </w:t>
        <w:br/>
        <w:t xml:space="preserve">métadonnées qui l’accompagnent.  </w:t>
        <w:br/>
        <w:t>Commentaires et limites :</w:t>
        <w:br/>
        <w:t xml:space="preserve">Le système de suivi du cadre de Sendai a été développé pour mesurer les progrès dans la mise en œuvre du cadre de Sendai en </w:t>
        <w:br/>
        <w:t xml:space="preserve">Indicateurs approuvés par l’AGNU. Les États membres doivent rendre compte via le système à partir de mars 2018. Les données pour les indicateurs des ODD sont compilées et </w:t>
        <w:br/>
        <w:t xml:space="preserve">rapporté par l’UNISDR. </w:t>
        <w:br/>
        <w:t>Indicateurs proxy, alternatifs et complémentaires :</w:t>
        <w:br/>
        <w:t xml:space="preserve">Bien que les données obtenues via Sendai Framework Monitor n'aient pas de seuil, la plupart des sources de données internationales n'enregistrent que les événements qui </w:t>
        <w:br/>
        <w:t xml:space="preserve">surprendre évaluer un certain seuil d'impact et utiliser des sources de données secondaires qui ont généralement des méthodologies non uniformes, voire incohérentes, </w:t>
        <w:br/>
        <w:t>produire des ensembles de données hétérogènes.</w:t>
      </w:r>
    </w:p>
    <w:p>
      <w:pPr>
        <w:pStyle w:val="Heading2"/>
      </w:pPr>
      <w:r>
        <w:t>Page 275</w:t>
      </w:r>
    </w:p>
    <w:p>
      <w:r>
        <w:t>Texte d'en-tête</w:t>
        <w:br/>
        <w:t>Texte de pied de page</w:t>
        <w:br/>
        <w:t>Désagrégation des données</w:t>
        <w:br/>
        <w:t>Références</w:t>
        <w:br/>
        <w:t>Organisation(s) internationale(s) de surveillance mondiale</w:t>
        <w:br/>
        <w:t>Cet indicateur doit être ventilé par :</w:t>
        <w:br/>
        <w:t>Pertes agricoles directes attribuées aux catastrophes ;</w:t>
        <w:br/>
        <w:t>Perte économique directe pour tous les autres actifs productifs endommagés ou détruits attribuée aux catastrophes ;</w:t>
        <w:br/>
        <w:t>Perte économique directe dans le secteur du logement attribuée aux catastrophes ;</w:t>
        <w:br/>
        <w:t>Perte économique directe résultant d’infrastructures critiques endommagées ou détruites attribuées à des catastrophes ;</w:t>
        <w:br/>
        <w:t>Perte économique directe du patrimoine culturel endommagé ou détruit attribuée aux catastrophes ;</w:t>
        <w:br/>
        <w:t>Nombre d'établissements de santé détruits ou endommagés attribués aux catastrophes ;</w:t>
        <w:br/>
        <w:t>Nombre d'établissements d'enseignement détruits ou endommagés attribués aux catastrophes ;</w:t>
        <w:br/>
        <w:t>Nombre d’autres unités et installations d’infrastructures critiques détruites ou endommagées attribuées aux catastrophes ;</w:t>
        <w:br/>
        <w:t>Nombre de perturbations des services éducatifs attribuées à des catastrophes ;</w:t>
        <w:br/>
        <w:t>Nombre de perturbations des services de santé attribuées à des catastrophes ; et</w:t>
        <w:br/>
        <w:t xml:space="preserve">Nombre de perturbations d'autres services de base attribuées à des catastrophes. </w:t>
        <w:br/>
        <w:t>Il peut également être désagrégé comme suit.</w:t>
        <w:br/>
        <w:t>Danger</w:t>
        <w:br/>
        <w:t>Géographie (Unité administrative)</w:t>
        <w:br/>
        <w:t>C-2 : types de cultures, bétail perdu et autres secteurs agricoles</w:t>
        <w:br/>
        <w:t xml:space="preserve">C-3 : niveau d'affectation (endommagé/détruit), et type et taille de l'installation (types selon la classification CITI et taille dans des catégories telles que </w:t>
        <w:br/>
        <w:t>petit/moyen/grand.)</w:t>
        <w:br/>
        <w:t xml:space="preserve">C-4 : emplacement de la maison (par exemple rural/urbain). Au choix par taille (petit/moyen/grand) et matériau (bois, carton, maçonnerie, etc.) </w:t>
        <w:br/>
        <w:t xml:space="preserve">C-5 : niveau d'affectation (endommagé/détruit), et type et taille de l'infrastructure (les types selon l'UNISDR fournissent une classification basée sur </w:t>
        <w:br/>
        <w:t>HAZUS, et la taille dans des catégories telles que non pavée/goudronnée/autoroute ou petite/moyenne/grande.).</w:t>
        <w:br/>
        <w:t xml:space="preserve">D-2, 3, 4 : niveau d'affectation (endommagé/détruit), et type et taille de l'infrastructure (les types selon l'UNISDR ont fourni une classification basée sur </w:t>
        <w:br/>
        <w:t xml:space="preserve">sur HAZUS, et la taille dans des catégories telles que non pavée/goudronnée/autoroute ou petite/moyenne/grande. La désagrégation sera déclarée dans le </w:t>
        <w:br/>
        <w:t>métadonnées qui l'accompagnent)</w:t>
        <w:br/>
        <w:t>J-4 : infrastructures</w:t>
        <w:br/>
        <w:t>D-8 : par type de service tel que déclaré dans les métadonnées qui l'accompagnent</w:t>
        <w:br/>
        <w:t>La désagrégation est mise en place par chaque pays dans les métadonnées qui l'accompagnent.</w:t>
        <w:br/>
        <w:t xml:space="preserve">URL officielle des métadonnées ODD </w:t>
        <w:br/>
        <w:t xml:space="preserve">https://unstats.un.org/sdgs/metadata/files/Metadata-11-05-02.pdf  </w:t>
        <w:br/>
        <w:t>Méthodologie reconnue au niveau international et URL des lignes directrices</w:t>
        <w:br/>
        <w:t xml:space="preserve">Conseils techniques pour le suivi et l'établissement de rapports sur les progrès accomplis dans la réalisation des objectifs mondiaux du Cadre de Sendai pour la réduction des risques de catastrophe </w:t>
        <w:br/>
        <w:t>(UNISDR 2018) https://www.preventionweb.net/publications/view/54970</w:t>
        <w:br/>
        <w:t>Autres références</w:t>
        <w:br/>
        <w:t xml:space="preserve">Rapport du groupe de travail intergouvernemental d'experts à composition non limitée sur les indicateurs et la terminologie relatifs à la réduction des risques de catastrophe (OEIWG). </w:t>
        <w:br/>
        <w:t>Disponible sur : Approuvé par l'AGNU le 2 février 2017. nd https://www.preventionweb.net/publications/view/51748</w:t>
        <w:br/>
        <w:t>Exemples de pays</w:t>
        <w:br/>
        <w:t>N/D</w:t>
      </w:r>
    </w:p>
    <w:p>
      <w:pPr>
        <w:pStyle w:val="Heading2"/>
      </w:pPr>
      <w:r>
        <w:t>Page 276</w:t>
      </w:r>
    </w:p>
    <w:p>
      <w:r>
        <w:t>Texte d'en-tête</w:t>
        <w:br/>
        <w:t>Texte de pied de page</w:t>
        <w:br/>
        <w:t>Ce document a été préparé sur la base des contributions du Bureau des Nations Unies pour la réduction des risques de catastrophe (UNISDR).</w:t>
        <w:br/>
        <w:t>Pour obtenir des informations sur les points focaux pour cet indicateur, veuillez visiter https://unstats.un.org/sdgs/dataContacts/</w:t>
      </w:r>
    </w:p>
    <w:p>
      <w:pPr>
        <w:pStyle w:val="Heading2"/>
      </w:pPr>
      <w:r>
        <w:t>Page 277</w:t>
      </w:r>
    </w:p>
    <w:p>
      <w:r>
        <w:t>Texte d'en-tête</w:t>
        <w:br/>
        <w:t>Texte de pied de page</w:t>
        <w:br/>
        <w:t>Indicateur 11.6.1</w:t>
        <w:br/>
        <w:t>Page d'accueil du manuel électronique</w:t>
        <w:br/>
        <w:t>Nom de l’indicateur, cible et objectif</w:t>
        <w:br/>
        <w:t>Définition et justification</w:t>
        <w:br/>
        <w:t>Contenu</w:t>
        <w:br/>
        <w:t>Nom de l’indicateur, cible et objectif</w:t>
        <w:br/>
        <w:t>Définition et justification</w:t>
        <w:br/>
        <w:t>Sources de données et méthode de collecte</w:t>
        <w:br/>
        <w:t>Méthode de calcul et autres considérations méthodologiques</w:t>
        <w:br/>
        <w:t>Désagrégation des données</w:t>
        <w:br/>
        <w:t>Références</w:t>
        <w:br/>
        <w:t>Organisation(s) internationale(s) de surveillance mondiale</w:t>
        <w:br/>
        <w:t xml:space="preserve"> Indicateur 11.6.1 : Proportion de déchets solides municipaux collectés et gérés dans des installations contrôlées par rapport au total des déchets municipaux générés, par </w:t>
        <w:br/>
        <w:t>villes</w:t>
        <w:br/>
        <w:t xml:space="preserve">Cible 11.6 : D’ici 2030, réduire l’impact environnemental négatif des villes par habitant, notamment en accordant une attention particulière à la qualité de l’air et </w:t>
        <w:br/>
        <w:t>gestion des déchets municipaux et autres</w:t>
        <w:br/>
        <w:t>Objectif 11 : Rendre les villes et les établissements humains inclusifs, sûrs, résilients et durables</w:t>
      </w:r>
    </w:p>
    <w:p>
      <w:pPr>
        <w:pStyle w:val="Heading2"/>
      </w:pPr>
      <w:r>
        <w:t>Page 278</w:t>
      </w:r>
    </w:p>
    <w:p>
      <w:r>
        <w:t>Texte d'en-tête</w:t>
        <w:br/>
        <w:t>Texte de pied de page</w:t>
        <w:br/>
        <w:t>Sources de données et méthode de collecte</w:t>
        <w:br/>
        <w:t>Définition :</w:t>
        <w:br/>
        <w:t xml:space="preserve">Cet indicateur est défini comme la proportion de déchets solides municipaux collectés et gérés dans des installations contrôlées par rapport au total des déchets solides municipaux. </w:t>
        <w:br/>
        <w:t xml:space="preserve">générés par les villes. </w:t>
        <w:br/>
        <w:t>Concepts :</w:t>
        <w:br/>
        <w:t xml:space="preserve">Les déchets solides sont les déchets ou déchets générés par les ménages, les bureaux, les industries et les activités commerciales au sein d'une zone urbaine. </w:t>
        <w:br/>
        <w:t xml:space="preserve">Les déchets solides municipaux sont les déchets générés par les ménages et les déchets de nature similaire générés par les locaux commerciaux et industriels, par </w:t>
        <w:br/>
        <w:t xml:space="preserve">des institutions telles que les écoles, les hôpitaux, les maisons de retraite et les prisons, ainsi que des espaces publics tels que les rues, les marchés, les abattoirs, les lieux publics. </w:t>
        <w:br/>
        <w:t xml:space="preserve">toilettes, arrêts de bus, parcs et jardins. La définition de MSW doit suivre les définitions locales, il est donc important d'annoter les définitions locales et </w:t>
        <w:br/>
        <w:t xml:space="preserve">définition(s) nationale(s) des DSM. Cependant, MSW devrait exclure les déchets minéraux.  </w:t>
        <w:br/>
        <w:t xml:space="preserve">Le total des déchets solides municipaux générés par la Ville est la somme des déchets solides municipaux collectés et des déchets solides municipaux non collectés. </w:t>
        <w:br/>
        <w:t xml:space="preserve">Les déchets solides municipaux collectés font référence aux déchets qui sont régulièrement collectés à des adresses spécifiques ou à des points de collecte désignés. Collecte </w:t>
        <w:br/>
        <w:t xml:space="preserve">la fréquence dépendra des conditions locales et de tout pré-séparation des déchets. Par exemple, les déchets mélangés et les déchets organiques sont souvent </w:t>
        <w:br/>
        <w:t xml:space="preserve">collectées quotidiennement dans les climats tropicaux pour des raisons de santé publique, et généralement au moins une fois par semaine ; les matières recyclables sèches séparées à la source peuvent être collectées </w:t>
        <w:br/>
        <w:t xml:space="preserve">moins fréquemment. </w:t>
        <w:br/>
        <w:t xml:space="preserve">Les déchets solides municipaux non collectés font référence aux déchets générés dans une ville mais non collectés en raison du manque de services de collecte. </w:t>
        <w:br/>
        <w:t xml:space="preserve">Les déchets solides municipaux gérés dans des installations contrôlées font référence aux déchets acceptés dans une installation qui a atteint au moins un niveau intermédiaire. </w:t>
        <w:br/>
        <w:t xml:space="preserve">de contrôle des déchets solides municipaux collectés. Le niveau de contrôle pour une installation particulière peut être évalué à l'aide de critères qualitatifs, notamment 1) </w:t>
        <w:br/>
        <w:t xml:space="preserve">degré de contrôle sur la réception des déchets et la gestion générale du site ; 2) degré de contrôle sur le traitement et l’élimination des déchets et 3) degré de </w:t>
        <w:br/>
        <w:t xml:space="preserve">surveillance et vérification du contrôle environnemental. Une note d'au moins 10 sur chaque critère est le seuil requis pour être considéré comme </w:t>
        <w:br/>
        <w:t xml:space="preserve">« contrôlé ». </w:t>
        <w:br/>
        <w:t xml:space="preserve">Efforts internationaux de collecte de données (par exemple, questionnaire de la DSNU/Programme des Nations Unies pour l'environnement sur les statistiques environnementales - Déchets) </w:t>
        <w:br/>
        <w:t xml:space="preserve">Section) exclure les déchets provenant du réseau et du traitement des eaux usées municipales, les déchets municipaux de construction et de démolition de la définition de </w:t>
        <w:br/>
        <w:t xml:space="preserve">Déchets solides municipaux.  Les données éventuellement collectées pour cet indicateur des ODD, si elles sont autorisées à être ventilées selon ces catégories, peuvent permettre de produire des rapports pour </w:t>
        <w:br/>
        <w:t xml:space="preserve">à la fois pour les ODD et pour d’autres rapports internationaux (par exemple, questionnaire de la DSNU/Programme des Nations Unies pour l’environnement). </w:t>
        <w:br/>
        <w:t>Commentaires et limites :</w:t>
        <w:br/>
        <w:t xml:space="preserve">La collecte de données pour l’indicateur nécessitera une formation et un développement des capacités de suivi aux niveaux national et local. La précision de </w:t>
        <w:br/>
        <w:t xml:space="preserve">les données sur la production totale de déchets solides municipaux sont discutables. En général, les pays développés disposent de systèmes de collecte de données sur les déchets solides, mais la plupart </w:t>
        <w:br/>
        <w:t xml:space="preserve">des pays à revenu intermédiaire ou faible ne disposent pas de données. Dans ces pays et villes, des enquêtes auprès des ménages et d'autres enquêtes complémentaires peuvent </w:t>
        <w:br/>
        <w:t xml:space="preserve">être menée pour estimer la production de déchets municipaux par habitant. Cependant, l’un des principaux défis liés à la précision des données entre </w:t>
        <w:br/>
        <w:t xml:space="preserve">Dans les pays à faible revenu, le manque de données démographiques précises sur leur territoire, en particulier en ce qui concerne les bidonvilles, où il n'y a généralement pas de collecte de déchets. </w:t>
        <w:br/>
        <w:t xml:space="preserve">le service a lieu. Le jugement sur le niveau de contrôle des installations de gestion des déchets, notamment le compostage, le recyclage, l'incinération </w:t>
        <w:br/>
        <w:t xml:space="preserve">installations dans une ville, nécessite un niveau élevé de capacité technique et un investissement important en ressources humaines. </w:t>
        <w:br/>
        <w:t>Justification et interprétation :</w:t>
        <w:br/>
        <w:t xml:space="preserve">Une ville durable doit collecter et gérer de manière appropriée tous ses déchets solides afin d'améliorer le niveau de vie et la propreté. Intégré </w:t>
        <w:br/>
        <w:t>Des stratégies de gestion des déchets solides (GIDS) sont également nécessaires pour l'environnement. la durabilité mentale et la gestion efficace des ressources.</w:t>
      </w:r>
    </w:p>
    <w:p>
      <w:pPr>
        <w:pStyle w:val="Heading2"/>
      </w:pPr>
      <w:r>
        <w:t>Page 279</w:t>
      </w:r>
    </w:p>
    <w:p>
      <w:r>
        <w:t>Texte d'en-tête</w:t>
        <w:br/>
        <w:t>Texte de pied de page</w:t>
        <w:br/>
        <w:t>Méthode de calcul et autres considérations méthodologiques</w:t>
        <w:br/>
        <w:t>Production de déchets solides municipaux par habitant</w:t>
        <w:br/>
        <w:t xml:space="preserve">Pour les pays et les villes qui disposent déjà de données, celles-ci peuvent être collectées via les registres municipaux. Pour les pays et les villes qui ne disposent pas du </w:t>
        <w:br/>
        <w:t xml:space="preserve">données, une enquête auprès des ménages pour identifier la production quotidienne de déchets doit être réalisée, au moins deux fois par an à différentes saisons. Dans le ménage </w:t>
        <w:br/>
        <w:t xml:space="preserve">enquête, des sacs de doublure seront distribués à chaque ménage à enquêter et demander au chef de ménage de mettre 7 jours de déchets générés. Puis le </w:t>
        <w:br/>
        <w:t xml:space="preserve">les sacs de doublure sont collectés et leur poids est mesuré. Les ménages à enquêter doivent être sélectionnés en fonction de leurs niveaux de revenus. Municipale </w:t>
        <w:br/>
        <w:t>les déchets provenant d'autres sources telles que les marchés, les restaurants, les hôtels, les écoles, etc. doivent également être mesurés.</w:t>
        <w:br/>
        <w:t>Population dans la ville</w:t>
        <w:br/>
        <w:t>Recensement de la population</w:t>
        <w:br/>
        <w:t>Déchets solides municipaux gérés dans une installation contrôlée</w:t>
        <w:br/>
        <w:t xml:space="preserve">Une enquête sur le jugement qualitatif du traitement des déchets et des installations ainsi que sur la quantité quotidienne de déchets reçus par les installations est nécessaire. Le </w:t>
        <w:br/>
        <w:t>La feuille ci-dessous peut être utilisée.</w:t>
        <w:br/>
        <w:t>Exemple de feuille d'enquête pour les installations de recyclage et de traitement</w:t>
        <w:br/>
        <w:t xml:space="preserve">Installation de traitement </w:t>
        <w:br/>
        <w:t>nom</w:t>
        <w:br/>
        <w:t xml:space="preserve">Degré de contrôle </w:t>
        <w:br/>
        <w:t>score</w:t>
        <w:br/>
        <w:t xml:space="preserve">Processus </w:t>
        <w:br/>
        <w:t>employé</w:t>
        <w:br/>
        <w:t xml:space="preserve">Type de </w:t>
        <w:br/>
        <w:t>déchets</w:t>
        <w:br/>
        <w:t xml:space="preserve">Quantité de déchets solides </w:t>
        <w:br/>
        <w:t>reçu</w:t>
        <w:br/>
        <w:t xml:space="preserve">Quantité d'eaux usées </w:t>
        <w:br/>
        <w:t>boue</w:t>
        <w:br/>
        <w:t xml:space="preserve">Montant de </w:t>
        <w:br/>
        <w:t>résidu</w:t>
        <w:br/>
        <w:t xml:space="preserve">Où les résidus sont </w:t>
        <w:br/>
        <w:t>exporté</w:t>
        <w:br/>
        <w:t>(1)</w:t>
        <w:br/>
        <w:t xml:space="preserve"> (t) (t) (t)(2)</w:t>
        <w:br/>
        <w:t>(3)</w:t>
        <w:br/>
        <w:t>(1)</w:t>
        <w:br/>
        <w:t xml:space="preserve"> (t)  (t)  (t)(2)</w:t>
        <w:br/>
        <w:t>(3)</w:t>
        <w:br/>
        <w:t>Exemple de feuille d'enquête pour les installations d'élimination</w:t>
        <w:br/>
        <w:t>Nom des sites de décharge Type de décharge Année de début d’exploitation Degré de score de contrôle Quantité de DSM reçue Quantité de boues d’épuration reçue</w:t>
        <w:br/>
        <w:t>(1)</w:t>
        <w:br/>
        <w:t xml:space="preserve"> (t) (t)(2)</w:t>
        <w:br/>
        <w:t>(3)</w:t>
        <w:br/>
        <w:t>(1)</w:t>
        <w:br/>
        <w:t xml:space="preserve"> (t) (t)(2)</w:t>
        <w:br/>
        <w:t>(3)</w:t>
        <w:br/>
        <w:t xml:space="preserve">À l'échelle mondiale, des données sont déjà collectées pour les statistiques connexes contenues dans la DSNU/Programme des Nations Unies pour l'environnement. </w:t>
        <w:br/>
        <w:t xml:space="preserve">Un questionnaire et des orientations méthodologiques pour les statistiques sont en cours d'élaboration dans la fiche méthodologique sur les statistiques des déchets du Manuel sur </w:t>
        <w:br/>
        <w:t>l'ensemble de base de statistiques environnementales ( ).https://unstats.un.org/unsd/envstats/fdes/manual_bses.cshtml</w:t>
        <w:br/>
        <w:t>Méthode de calcul :</w:t>
        <w:br/>
        <w:t>L'indicateur est calculé comme suit :</w:t>
        <w:br/>
        <w:t xml:space="preserve">Le total des déchets solides municipaux générés par la ville peut être estimé en multipliant la production de déchets solides municipaux par habitant et </w:t>
        <w:br/>
        <w:t xml:space="preserve">population de la ville. Lorsque la production de déchets solides municipaux par habitant n'est pas disponible, une enquête auprès des ménages pour une production quotidienne de déchets dans </w:t>
        <w:br/>
        <w:t xml:space="preserve">les ménages et autres locaux (par exemple restaurants, hôtels, hôpitaux, écoles, etc.) doivent être menés. Étant donné que la production de déchets peut différer </w:t>
        <w:br/>
        <w:t>selon les saisons, l'enquête doit être menée au moins deux fois par an pour estimer la production de déchets solides municipaux par habitant.</w:t>
        <w:br/>
        <w:t xml:space="preserve">Les déchets solides municipaux gérés dans une installation contrôlée sont estimés par un jugement qualitatif du degré de contrôle environnemental des installations. </w:t>
        <w:br/>
        <w:t xml:space="preserve">où les déchets municipaux de la ville sont collectés et transportés. Le jugement du contrôle environnemental peut être effectué conformément aux critères </w:t>
        <w:br/>
        <w:t>ci-dessous. Une autre chose importante est de déduire la quantité de résidus provenant des installations de traitement pour éviter un double comptage.</w:t>
      </w:r>
    </w:p>
    <w:p>
      <w:pPr>
        <w:pStyle w:val="Heading2"/>
      </w:pPr>
      <w:r>
        <w:t>Page 280</w:t>
      </w:r>
    </w:p>
    <w:p>
      <w:r>
        <w:t>Texte d'en-tête</w:t>
        <w:br/>
        <w:t>Texte de pied de page</w:t>
        <w:br/>
        <w:t xml:space="preserve">(1) Degré de contrôle sur la réception des déchets et </w:t>
        <w:br/>
        <w:t xml:space="preserve">manutention sur chaque site. Ce critère doit être appliqué </w:t>
        <w:br/>
        <w:t xml:space="preserve">à tous les sites de traitement et d’élimination, quel que soit le </w:t>
        <w:br/>
        <w:t>processus spécifique utilisé.</w:t>
        <w:br/>
        <w:t>Les facteurs affectant l'évaluation comprennent :</w:t>
        <w:br/>
        <w:t xml:space="preserve">Accès des véhicules au site (niveau élevé de contrôle : routes d'accès à revêtement dur de </w:t>
        <w:br/>
        <w:t>largeur et capacité portante adéquates, maintenu propre et exempt de boue)</w:t>
        <w:br/>
        <w:t xml:space="preserve"> Gestion du trafic (niveau élevé de contrôle : les files d'attente pour l'accès au site sont courtes </w:t>
        <w:br/>
        <w:t>dans le temps et contenus dans le site ; peu d'impact de la circulation sur les voisins).</w:t>
        <w:br/>
        <w:t xml:space="preserve">Sécurité du site (niveau élevé de contrôle : site clôturé ; aucun accès non autorisé au site ; </w:t>
        <w:br/>
        <w:t>portails verrouillés à la fermeture du site).</w:t>
        <w:br/>
        <w:t xml:space="preserve">Réception des déchets et tenue des registres (niveau élevé de contrôle : bureau de réception ; </w:t>
        <w:br/>
        <w:t xml:space="preserve">doté de personnel pendant toutes les heures d'ouverture ; tous les véhicules enregistrés et les chargements vérifiés ; </w:t>
        <w:br/>
        <w:t xml:space="preserve">pont-bascule installé et tous les poids enregistrés). Notez que les procédures pour </w:t>
        <w:br/>
        <w:t>le suivi des enregistrements ainsi collectés est évalué sous (3).</w:t>
        <w:br/>
        <w:t xml:space="preserve">Déchargement des déchets (niveau élevé de contrôle : déchets dirigés vers une zone désignée ; </w:t>
        <w:br/>
        <w:t>déchargement supervisé par le personnel du chantier).</w:t>
        <w:br/>
        <w:t xml:space="preserve">Contrôle des nuisances (niveau élevé de contrôle : contrôle réussi des </w:t>
        <w:br/>
        <w:t>détritus, mouches, vermine, oiseaux et de « boue » sortant du chantier sur les pneus des véhicules)</w:t>
        <w:br/>
        <w:t xml:space="preserve">Contrôle des incendies (niveau élevé de contrôle : pas de brûlage systématique des déchets ; pas de feux « sauvages » ; </w:t>
        <w:br/>
        <w:t xml:space="preserve">des systèmes actifs de prévention des incendies et d’intervention d’urgence sont en place en cas de </w:t>
        <w:br/>
        <w:t>incendie accidentel)</w:t>
        <w:br/>
        <w:t xml:space="preserve">une. Aucun contrôle                                    </w:t>
        <w:br/>
        <w:t>b. Faible niveau de contrôle</w:t>
        <w:br/>
        <w:t>c. Niveau de contrôle moyen</w:t>
        <w:br/>
        <w:t>d. Niveau de contrôle moyen/élevé</w:t>
        <w:br/>
        <w:t>e. Haut niveau de contrôle</w:t>
        <w:br/>
        <w:t>0 est marqué</w:t>
        <w:br/>
        <w:t>5</w:t>
        <w:br/>
        <w:t>10</w:t>
        <w:br/>
        <w:t>15</w:t>
        <w:br/>
        <w:t>20</w:t>
        <w:br/>
        <w:t xml:space="preserve">(2) Degré de contrôle sur le traitement des déchets </w:t>
        <w:br/>
        <w:t xml:space="preserve">et processus d'élimination en vigueur sur chaque site et au-delà </w:t>
        <w:br/>
        <w:t>toute émission potentielle.</w:t>
        <w:br/>
        <w:t xml:space="preserve">Ce critère couvre à la fois la présence du </w:t>
        <w:br/>
        <w:t xml:space="preserve">technologies nécessaires et le fonctionnement </w:t>
        <w:br/>
        <w:t>procédures pour leur bon usage.</w:t>
        <w:br/>
        <w:t xml:space="preserve">La nature des contrôles requis dépendra à la fois du processus employé et de la </w:t>
        <w:br/>
        <w:t xml:space="preserve">émissions potentielles. À titre d'exemple, le tableau ci-dessous fournit des indications sur la manière dont </w:t>
        <w:br/>
        <w:t xml:space="preserve">des principes généraux peuvent être appliqués à l’élimination en terre et au traitement thermique (en utilisant le </w:t>
        <w:br/>
        <w:t>exemple spécifique d'incinération par brûlage de masse).</w:t>
        <w:br/>
        <w:t xml:space="preserve">Pour le traitement biologique, les détails varient selon le type de processus (par exemple, andain </w:t>
        <w:br/>
        <w:t xml:space="preserve">compostage, compostage en cuve, digestion anaérobie). Cependant, dans tous les cas, un « haut </w:t>
        <w:br/>
        <w:t xml:space="preserve">« niveau de contrôle » impliquerait un degré élevé de contrôle sur : les déchets entrants (à </w:t>
        <w:br/>
        <w:t xml:space="preserve">éviter les déchets dangereux ou les matériaux contraires) ; température de traitement pour assurer </w:t>
        <w:br/>
        <w:t xml:space="preserve">destruction des agents pathogènes ; temps de rétention dans le processus ; mélange dans le processus (y compris </w:t>
        <w:br/>
        <w:t xml:space="preserve">retournement des andains) ; les émissions atmosphériques, y compris les odeurs et les bioaérosols ; et </w:t>
        <w:br/>
        <w:t>collecte et traitement des lixiviats.</w:t>
        <w:br/>
        <w:t xml:space="preserve">Des principes similaires peuvent être appliqués à d'autres installations, y compris les installations mécano-biologiques. </w:t>
        <w:br/>
        <w:t xml:space="preserve">(MBT), traitement thermique avancé et nouvelles technologies pour </w:t>
        <w:br/>
        <w:t xml:space="preserve">valorisation des déchets organiques dans les pays en développement. Dans chaque cas, l'utilisateur peut utiliser </w:t>
        <w:br/>
        <w:t>les tableaux de notation suivants à titre de ligne directrice de « meilleur jugement » pour la notation.</w:t>
        <w:br/>
        <w:t xml:space="preserve">Lorsqu'un combustible est fabriqué à partir de déchets destinés à être brûlés ailleurs, l'évaluation </w:t>
        <w:br/>
        <w:t>devrait inclure les contrôles des processus et des émissions dans les installations des utilisateurs.</w:t>
      </w:r>
    </w:p>
    <w:p>
      <w:pPr>
        <w:pStyle w:val="Heading2"/>
      </w:pPr>
      <w:r>
        <w:t>Page 281</w:t>
      </w:r>
    </w:p>
    <w:p>
      <w:r>
        <w:t>Texte d'en-tête</w:t>
        <w:br/>
        <w:t>Texte de pied de page</w:t>
        <w:br/>
        <w:t>Désagrégation des données</w:t>
        <w:br/>
        <w:t>Références</w:t>
        <w:br/>
        <w:t xml:space="preserve">(3) Degré de surveillance et de vérification des </w:t>
        <w:br/>
        <w:t xml:space="preserve">contrôles environnementaux (comprend l’existence et </w:t>
        <w:br/>
        <w:t xml:space="preserve">mise en œuvre régulière de : mesures environnementales robustes </w:t>
        <w:br/>
        <w:t xml:space="preserve">procédures de permis/licence; enregistrement régulier </w:t>
        <w:br/>
        <w:t xml:space="preserve">la conservation, le contrôle et la vérification effectués par </w:t>
        <w:br/>
        <w:t xml:space="preserve">l'installation elle-même ; ET la surveillance, l'inspection et </w:t>
        <w:br/>
        <w:t>vérification par un organisme de réglementation indépendant)</w:t>
        <w:br/>
        <w:t xml:space="preserve">Le programme de surveillance environnementale et la tenue des registres de contrôle des processus </w:t>
        <w:br/>
        <w:t>requis sera spécifique au type d’installation.</w:t>
        <w:br/>
        <w:t xml:space="preserve">Tous les sites doivent être conformes à la législation environnementale fédérale/nationale/locale, </w:t>
        <w:br/>
        <w:t xml:space="preserve">avoir réalisé une étude d’impact sur l’environnement (EIE) si nécessaire, </w:t>
        <w:br/>
        <w:t>avoir obtenu le permis/licence le plus récent et l'avoir tenu à jour.</w:t>
        <w:br/>
        <w:t xml:space="preserve">Les processus d’autorisation devraient soutenir les initiatives qui améliorent </w:t>
        <w:br/>
        <w:t xml:space="preserve">performance environnementale du système. Un score inférieur doit être attribué si </w:t>
        <w:br/>
        <w:t xml:space="preserve">les processus d'autorisation pour des installations améliorées ont été excessivement longs et complexes, </w:t>
        <w:br/>
        <w:t xml:space="preserve">tandis que les installations existantes  ont continué à fonctionner avec des niveaux beaucoup plus faibles (ou aucun) </w:t>
        <w:br/>
        <w:t>contrôle environnemental.</w:t>
        <w:br/>
        <w:t xml:space="preserve">Pour tous les sites, il doit inclure les volumes, poids et catégories de déchets entrants ; </w:t>
        <w:br/>
        <w:t xml:space="preserve">surveillance au moins occasionnelle de la composition des déchets et de leurs propriétés pertinentes ; </w:t>
        <w:br/>
        <w:t xml:space="preserve">contrôle des « nuisances » (y compris les détritus soufflés par le vent, les mouches, la vermine, les oiseaux et la « boue ») </w:t>
        <w:br/>
        <w:t xml:space="preserve">quitter le chantier avec des pneus de véhicule) ; et le contrôle des odeurs, des incendies de site et des émissions de </w:t>
        <w:br/>
        <w:t xml:space="preserve">gaz à effet de serre potentiels (notamment méthane et oxydes d'azote, ainsi que </w:t>
        <w:br/>
        <w:t>dioxyde de carbone).</w:t>
        <w:br/>
        <w:t>Pour toute élimination terrestre : eaux souterraines et superficielles.</w:t>
        <w:br/>
        <w:t>Pour les décharges techniques et sanitaires : gestion des lixiviats et des gaz de décharge.</w:t>
        <w:br/>
        <w:t xml:space="preserve">Pour le traitement thermique : teneur en humidité et pouvoir calorifique des déchets entrants ; </w:t>
        <w:br/>
        <w:t xml:space="preserve">température, temps de séjour, émissions dans l'air (y compris celles d'oxydes d'azote </w:t>
        <w:br/>
        <w:t xml:space="preserve">(NO), dioxyde de soufre (SO2), chlorure d'hydrogène (HCl), métaux lourds et </w:t>
        <w:br/>
        <w:t xml:space="preserve">dioxines), le traitement et l'élimination des effluents, ainsi que les quantités et la gestion </w:t>
        <w:br/>
        <w:t>méthodes de cendres volantes et de cendres résiduelles.</w:t>
        <w:br/>
        <w:t xml:space="preserve">Pour le traitement biologique : contrôle des déchets entrants (pour protéger à la fois le procédé et </w:t>
        <w:br/>
        <w:t xml:space="preserve">la qualité du produit) ; contrôle du procédé (température, temps de séjour, mélange) ; </w:t>
        <w:br/>
        <w:t xml:space="preserve">contrôle de la qualité des produits ; contrôles des émissions; et contrôle des gaz à effet de serre </w:t>
        <w:br/>
        <w:t>(notamment le méthane et les oxydes d'azote).</w:t>
        <w:br/>
        <w:t>un. Aucune conformité</w:t>
        <w:br/>
        <w:t>b. Faible conformité</w:t>
        <w:br/>
        <w:t>c. Conformité moyenne</w:t>
        <w:br/>
        <w:t>d. Conformité moyenne/élevée</w:t>
        <w:br/>
        <w:t>e. Conformité élevée</w:t>
        <w:br/>
        <w:t>0 est marqué</w:t>
        <w:br/>
        <w:t>5</w:t>
        <w:br/>
        <w:t>10</w:t>
        <w:br/>
        <w:t>15</w:t>
        <w:br/>
        <w:t>20</w:t>
        <w:br/>
        <w:t xml:space="preserve">Niveau de </w:t>
        <w:br/>
        <w:t>Contrôle</w:t>
        <w:br/>
        <w:t>S</w:t>
        <w:br/>
        <w:t>c</w:t>
        <w:br/>
        <w:t>o</w:t>
        <w:br/>
        <w:t>re</w:t>
        <w:br/>
        <w:t>Élimination des terres Traitement thermique</w:t>
        <w:br/>
        <w:t>une. Aucun 0 Déversement incontrôlé – aucun contrôle Brûlage incontrôlé dépourvu de la plupart des fonctions de « contrôle »</w:t>
        <w:br/>
        <w:t xml:space="preserve">b. Faible </w:t>
        <w:br/>
        <w:t>(Semi-</w:t>
        <w:br/>
        <w:t>contrôler</w:t>
        <w:br/>
        <w:t>d installation)</w:t>
        <w:br/>
        <w:t xml:space="preserve">5 Site doté en personnel ; déchets déposés dans une zone désignée ; certains équipements du site Personnel du site ; un certain confinement et une certaine gestion de la combustion </w:t>
        <w:br/>
        <w:t>processus ; procédures opérationnelles de base pour contrôler les nuisances</w:t>
        <w:br/>
        <w:t xml:space="preserve">c. Moyen </w:t>
        <w:br/>
        <w:t>(Contrôle</w:t>
        <w:br/>
        <w:t xml:space="preserve">éd </w:t>
        <w:br/>
        <w:t>établissement)</w:t>
        <w:br/>
        <w:t xml:space="preserve">10 Déchets compactés à l'aide des équipements du chantier ; déchets couverts (au moins </w:t>
        <w:br/>
        <w:t>irrégulièrement)</w:t>
        <w:br/>
        <w:t xml:space="preserve">Contrôles des émissions pour capturer les particules ; le personnel formé suit l'ensemble </w:t>
        <w:br/>
        <w:t xml:space="preserve">procédures opérationnelles ; équipement correctement entretenu; cendre </w:t>
        <w:br/>
        <w:t>correctement géré</w:t>
        <w:br/>
        <w:t>d. Moyen</w:t>
        <w:br/>
        <w:t xml:space="preserve">/haut </w:t>
        <w:br/>
        <w:t>(Moteur</w:t>
        <w:br/>
        <w:t xml:space="preserve">ered </w:t>
        <w:br/>
        <w:t>établissement)</w:t>
        <w:br/>
        <w:t xml:space="preserve">15 Site d'enfouissement technique : utiliser quotidiennement des matériaux de couverture ; un certain niveau de </w:t>
        <w:br/>
        <w:t>confinement et traitement des lixiviats ; collecte de gaz de décharge</w:t>
        <w:br/>
        <w:t xml:space="preserve">Niveaux élevés d'ingénierie et de contrôle des processus de résidence </w:t>
        <w:br/>
        <w:t xml:space="preserve">temps, turbulence et température ; contrôles des émissions pour capturer </w:t>
        <w:br/>
        <w:t>les gaz acides et capter les dioxines ; gestion active des cendres volantes.</w:t>
        <w:br/>
        <w:t xml:space="preserve">e. Élevé </w:t>
        <w:br/>
        <w:t>(État-</w:t>
        <w:br/>
        <w:t>du-</w:t>
        <w:br/>
        <w:t xml:space="preserve">art </w:t>
        <w:br/>
        <w:t>établissement)</w:t>
        <w:br/>
        <w:t xml:space="preserve">20 Décharge sanitaire entièrement fonctionnelle : correctement située et conçue ; </w:t>
        <w:br/>
        <w:t xml:space="preserve">confinement des lixiviats (argile naturellement consolidée sur le site ou </w:t>
        <w:br/>
        <w:t xml:space="preserve">doublure construite); collecte des lixiviats et des gaz ; torchage de gaz et/ou </w:t>
        <w:br/>
        <w:t>utilisation; couverture finale ; plan post-fermeture</w:t>
        <w:br/>
        <w:t xml:space="preserve">Construit et fonctionnant conformément aux meilleures normes internationales </w:t>
        <w:br/>
        <w:t xml:space="preserve">pratique, y compris par ex. UE ou autre pile similaire et stricte et </w:t>
        <w:br/>
        <w:t xml:space="preserve">Critères d'émission de GES Cendres volantes gérées comme un déchet dangereux </w:t>
        <w:br/>
        <w:t>en utilisant la meilleure technologie appropriée.</w:t>
        <w:br/>
        <w:t>Les données pour cet indicateur peuvent être ventilées au niveau de la ville et de la commune.</w:t>
        <w:br/>
        <w:t>- Désagrégation tion par population (production de déchets par habitant)</w:t>
        <w:br/>
        <w:t>- Répartition par type d'établissement</w:t>
        <w:br/>
        <w:t>- Ventilation par type de matériau, c'est-à-dire par réseau d'égouts et traitement des eaux municipales, déchets municipaux de construction et de démolition et tout autre</w:t>
      </w:r>
    </w:p>
    <w:p>
      <w:pPr>
        <w:pStyle w:val="Heading2"/>
      </w:pPr>
      <w:r>
        <w:t>Page 282</w:t>
      </w:r>
    </w:p>
    <w:p>
      <w:r>
        <w:t>Texte d'en-tête</w:t>
        <w:br/>
        <w:t>Texte de pied de page</w:t>
        <w:br/>
        <w:t>Organisation(s) internationale(s) de surveillance mondiale</w:t>
        <w:br/>
        <w:t>URL officielle des métadonnées ODD</w:t>
        <w:br/>
        <w:t xml:space="preserve">https://unstats.un.org/sdgs/metadata/files/Metadata-11-06-01.pdf  </w:t>
        <w:br/>
        <w:t>Méthodologie reconnue au niveau international et URL des lignes directrices</w:t>
        <w:br/>
        <w:t>https://unstats.un.org/unsd/envstats/fdes/manual_bses.cshtml</w:t>
        <w:br/>
        <w:t>Autres références</w:t>
        <w:br/>
        <w:t>ONU-Habitat (2010). , Earthscan, Londres, ISBN 978-1-Gestion des déchets solides dans les villes du monde Eau et assainissement dans les villes du monde</w:t>
        <w:br/>
        <w:t>84971-169-2 http://mirror.unhabitat.org/pmss/listItemDetails.aspx?publicationID=2918</w:t>
        <w:br/>
        <w:t>ONU Environnement (2015), ISBN : 978-92-807-3479-9 Perspectives mondiales de la gestion des déchets http://web.unep.org/ourplanet/september-2015/unep-</w:t>
        <w:br/>
        <w:t>publications/perspectives-globales-de-gestion-des-déchets</w:t>
        <w:br/>
        <w:t xml:space="preserve">Division de statistique des Nations Unies/Programme des Nations Unies pour l'environnement Division de statistique des Nations Unies/Nations Unies pour l'environnement </w:t>
        <w:br/>
        <w:t xml:space="preserve">   Questionnaire du programme sur les statistiques de l'environnement, https://unstats.un.org/unsd/envstats/questionnaire</w:t>
        <w:br/>
        <w:t>Division de statistique des Nations Unies, Indicateurs environnementaux de la DSNU, https://unstats.un.org/unsd/envstats/qindicators</w:t>
        <w:br/>
        <w:t>Association internationale de gestion des déchets solides (2015) Feuille de route pour la fermeture des décharges : les endroits les plus pollués au monde, http://www.</w:t>
        <w:br/>
        <w:t xml:space="preserve">  Consulté le 26 novembre 2016 iswa.org/fileadmin/galleries/About%20ISWA/ISWA_Roadmap_Report.pdf</w:t>
        <w:br/>
        <w:t>Wilson et al - Indicateurs Wasteaware GIDS - doi10.1016j.wasman.2014.10.006 - janvier 2015</w:t>
        <w:br/>
        <w:t>Wilson_et_al_Supplementary_information_Wasteaware_ISWM_Benchmark_Indicators_User_Manual_Online</w:t>
        <w:br/>
        <w:t xml:space="preserve">Ce document a été préparé sur la base des contributions d'ONU-Habitat et de la Division de statistique des Nations Unies (DSNU). </w:t>
        <w:br/>
        <w:t>Pour obtenir des informations sur les points focaux pour cet indicateur, veuillez visiter https://unstats.un.org/sdgs/dataContacts/</w:t>
      </w:r>
    </w:p>
    <w:p>
      <w:pPr>
        <w:pStyle w:val="Heading2"/>
      </w:pPr>
      <w:r>
        <w:t>Page 283</w:t>
      </w:r>
    </w:p>
    <w:p>
      <w:r>
        <w:t>Texte d'en-tête</w:t>
        <w:br/>
        <w:t>Texte de pied de page</w:t>
        <w:br/>
        <w:t>Indicateur 11.6.2</w:t>
        <w:br/>
        <w:t>Page d'accueil du manuel électronique</w:t>
        <w:br/>
        <w:t xml:space="preserve"> </w:t>
        <w:br/>
        <w:t>Nom de l’indicateur, cible et objectif</w:t>
        <w:br/>
        <w:t>Définition et justification</w:t>
        <w:br/>
        <w:t>Sources de données et méthode de collecte</w:t>
        <w:br/>
        <w:t>Contenu</w:t>
        <w:br/>
        <w:t>Nom de l’indicateur, cible et objectif</w:t>
        <w:br/>
        <w:t>Définition et justification</w:t>
        <w:br/>
        <w:t>Sources de données et méthode de collecte</w:t>
        <w:br/>
        <w:t>Méthode de calcul et autres considérations méthodologiques</w:t>
        <w:br/>
        <w:t>Désagrégation des données</w:t>
        <w:br/>
        <w:t>Références</w:t>
        <w:br/>
        <w:t>Organisation(s) internationale(s) de surveillance mondiale</w:t>
        <w:br/>
        <w:t xml:space="preserve"> Indicateur 11.6.2 : Niveaux moyens annuels de particules fines (par exemple PM 2,5 et PM 10) dans les villes (pondérés par la population)</w:t>
        <w:br/>
        <w:t xml:space="preserve">Cible 11.6 : D’ici 2030, réduire l’impact environnemental négatif des villes par habitant, notamment en accordant une attention particulière à la qualité de l’air et </w:t>
        <w:br/>
        <w:t>gestion des déchets municipaux et autres</w:t>
        <w:br/>
        <w:t>Objectif 11 : Rendre les villes et les établissements humains inclusifs, sûrs, résilients et durables</w:t>
        <w:br/>
        <w:t>Définition :</w:t>
        <w:br/>
        <w:t xml:space="preserve">Cet indicateur est défini comme la moyenne annuelle des concentrations journalières de particules fines en suspension de diamètre égal ou inférieur à 2,5 microns. </w:t>
        <w:br/>
        <w:t>(PM ) dans les zones urbaines. 2.5</w:t>
        <w:br/>
        <w:t xml:space="preserve">Les particules sont un indicateur reconnu pour mesurer la pollution atmosphérique. Cette moyenne est une moyenne pondérée en fonction de la population, par ex. si plusieurs villes mesurent </w:t>
        <w:br/>
        <w:t>PM , la moyenne du pays sera pondérée avec la population de la ville correspondante et est exprimée en microgrammes par mètre cube .2,5</w:t>
        <w:br/>
        <w:t xml:space="preserve">  </w:t>
        <w:br/>
        <w:t>À ce jour, les particules d'un diamètre égal ou inférieur à 10 microns (PM ) sont encore plus couramment mesurées que les PM2,5 dans le monde, 10</w:t>
        <w:br/>
        <w:t>même si cela évolue (OMS 2016a). Pour convertir les PM en PM , des facteurs de conversion peuvent être utilisés, généralement compris entre 0,3 et 0,8 (OMS, 2014). 10 2,5</w:t>
        <w:br/>
        <w:t xml:space="preserve">L’indicateur présenté ici est modélisé pour toutes les zones urbaines de chaque pays par l’OMS (Shaddick et al, 2016 ; OMS 2016b) à la suite du </w:t>
        <w:br/>
        <w:t xml:space="preserve">méthodologie décrite ci-dessous. </w:t>
        <w:br/>
        <w:t>Concepts :</w:t>
        <w:br/>
        <w:t xml:space="preserve">Les particules d'un diamètre égal ou inférieur à 2,5 microns (PM2,5) sont le polluant le plus couramment utilisé en épidémiologie. </w:t>
        <w:br/>
        <w:t xml:space="preserve">études sur les effets sur la santé dus à l’exposition à la pollution atmosphérique. Les PM2,5 sont un bon indicateur de mélanges de pollution complexes et de résultats épidémiologiques </w:t>
        <w:br/>
        <w:t xml:space="preserve">suggèrent qu’il s’agit d’un risque majeur pour la santé humaine. Les matières particulaires sont constituées de particules solides et de gouttelettes liquides formées par des matières organiques et </w:t>
        <w:br/>
        <w:t xml:space="preserve">substances inorganiques en suspension dans l'air. </w:t>
        <w:br/>
        <w:t>Justification et interprétation :</w:t>
        <w:br/>
        <w:t xml:space="preserve">Les principales sources de particules (PM2,5) sont la combustion humaine de combustibles fossiles provenant d'activités telles que l'industrie, la circulation et l'électricité. </w:t>
        <w:br/>
        <w:t>génération, mais aussi des combustibles domestiques (par exemple biomasse, charbon) brûlés pour les activités de chauffage, de cuisine et d'éclairage au niveau du ménage. Non-</w:t>
        <w:br/>
        <w:t xml:space="preserve">les sources anthropiques (par exemple les incendies) peuvent également être importantes dans certaines zones. Ces particules peuvent pénétrer profondément dans les voies respiratoires et </w:t>
        <w:br/>
        <w:t xml:space="preserve">constituent donc un risque à long terme pour la santé en augmentant la mortalité due aux infections et maladies respiratoires, au cancer du poumon et à certains </w:t>
        <w:br/>
        <w:t xml:space="preserve">maladies cardiovasculaires. </w:t>
        <w:br/>
        <w:t xml:space="preserve">La valeur de l’indicateur déclarée est pondérée en fonction de la population, car du point de vue de la santé, il est important de connaître l’étendue de l’exposition. </w:t>
        <w:br/>
        <w:t xml:space="preserve">répartition entre les populations afin d’évaluer les impacts sur la santé. </w:t>
        <w:br/>
        <w:t xml:space="preserve">Les données pour cet indicateur sont collectées à l'aide (1) de réseaux de surveillance de la qualité de l'air urbain au sol (OMS 2016a) et, lorsqu'ils ne sont pas disponibles, (2) </w:t>
        <w:br/>
        <w:t xml:space="preserve">des données supplémentaires telles que des récupérations par satellite de la profondeur optique des aérosols, des modèles de transport chimique, de la topographie, etc. Des détails supplémentaires sur la méthode peuvent être obtenus. </w:t>
        <w:br/>
        <w:t xml:space="preserve">peuvent être trouvés dans Shaddick et al (2016). </w:t>
        <w:br/>
        <w:t xml:space="preserve">Les sources de données comprennent les rapports nationaux officiels des ministères concernés (généralement le ministère de l'Environnement), mais aussi les rapports régionaux et nationaux. </w:t>
        <w:br/>
        <w:t xml:space="preserve">réseaux internationaux tels que l'Agence européenne pour l'environnement et Clean Air Asia, les agences des Nations Unies, les agences de développement, les articles de pairs </w:t>
        <w:br/>
        <w:t xml:space="preserve">a examiné des revues et des mesures au sol compilées dans le cadre du Global Burden of Disease Project. Partout où il y a des lacunes dans la couverture </w:t>
        <w:br/>
        <w:t>Reste que l’analyse de l’imagerie satellitaire est utilisée pour estimer les données nécessaires au suivi de cet indicateur.</w:t>
      </w:r>
    </w:p>
    <w:p>
      <w:pPr>
        <w:pStyle w:val="Heading2"/>
      </w:pPr>
      <w:r>
        <w:t>Page 284</w:t>
      </w:r>
    </w:p>
    <w:p>
      <w:r>
        <w:t>Texte d'en-tête</w:t>
        <w:br/>
        <w:t>Texte de pied de page</w:t>
        <w:br/>
        <w:t>Méthode de calcul et autres considérations méthodologiques</w:t>
        <w:br/>
        <w:t>Désagrégation des données</w:t>
        <w:br/>
        <w:t>Références</w:t>
        <w:br/>
        <w:t>Organisation(s) internationale(s) de surveillance mondiale</w:t>
        <w:br/>
        <w:t xml:space="preserve">Méthode de calcul : </w:t>
        <w:br/>
        <w:t xml:space="preserve">Bien que les mesures PM10 et PM2,5 soient régulièrement collectées dans des milliers d'endroits à travers le monde, le nombre de moniteurs dans </w:t>
        <w:br/>
        <w:t xml:space="preserve">les différentes zones géographiques varient, certaines zones faisant l’objet de peu ou pas de surveillance (OMS 2016a). Lorsque des données de surveillance au sol sont disponibles, </w:t>
        <w:br/>
        <w:t xml:space="preserve">des modèles statistiques sont utilisés pour calibrer les mesures avec des données provenant d’autres sources. Ceux-ci incluent des estimations de PM2,5 obtenues à distance </w:t>
        <w:br/>
        <w:t>satellites de détection, modèle de transport chimique et d'autres facteurs, notamment la poussière de sable et la topographie, qui sont tous disponibles pour chaque grille de 0,1°.</w:t>
        <w:br/>
        <w:t xml:space="preserve">cellule. Le modèle statistique peut ensuite être utilisé pour prédire les mesures, ainsi que les mesures d'incertitude associées, pour chaque cellule de la grille. Dans </w:t>
        <w:br/>
        <w:t xml:space="preserve">les zones où il y a peu ou pas de surveillance des modèles d'étalonnage peuvent être instables ou trop lourdes à modéliser. Pour cette raison, un </w:t>
        <w:br/>
        <w:t xml:space="preserve">une approche de modélisation hiérarchique peut être utilisée lorsque, s'il n'y a pas suffisamment d'informations pour produire une équation d'étalonnage précise pour un </w:t>
        <w:br/>
        <w:t xml:space="preserve">zone géographique, les informations peuvent être « empruntées » à une région géographique plus large (Shaddick et al, 2016 ; OMS, 2016b). Le résultat est un ensemble de </w:t>
        <w:br/>
        <w:t xml:space="preserve">des modèles d'étalonnage et de prévision qui peuvent être utilisés pour prédire les PM2,5 pour chacune des 1,4 millions de cellules de grille couvrant l'ensemble du globe. Ceux-ci peuvent être </w:t>
        <w:br/>
        <w:t xml:space="preserve">utilisé pour produire des distributions d’expositions pour chaque pays et, en reliant les expositions aux estimations de la population pour chaque cellule de la grille – fournies par </w:t>
        <w:br/>
        <w:t xml:space="preserve">la base de données Gridded Population of the World (GPW) - , distributions des expositions attendues de la population. </w:t>
        <w:br/>
        <w:t>La formule suivante est utilisée pour obtenir la moyenne agrégée pour chaque pays :</w:t>
        <w:br/>
        <w:t>où est la moyenne annuelle estimée des particules fines pour la ville (ou la ou les grilles correspondant à cette ville) est la population du C n [1] [2] n, P n</w:t>
        <w:br/>
        <w:t>ville (ou grille(s) correspondant à cette ville) . 1 2 n</w:t>
        <w:br/>
        <w:t xml:space="preserve">La même formule est utilisée pour obtenir des estimations par pays (rural et urbain), en agrégeant les cellules de la grille qui incluent le pays (par opposition aux </w:t>
        <w:br/>
        <w:t xml:space="preserve">ville). </w:t>
        <w:br/>
        <w:t>Indicateurs proxy, alternatifs et supplémentaires : N/A</w:t>
        <w:br/>
        <w:t>[1] Pour les pays dans lesquels des mesures au sol des PM2,5 sont disponibles.</w:t>
        <w:br/>
        <w:t>[2] L'OMS publie des estimations de données modélisées pour 11.6.2, qui sont disponibles au niveau de la grille à l'échelle mondiale (OMS 2016b, c)</w:t>
        <w:br/>
        <w:t xml:space="preserve">Les données sont disponibles dans le monde entier avec une haute résolution spatiale (0,1 ? x 0,1 ?) – par ex. chaque grille correspond environ à 11x11km au </w:t>
        <w:br/>
        <w:t xml:space="preserve">l’équateur, qui peuvent être agrégées au niveau national, urbain ou rural. </w:t>
        <w:br/>
        <w:t>URL officielle des métadonnées ODD</w:t>
        <w:br/>
        <w:t xml:space="preserve">https://unstats.un.org/sdgs/metadata/files/Metadata-11-06-02.pdf  </w:t>
        <w:br/>
        <w:t>Méthodologie reconnue au niveau international et URL des lignes directrices</w:t>
        <w:br/>
        <w:t xml:space="preserve">Brauer et coll. (2015). Science et technologie de l'environnement, 50, Estimation de l'exposition à la pollution de l'air ambiant pour la charge mondiale de morbidité 2013. </w:t>
        <w:br/>
        <w:t>79-88.</w:t>
        <w:br/>
        <w:t xml:space="preserve">Shaddick G et coll. (2016). Modèle d'intégration de données pour la qualité de l'air : une approche hiérarchique de l'estimation globale des expositions à l'air ambiant </w:t>
        <w:br/>
        <w:t>. Société royale de statistique. arxiv:1609.0014. Disponible sur : Pollution https://arxiv.org/pdf/1609.00141.pdf</w:t>
        <w:br/>
        <w:t>Autres références</w:t>
        <w:br/>
        <w:t>OMS (2014) - Base de données de l'OMS sur la pollution de l'air ambiant", Organisation mondiale de la Santé. Mise à jour 2014. http://www.who.int/phe/health_topics/outdoorair</w:t>
        <w:br/>
        <w:t>/bases de données/AAP_database_methods_2014.pdf</w:t>
        <w:br/>
        <w:t>OMS (2016a).  Genève. Disponible sur : Base de données de l’OMS sur la qualité de l’air ambiant en milieu urbain. http://www.who.int/phe/health_topics/outdoorair/databases/cities</w:t>
        <w:br/>
        <w:t>/fr/</w:t>
        <w:br/>
        <w:t>OMS (2016b).  Genève. Disponible sur : Pollution de l’air ambiant : une évaluation mondiale de l’exposition et de la charge de morbidité. http://who.int/phe</w:t>
        <w:br/>
        <w:t>/publications/air-pollution-global-assessment/fr/</w:t>
        <w:br/>
        <w:t>OMS (2016c) Estimations modélisées de la pollution atmosphérique mondiale. Disponible sur : http://www.who.int/phe/health_topics/outdoorair/databases</w:t>
        <w:br/>
        <w:t xml:space="preserve">/estimations-modélisées/fr/ </w:t>
        <w:br/>
        <w:t>Exemples de pays</w:t>
        <w:br/>
        <w:t>N/D</w:t>
      </w:r>
    </w:p>
    <w:p>
      <w:pPr>
        <w:pStyle w:val="Heading2"/>
      </w:pPr>
      <w:r>
        <w:t>Page 285</w:t>
      </w:r>
    </w:p>
    <w:p>
      <w:r>
        <w:t>Texte d'en-tête</w:t>
        <w:br/>
        <w:t>Texte de pied de page</w:t>
        <w:br/>
        <w:t>Ce document a été préparé sur la base des contributions de l'Organisation mondiale de la santé (OMS).</w:t>
        <w:br/>
        <w:t>Pour obtenir des informations sur les points focaux pour cet indicateur, veuillez visiter https://unstats.un.org/sdgs/dataContacts/</w:t>
      </w:r>
    </w:p>
    <w:p>
      <w:pPr>
        <w:pStyle w:val="Heading2"/>
      </w:pPr>
      <w:r>
        <w:t>Page 286</w:t>
      </w:r>
    </w:p>
    <w:p>
      <w:r>
        <w:t>Texte d'en-tête</w:t>
        <w:br/>
        <w:t>Texte de pied de page</w:t>
        <w:br/>
        <w:t>Indicateur 11.b.1</w:t>
        <w:br/>
        <w:t>Page d'accueil du manuel électronique</w:t>
        <w:br/>
        <w:t xml:space="preserve"> </w:t>
        <w:br/>
        <w:t>Nom de l’indicateur, cible et objectif</w:t>
        <w:br/>
        <w:t>Définition et justification</w:t>
        <w:br/>
        <w:t>Sources de données et méthode de collecte</w:t>
        <w:br/>
        <w:t>Méthode de calcul et autres considérations méthodologiques</w:t>
        <w:br/>
        <w:t>Contenu</w:t>
        <w:br/>
        <w:t>Nom de l’indicateur, cible et objectif</w:t>
        <w:br/>
        <w:t>Définition et justification</w:t>
        <w:br/>
        <w:t>Sources de données et méthode de collecte</w:t>
        <w:br/>
        <w:t>Méthode de calcul et autres considérations méthodologiques</w:t>
        <w:br/>
        <w:t>Désagrégation des données</w:t>
        <w:br/>
        <w:t>Références</w:t>
        <w:br/>
        <w:t>Organisation(s) internationale(s) de surveillance mondiale</w:t>
        <w:br/>
        <w:t xml:space="preserve"> Indicateur 11.b.1 : Nombre de pays qui adoptent et mettent en œuvre des stratégies nationales de réduction des risques de catastrophe conformément au Cadre de Sendai pour </w:t>
        <w:br/>
        <w:t>Réduction des risques de catastrophe 2015-2030</w:t>
        <w:br/>
        <w:t xml:space="preserve">Cible 11.b : D’ici 2020, augmenter considérablement le nombre de villes et d’établissements humains adoptant et mettant en œuvre des politiques et des politiques intégrées. </w:t>
        <w:br/>
        <w:t xml:space="preserve">des plans en faveur de l’inclusion, de l’efficacité des ressources, de l’atténuation et de l’adaptation au changement climatique, de la résilience aux catastrophes, et d’élaborer et de mettre en œuvre, en </w:t>
        <w:br/>
        <w:t>conformément au Cadre de Sendai pour la réduction des risques de catastrophe 2015-2030, gestion holistique des risques de catastrophe à tous les niveaux</w:t>
        <w:br/>
        <w:t>Objectif 11 : Rendre les villes et les établissements humains inclusifs, sûrs, résilients et durables</w:t>
        <w:br/>
        <w:t>Définition :</w:t>
        <w:br/>
        <w:t xml:space="preserve">Cet indicateur mesure le nombre de pays qui adoptent et mettent en œuvre des stratégies nationales de réduction des risques de catastrophe (RRC) conformément aux </w:t>
        <w:br/>
        <w:t xml:space="preserve">Cadre de Sendai pour la réduction des risques de catastrophe 2015-2030, avec de multiples dimensions du niveau de mise en œuvre. </w:t>
        <w:br/>
        <w:t>Concepts :</w:t>
        <w:br/>
        <w:t xml:space="preserve">Stratégies de réduction des risques de catastrophe : définir des buts et des objectifs sur différentes échelles de temps et avec des cibles, des indicateurs et des délais concrets. </w:t>
        <w:br/>
        <w:t xml:space="preserve">Conformément au Cadre de Sendai pour la réduction des risques de catastrophe 2015-2030, ceux-ci devraient viser à prévenir la création de risques de catastrophe, le </w:t>
        <w:br/>
        <w:t xml:space="preserve">réduction des risques existants et renforcement de la résilience économique, sociale, sanitaire et environnementale. </w:t>
        <w:br/>
        <w:t>Justification et interprétation :</w:t>
        <w:br/>
        <w:t xml:space="preserve">Le Cadre de Sendai pour la réduction des risques de catastrophe 2015-2030 a été adopté par les États membres de l'ONU en mars 2015 en tant que politique mondiale de lutte contre les catastrophes. </w:t>
        <w:br/>
        <w:t xml:space="preserve">réduction des risques. Parmi les objectifs mondiaux, « Objectif E : Augmenter considérablement le nombre de pays dotés de mesures nationales et locales de réduction des risques de catastrophe. </w:t>
        <w:br/>
        <w:t xml:space="preserve">stratégies d’ici 2020 » favoriseront la RRC et, à terme, contribueront au développement durable et renforceront les domaines économique, social, sanitaire et </w:t>
        <w:br/>
        <w:t xml:space="preserve">résilience environnementale. Les perspectives économiques, environnementales et sociales incluraient l'éradication de la pauvreté, la résilience urbaine et le changement climatique. </w:t>
        <w:br/>
        <w:t xml:space="preserve">adaptation au changement. Leurs perspectives économiques, environnementales et sociales incluraient l'éradication de la pauvreté, la résilience urbaine et le changement climatique. </w:t>
        <w:br/>
        <w:t>adaptation au changement.</w:t>
        <w:br/>
        <w:t xml:space="preserve">Conformément au Cadre de Sendai, les stratégies et politiques de RRC devraient intégrer la réduction des risques de catastrophe au sein et à travers tous les pays. </w:t>
        <w:br/>
        <w:t xml:space="preserve">secteurs, sur différentes échelles de temps et avec des objectifs, des indicateurs et des délais. Ces stratégies de RRC devraient viser à prévenir la </w:t>
        <w:br/>
        <w:t xml:space="preserve">la création de risques de catastrophe, la réduction des risques existants, le renforcement de la résilience économique, sociale, sanitaire et environnementale, et d'autres </w:t>
        <w:br/>
        <w:t>éléments stipulés dans le cadre de Sendai.</w:t>
        <w:br/>
        <w:t xml:space="preserve">Le groupe de travail intergouvernemental d'experts à composition non limitée sur les indicateurs et la terminologie relatifs à la réduction des risques de catastrophe (OIEWG) a été créé </w:t>
        <w:br/>
        <w:t xml:space="preserve">par l'Assemblée générale (résolution 69/284) a élaboré un ensemble d'indicateurs pour mesurer les progrès mondiaux dans la mise en œuvre de l'Accord de Sendai. </w:t>
        <w:br/>
        <w:t>Cadre qui a été approuvé par l'AGNU (OIEWG). L'indicateur mondial pertinent pour le Cadre de Sendai, E-1, est utilisé pour le rapport A/71/644.</w:t>
        <w:br/>
        <w:t xml:space="preserve">rapport pour cet indicateur. </w:t>
        <w:br/>
        <w:t xml:space="preserve">Nommé points focaux du Cadre de Sendai. </w:t>
        <w:br/>
        <w:t xml:space="preserve">Dans la plupart des pays, les bases de données nationales sur les pertes liées aux catastrophes sont établies et gérées par des agences spécialisées, notamment les agences nationales chargées des catastrophes. </w:t>
        <w:br/>
        <w:t xml:space="preserve">les agences de gestion, les agences de protection civile et les agences météorologiques, ainsi que les données sur les catastrophes collectées par les ministères de tutelle.  Le Sendaï </w:t>
        <w:br/>
        <w:t>Les points focaux du cadre dans chaque pays sont responsables de la communication des données via le système de suivi du cadre Sendai en ligne.</w:t>
      </w:r>
    </w:p>
    <w:p>
      <w:pPr>
        <w:pStyle w:val="Heading2"/>
      </w:pPr>
      <w:r>
        <w:t>Page 287</w:t>
      </w:r>
    </w:p>
    <w:p>
      <w:r>
        <w:t>Texte d'en-tête</w:t>
        <w:br/>
        <w:t>Texte de pied de page</w:t>
        <w:br/>
        <w:t>Désagrégation des données</w:t>
        <w:br/>
        <w:t>Références</w:t>
        <w:br/>
        <w:t>Méthode de calcul :</w:t>
        <w:br/>
        <w:t xml:space="preserve">Des méthodologies détaillées peuvent être trouvées dans le guide technique (voir la référence) </w:t>
        <w:br/>
        <w:t xml:space="preserve">Résumé </w:t>
        <w:br/>
        <w:t xml:space="preserve">Il s'agit d'un indicateur quantitatif par mesures progressives de réussite qui quantifierait l'amélioration de la qualité de la RRC nationale. </w:t>
        <w:br/>
        <w:t xml:space="preserve">stratégies au fil du temps, plutôt que des mesures binaires (oui/non), basées sur les délibérations de l'OIEWG ainsi que de l'IAEG-SDG. </w:t>
        <w:br/>
        <w:t xml:space="preserve">Dix éléments clés dérivés du cadre Sendai sont utilisés comme sous-indicateurs (5 niveaux de 0 à 1 : 0, 0,25, 0,50, 0,75, 1,0) pour mesurer </w:t>
        <w:br/>
        <w:t xml:space="preserve">alignement avec le cadre Sendai. Les États membres doivent évaluer le niveau de mise en œuvre de chaque sous-indicateur. </w:t>
        <w:br/>
        <w:t xml:space="preserve">Cet indicateur est calculé à partir de la moyenne arithmétique de ces sous-indicateurs : </w:t>
        <w:br/>
        <w:t xml:space="preserve">Les stratégies nationales de RRC doivent </w:t>
        <w:br/>
        <w:t>je. Avoir des échelles de temps différentes, avec des objectifs, des indicateurs et des délais</w:t>
        <w:br/>
        <w:t>ii. Avoir pour objectif de prévenir la création de risques</w:t>
        <w:br/>
        <w:t>iii. Avoir pour objectif de réduire les risques existants</w:t>
        <w:br/>
        <w:t>iv. Avoir pour objectif de renforcer la résilience économique, sociale, sanitaire et environnementale</w:t>
        <w:br/>
        <w:t xml:space="preserve">v. Répondre aux recommandations de la priorité 1, Comprendre les risques de catastrophe : sur la base de la connaissance et des évaluations des risques pour identifier les risques au niveau </w:t>
        <w:br/>
        <w:t>niveaux local et national de la capacité technique, financière et administrative de gestion des risques de catastrophe</w:t>
        <w:br/>
        <w:t xml:space="preserve">vi. Répondre aux recommandations de la priorité 2, Renforcer la gouvernance des risques de catastrophe pour gérer les risques de catastrophe : intégrer et intégrer la RRC </w:t>
        <w:br/>
        <w:t>au sein et entre tous les secteurs, en définissant les rôles et les responsabilités</w:t>
        <w:br/>
        <w:t xml:space="preserve">vii. Répondre aux recommandations de la priorité 3, Investir dans la réduction des risques de catastrophe pour la résilience : Guide d'allocation des ressources nécessaires </w:t>
        <w:br/>
        <w:t>à tous les niveaux de l’administration pour l’élaboration et la mise en œuvre de stratégies de RRC dans tous les secteurs concernés</w:t>
        <w:br/>
        <w:t xml:space="preserve">viii. Répondre aux recommandations de la priorité 4, Améliorer la préparation aux catastrophes pour une réponse efficace et « Reconstruire en mieux » lors du relèvement, </w:t>
        <w:br/>
        <w:t xml:space="preserve">réhabilitation et reconstruction : renforcer la préparation aux catastrophes pour la réponse et intégrer la préparation et le développement de la réponse en matière de RRC </w:t>
        <w:br/>
        <w:t>des mesures pour rendre les nations et les communautés résilientes aux catastrophes</w:t>
        <w:br/>
        <w:t xml:space="preserve">ix. Promouvoir la cohérence des politiques pertinentes pour la réduction des risques de catastrophe tels que le développement durable, l'éradication de la pauvreté et le changement climatique, </w:t>
        <w:br/>
        <w:t>notamment avec les ODD et l’Accord de Paris</w:t>
        <w:br/>
        <w:t xml:space="preserve">X. Disposer de mécanismes de suivi, d’évaluation périodique et de rapport public sur les progrès. </w:t>
        <w:br/>
        <w:t>Commentaires et limites :</w:t>
        <w:br/>
        <w:t xml:space="preserve">Le système de suivi du cadre de Sendai a été développé pour mesurer les progrès dans la mise en œuvre du cadre de Sendai en </w:t>
        <w:br/>
        <w:t xml:space="preserve">Indicateurs approuvés par l’AGNU. Les États membres doivent rendre compte via le système à partir de mars 2018. Les données pour les indicateurs des ODD sont compilées et </w:t>
        <w:br/>
        <w:t>rapporté par l’UNISDR.</w:t>
        <w:br/>
        <w:t xml:space="preserve">Contrairement à une mesure binaire des « dispositions législatives et/ou réglementaires de la RRC » dans le précédent Hyogo Framework for Action Monitor, le </w:t>
        <w:br/>
        <w:t xml:space="preserve">Sendai Framework Monitor peut mesurer progressivement les progrès en fonction de plusieurs dimensions du niveau de mise en œuvre. </w:t>
        <w:br/>
        <w:t>Indicateurs proxy, alternatifs et supplémentaires : N/A</w:t>
        <w:br/>
        <w:t>Aucun</w:t>
      </w:r>
    </w:p>
    <w:p>
      <w:pPr>
        <w:pStyle w:val="Heading2"/>
      </w:pPr>
      <w:r>
        <w:t>Page 288</w:t>
      </w:r>
    </w:p>
    <w:p>
      <w:r>
        <w:t>Texte d'en-tête</w:t>
        <w:br/>
        <w:t>Texte de pied de page</w:t>
        <w:br/>
        <w:t>Organisation(s) internationale(s) de surveillance mondiale</w:t>
        <w:br/>
        <w:t>URL officielle des métadonnées ODD</w:t>
        <w:br/>
        <w:t xml:space="preserve">https://unstats.un.org/sdgs/metadata/files/Metadata-11-0B-01.pdf </w:t>
        <w:br/>
        <w:t>Méthodologie reconnue au niveau international et URL des lignes directrices</w:t>
        <w:br/>
        <w:t xml:space="preserve">Conseils techniques pour le suivi et l'établissement de rapports sur les progrès accomplis dans la réalisation des objectifs mondiaux du Cadre de Sendai pour la réduction des risques de catastrophe </w:t>
        <w:br/>
        <w:t>(UNISDR 2018) https://www.preventionweb.net/publications/view/54970</w:t>
        <w:br/>
        <w:t>Autres références</w:t>
        <w:br/>
        <w:t xml:space="preserve">Rapport du groupe de travail intergouvernemental d'experts à composition non limitée sur les indicateurs et la terminologie relatifs à la réduction des risques de catastrophe (OEIWG). </w:t>
        <w:br/>
        <w:t>Disponible sur : Approuvé par l'AGNU le 2 février 2017. nd https://www.preventionweb.net/publications/view/51748</w:t>
        <w:br/>
        <w:t>Exemples de pays</w:t>
        <w:br/>
        <w:t>N/D</w:t>
        <w:br/>
        <w:t>Ce document a été préparé sur la base des contributions du Bureau des Nations Unies pour la réduction des risques de catastrophe (UNISDR).</w:t>
        <w:br/>
        <w:t>Pour obtenir des informations sur les points focaux pour cet indicateur, veuillez visiter https://unstats.un.org/sdgs/dataContacts/</w:t>
      </w:r>
    </w:p>
    <w:p>
      <w:pPr>
        <w:pStyle w:val="Heading2"/>
      </w:pPr>
      <w:r>
        <w:t>Page 289</w:t>
      </w:r>
    </w:p>
    <w:p>
      <w:r>
        <w:t>Texte d'en-tête</w:t>
        <w:br/>
        <w:t>Texte de pied de page</w:t>
        <w:br/>
        <w:t>Objectif 12</w:t>
        <w:br/>
        <w:t>Assurer des modes de consommation et de production durables</w:t>
        <w:br/>
        <w:t xml:space="preserve"> Page d'accueil du manuel électronique</w:t>
        <w:br/>
        <w:t xml:space="preserve">Dans cet objectif : </w:t>
        <w:br/>
        <w:t xml:space="preserve">La Division de statistique des Nations Unies (DSNU) a travaillé en consultation avec l'agence(s) dépositaire(s) de chaque indicateur pour préparer ces chapitres. Pour </w:t>
        <w:br/>
        <w:t>les indicateurs qui n’ont pas encore de chapitre ici, sont en cours de préparation et seront téléchargés ici dès qu’ils seront disponibles.</w:t>
        <w:br/>
        <w:t>Si vous avez des questions sur le manuel électronique, n'hésitez pas à contacter M. Yuxi Zhang ( yuxi.zhang@un.org) avec copie à M. Ze Yar Min (min@</w:t>
        <w:br/>
        <w:t>.un.org)</w:t>
      </w:r>
    </w:p>
    <w:p>
      <w:pPr>
        <w:pStyle w:val="Heading2"/>
      </w:pPr>
      <w:r>
        <w:t>Page 290</w:t>
      </w:r>
    </w:p>
    <w:p>
      <w:r>
        <w:t>Texte d'en-tête</w:t>
        <w:br/>
        <w:t>Texte de pied de page</w:t>
        <w:br/>
        <w:t>Indicateur 12.2.2</w:t>
        <w:br/>
        <w:t>Page d'accueil du manuel électronique</w:t>
        <w:br/>
        <w:t>Nom de l’indicateur, cible et objectif</w:t>
        <w:br/>
        <w:t>Définition et justification</w:t>
        <w:br/>
        <w:t>Sources de données et méthode de collecte</w:t>
        <w:br/>
        <w:t>Méthode de calcul et autres considérations méthodologiques</w:t>
        <w:br/>
        <w:t>Contenu</w:t>
        <w:br/>
        <w:t>Nom de l’indicateur, cible et objectif</w:t>
        <w:br/>
        <w:t>Définition et justification</w:t>
        <w:br/>
        <w:t>Sources de données et méthode de collecte</w:t>
        <w:br/>
        <w:t>Méthode de calcul et autres considérations méthodologiques</w:t>
        <w:br/>
        <w:t>Désagrégation des données</w:t>
        <w:br/>
        <w:t>Références</w:t>
        <w:br/>
        <w:t>Organisation(s) internationale(s) de surveillance mondiale</w:t>
        <w:br/>
        <w:t xml:space="preserve"> Indicateur 12.2.2 : Consommation intérieure de matières, consommation intérieure de matières par habitant et consommation intérieure de matières par PIB</w:t>
        <w:br/>
        <w:t>Cible 12.2 : D’ici 2030, parvenir à une gestion durable et à une utilisation efficace des ressources naturelles</w:t>
        <w:br/>
        <w:t>Objectif 12 : Assurer des modes de consommation et de production durables</w:t>
        <w:br/>
        <w:t>Définition :</w:t>
        <w:br/>
        <w:t xml:space="preserve">La consommation intérieure de matières (DMC) est un indicateur standard de comptabilité des flux de matières (MFA) et rend compte de la consommation annuelle apparente de </w:t>
        <w:br/>
        <w:t xml:space="preserve">matériaux dans une économie nationale. L'indicateur peut également être exprimé par habitant et par PIB. </w:t>
        <w:br/>
        <w:t>Concepts :</w:t>
        <w:br/>
        <w:t>À l'échelle de l'économie (EW-MFA), fournir un aperçu global, en milliers de tonnes par an, des flux de matières entrant et sortant des comptes de flux de matières.</w:t>
        <w:br/>
        <w:t xml:space="preserve">d'une économie. Les EW-MFA couvrent les matières solides, gazeuses et liquides, à l’exception des flux massifs d’eau et d’air. </w:t>
        <w:br/>
        <w:t xml:space="preserve">Le DMC mesure la quantité totale de matières directement utilisées dans une économie (c'est-à-dire à l'exclusion des flux indirects). DMC est défini de la même manière que les autres </w:t>
        <w:br/>
        <w:t xml:space="preserve">indicateurs physiques clés tels que la consommation intérieure brute d’énergie. DMC est égal à l’extraction nationale plus les importations moins les exportations. </w:t>
        <w:br/>
        <w:t>Justification et interprétation :</w:t>
        <w:br/>
        <w:t xml:space="preserve">En tant qu'indicateur territorial et de production, le DMC fait référence à la quantité de matériaux utilisés dans les processus de production au sein d'une économie. DMC </w:t>
        <w:br/>
        <w:t xml:space="preserve">décrit la dimension physique des processus et interactions économiques. Le DMC par habitant décrit le niveau moyen d'utilisation de matériaux dans un </w:t>
        <w:br/>
        <w:t>l’économie – un indicateur de pression environnementale – et est également appelé profil métabolique.</w:t>
        <w:br/>
        <w:t xml:space="preserve">Les données pour le calcul du DMC sont compilées par l'agence nationale compétente telle que le ministère du Commerce ou de l'Industrie, ou le </w:t>
        <w:br/>
        <w:t xml:space="preserve">office national de la statistique. </w:t>
        <w:br/>
        <w:t xml:space="preserve">Pour l’Europe, Eurostat compile des données sur les flux de matières à l’échelle de l’économie des pays. Pour les autres pays, le DMC se base sur les statistiques officielles </w:t>
        <w:br/>
        <w:t xml:space="preserve">puis les taux standard sont utilisés pour convertir les données en tonnes d'extraction, d'importation et d'exportation. Cela se fait par type de matériau en fonction du </w:t>
        <w:br/>
        <w:t xml:space="preserve">suivant : l'Agence internationale de l'énergie (AIE) dispose d'informations détaillées sur les combustibles fossiles ;  pour la biomasse, les principales cultures et produits végétaux, l'élevage </w:t>
        <w:br/>
        <w:t xml:space="preserve">et les produits d'origine animale, les produits forestiers et le poisson sont disponibles auprès de l'Organisation pour l'alimentation et l'agriculture (FAO) et pour les composants qui sont </w:t>
        <w:br/>
        <w:t xml:space="preserve">difficile à mesurer directement, par ex. biomasse pâturée, la FAO ne dispose généralement pas de données directes, mais les données communiquées à la FAO pour les animaux </w:t>
        <w:br/>
        <w:t xml:space="preserve">les produits ou le nombre de troupeaux sont utilisés comme données d'entrée pour faire une estimation ; pour les minerais métalliques, le United States Geological Survey (USGS) et le </w:t>
        <w:br/>
        <w:t xml:space="preserve">Le British Geological Survey (BGS) collecte des données sur la production de métaux et, dans certains cas, sur la production de minerais avec le commerce des minerais métalliques des Nations Unies. </w:t>
        <w:br/>
        <w:t xml:space="preserve">Base de données Comtrade ; et pour les minéraux non métalliques, l'USGS et le BGS disposent de certaines données et, lorsque les données manquent, elles sont basées sur les données. </w:t>
        <w:br/>
        <w:t>publiées par pays ou, dans certains cas, une estimation standard de la consommation par habitant pour des pays ayant des revenus par habitant différents.</w:t>
      </w:r>
    </w:p>
    <w:p>
      <w:pPr>
        <w:pStyle w:val="Heading2"/>
      </w:pPr>
      <w:r>
        <w:t>Page 291</w:t>
      </w:r>
    </w:p>
    <w:p>
      <w:r>
        <w:t>Texte d'en-tête</w:t>
        <w:br/>
        <w:t>Texte de pied de page</w:t>
        <w:br/>
        <w:t>Désagrégation des données</w:t>
        <w:br/>
        <w:t>Références</w:t>
        <w:br/>
        <w:t>Organisation(s) internationale(s) de surveillance mondiale</w:t>
        <w:br/>
        <w:t>Méthode de calcul :</w:t>
        <w:br/>
        <w:t xml:space="preserve">Il est calculé comme les importations directes (IM) de matières plus l'extraction nationale (DE) de matières moins les exportations directes (EX) de matières mesurées en </w:t>
        <w:br/>
        <w:t>tonnes métriques.</w:t>
        <w:br/>
        <w:t>DMC = IM + DE - EX</w:t>
        <w:br/>
        <w:t xml:space="preserve">L'ONU Environnement publie un manuel mondial qui devrait être publié d'ici juillet 2018. Ce manuel mondial est largement basé sur l'EUROSTAT. </w:t>
        <w:br/>
        <w:t xml:space="preserve">Guide de compilation de la comptabilité des flux de matières à l'échelle de l'économie 2013. La comptabilité MFA fait également partie du cadre central du système de </w:t>
        <w:br/>
        <w:t xml:space="preserve">Comptes économiques et environnementaux intégrés (SEEA). Plus d’informations sur les sources de données et la compilation sont fournies dans la section ci-dessous. </w:t>
        <w:br/>
        <w:t xml:space="preserve">La DMC doit être divisée par le PIB et la population du pays pour obtenir des mesures standardisées telles que la DMC par habitant et la DMC par PIB. </w:t>
        <w:br/>
        <w:t>Commentaires et limites :</w:t>
        <w:br/>
        <w:t xml:space="preserve">La DMC ne peut pas être ventilée en secteurs économiques car il n'existe aucun moyen de lier la consommation de matériaux à un secteur particulier. </w:t>
        <w:br/>
        <w:t xml:space="preserve">secteur économique. </w:t>
        <w:br/>
        <w:t xml:space="preserve">Le DMC et l’empreinte matérielle (MF) doivent être examinés en combinaison car ils couvrent les deux aspects de l’économie : (indicateur 12.2.1) </w:t>
        <w:br/>
        <w:t xml:space="preserve">production et consommation. Le DMC et le MF indiquent la quantité virtuelle requise tout au long de la chaîne d'approvisionnement pour répondre à la demande finale. Un </w:t>
        <w:br/>
        <w:t xml:space="preserve">Un pays peut, par exemple, avoir un DMC très élevé parce qu'il dispose d'un important secteur de production primaire destiné à l'exportation ou un DMC très faible parce qu'il a un important secteur de production primaire destiné à l'exportation. </w:t>
        <w:br/>
        <w:t xml:space="preserve">a externalisé la plupart des processus industriels à forte intensité matérielle vers d’autres pays. Analyser à la fois ces aspects de la production et de la consommation </w:t>
        <w:br/>
        <w:t xml:space="preserve">L’ensemble des indicateurs permet de mieux comprendre les schémas globaux d’utilisation des ressources d’un pays. </w:t>
        <w:br/>
        <w:t xml:space="preserve">Indicateurs proxy, alternatifs et supplémentaires : aucun proxy n'est nécessaire en raison de l'excellente couverture. Toutefois, des pays supplémentaires sont nécessaires </w:t>
        <w:br/>
        <w:t>validation.</w:t>
        <w:br/>
        <w:t xml:space="preserve">Le DMC peut être désagrégé par type de matériau et aux fins des ODD, quatre désagrégations proposées du DMC sont proposées : Biomasse, </w:t>
        <w:br/>
        <w:t>Combustibles fossiles, minerais métalliques et minéraux non métalliques.</w:t>
        <w:br/>
        <w:t>URL officielle des métadonnées ODD</w:t>
        <w:br/>
        <w:t>https://unstats.un.org/sdgs/metadata/files/Metadata-08-04-02.pdf</w:t>
        <w:br/>
        <w:t>Méthodologie reconnue au niveau international et URL des lignes directrices</w:t>
        <w:br/>
        <w:t>à paraître en 2018</w:t>
        <w:br/>
        <w:t>Autres références</w:t>
        <w:br/>
        <w:t>EUROSTAT (2013). . Guide d'élaboration 2013. Disponible sur : Comptes des flux de matières à l'échelle de l'économie http://ec.europa.eu/eurostat/documents</w:t>
        <w:br/>
        <w:t>/1798247/6191533/2013-EW-MFA-Guide-10Sep2013.pdf/</w:t>
        <w:br/>
        <w:t>Wiedmann, T., H. Schandl, M. Lenzen, D. Moran, S. Suh, J. West, K. Kanemoto, (2013) Proc. Nat. Acad. Sci. L'empreinte matérielle des nations,</w:t>
        <w:br/>
        <w:t>Disponible sur : http://www.pnas.org/content/112/20/6271.abstract</w:t>
        <w:br/>
        <w:t xml:space="preserve">Lenzen, M., Moran, D., Kanemoto, K., Geschke, A. (2013) Building Eora : A global-Regional Input/output Database at High Country and </w:t>
        <w:br/>
        <w:t>, Recherche sur les systèmes économiques, 25 : 1, 20-49. Disponible sur : Résolution sectorielle http://folk.ntnu.no/daniemor/pdf/ESR_BuildingEora.pdf</w:t>
        <w:br/>
        <w:t>Exemples de pays</w:t>
        <w:br/>
        <w:t>N/D</w:t>
        <w:br/>
        <w:t>Ce document a été préparé sur la base des contributions du Programme des Nations Unies pour l'environnement (PNUE).</w:t>
        <w:br/>
        <w:t>Pour obtenir des informations sur les points focaux pour cet indicateur, veuillez visiter https://unstats.un.org/sdgs/dataContacts/</w:t>
      </w:r>
    </w:p>
    <w:p>
      <w:pPr>
        <w:pStyle w:val="Heading2"/>
      </w:pPr>
      <w:r>
        <w:t>Page 292</w:t>
      </w:r>
    </w:p>
    <w:p>
      <w:r>
        <w:t>Texte d'en-tête</w:t>
        <w:br/>
        <w:t>Texte de pied de page</w:t>
        <w:br/>
        <w:t>Indicateur 12.4.1</w:t>
        <w:br/>
        <w:t>Page d'accueil du manuel électronique</w:t>
        <w:br/>
        <w:t>Nom de l’indicateur, cible et objectif</w:t>
        <w:br/>
        <w:t>Définition et justification</w:t>
        <w:br/>
        <w:t>Sources de données et méthode de collecte</w:t>
        <w:br/>
        <w:t>Contenu</w:t>
        <w:br/>
        <w:t>Nom de l’indicateur, cible et objectif</w:t>
        <w:br/>
        <w:t>Définition et justification</w:t>
        <w:br/>
        <w:t>Sources de données et méthode de collecte</w:t>
        <w:br/>
        <w:t>Méthode de calcul et autres considérations méthodologiques</w:t>
        <w:br/>
        <w:t>Désagrégation des données</w:t>
        <w:br/>
        <w:t>Références</w:t>
        <w:br/>
        <w:t>Organisation(s) internationale(s) de surveillance mondiale</w:t>
        <w:br/>
        <w:t xml:space="preserve"> Indicateur 12.4.1 : Nombre de parties aux accords environnementaux multilatéraux internationaux sur les déchets dangereux et autres produits chimiques qui satisfont </w:t>
        <w:br/>
        <w:t>leurs engagements et obligations dans la transmission des informations comme l'exige chaque accord pertinent</w:t>
        <w:br/>
        <w:t xml:space="preserve">Cible 12.4 : D’ici 2020, parvenir à une gestion écologiquement rationnelle des produits chimiques et de tous les déchets tout au long de leur cycle de vie, conformément </w:t>
        <w:br/>
        <w:t xml:space="preserve">avec les cadres internationaux convenus, et réduire considérablement leurs rejets dans l'air, l'eau et le sol afin de minimiser leurs impacts négatifs sur </w:t>
        <w:br/>
        <w:t>la santé humaine et l'environnement</w:t>
        <w:br/>
        <w:t>Objectif 12 : Assurer des modes de consommation et de production durables</w:t>
        <w:br/>
        <w:t>Définition :</w:t>
        <w:br/>
        <w:t xml:space="preserve">L'indicateur fait référence au nombre de parties (pays qui ont ratifié, accepté, approuvé ou accédé) à cinq accords multilatéraux sur l'environnement. </w:t>
        <w:br/>
        <w:t xml:space="preserve">Accords (AME), qui ont soumis les informations pertinentes au Secrétariat de chaque AME, comme stipulé par chacun des accords. Le </w:t>
        <w:br/>
        <w:t xml:space="preserve">cinq AME sont : </w:t>
        <w:br/>
        <w:t>1. La Convention de Bâle sur le contrôle des mouvements transfrontières de déchets dangereux et de leur élimination (Convention de Bâle) ;</w:t>
        <w:br/>
        <w:t xml:space="preserve">2. La Convention de Rotterdam sur la procédure de consentement préalable en connaissance de cause pour certains produits chimiques et pesticides dangereux faisant l'objet d'un commerce international </w:t>
        <w:br/>
        <w:t>(Convention de Rotterdam) ;</w:t>
        <w:br/>
        <w:t>3. La Convention de Stockholm sur les polluants organiques persistants (Convention de Stockholm) ;</w:t>
        <w:br/>
        <w:t>4. Le Protocole de Montréal relatif à des substances qui appauvrissent la couche d'ozone (Protocole de Montréal) ; et</w:t>
        <w:br/>
        <w:t xml:space="preserve">5. Convention de Minamata sur le mercure (Convention de Minamata), qui a soumis les informations au Secrétariat de chaque AME, comme requis </w:t>
        <w:br/>
        <w:t xml:space="preserve">par chacun des accords. </w:t>
        <w:br/>
        <w:t>Concepts :</w:t>
        <w:br/>
        <w:t xml:space="preserve">Les parties font référence aux pays qui ont ratifié, accepté, approuvé ou accédé à une convention. </w:t>
        <w:br/>
        <w:t xml:space="preserve">Les informations font référence à des paramètres de reporting spécifiques qui sont stipulés dans les AME respectifs et que les parties sont tenues de transmettre à </w:t>
        <w:br/>
        <w:t xml:space="preserve">le Secrétariat de chaque AME. </w:t>
        <w:br/>
        <w:t>Justification et interprétation :</w:t>
        <w:br/>
        <w:t xml:space="preserve">L'indicateur est axé sur le processus et se concentre sur le respect des obligations respectives des AME en matière de communication d'informations, ce qui contribue au </w:t>
        <w:br/>
        <w:t xml:space="preserve">objectif global consistant à parvenir à une gestion écologiquement rationnelle des produits chimiques et de tous les déchets tout au long de leur cycle de vie. </w:t>
        <w:br/>
        <w:t xml:space="preserve">Le reporting pour cet indicateur doit avoir lieu tous les cinq ans, à partir de 2017 pour la période 2010-2014, en 2020 pour la période de </w:t>
        <w:br/>
        <w:t xml:space="preserve">2015-2019, en 2025 pour la période 2020-2024, et en 2030 pour la période 2025-2029. </w:t>
        <w:br/>
        <w:t xml:space="preserve">L'indicateur final est un nombre exprimé en pourcentage, où 100 % est le degré maximum de respect des obligations de déclaration de l'organisme. </w:t>
        <w:br/>
        <w:t xml:space="preserve">AME auxquels un pays est partie, et 0 % le moindre degré de respect de ces obligations. </w:t>
        <w:br/>
        <w:t>Cet indicateur est destiné uniquement au suivi global de la conformité dans la transmission des informations.</w:t>
      </w:r>
    </w:p>
    <w:p>
      <w:pPr>
        <w:pStyle w:val="Heading2"/>
      </w:pPr>
      <w:r>
        <w:t>Page 293</w:t>
      </w:r>
    </w:p>
    <w:p>
      <w:r>
        <w:t>Texte d'en-tête</w:t>
        <w:br/>
        <w:t>Texte de pied de page</w:t>
        <w:br/>
        <w:t>Méthode de calcul et autres considérations méthodologiques</w:t>
        <w:br/>
        <w:t>Désagrégation des données</w:t>
        <w:br/>
        <w:t xml:space="preserve">1.  </w:t>
        <w:br/>
        <w:t xml:space="preserve">2.  </w:t>
        <w:br/>
        <w:t xml:space="preserve">3.  </w:t>
        <w:br/>
        <w:t xml:space="preserve">4.  </w:t>
        <w:br/>
        <w:t xml:space="preserve">5.  </w:t>
        <w:br/>
        <w:t>Voici les sources de données pour chacune des conventions :</w:t>
        <w:br/>
        <w:t>Convention de Bâle : points focaux nationaux, système de notification électronique pour les rapports nationaux annuels ;</w:t>
        <w:br/>
        <w:t>Convention de Rotterdam : points de contact officiels, circulaire de consentement préalable en connaissance de cause (PIC) pour les réponses aux importations ;</w:t>
        <w:br/>
        <w:t xml:space="preserve">Convention de Stockholm : points de contact officiels, système de notification électronique pour les rapports nationaux tous les quatre ans, mise en œuvre nationale </w:t>
        <w:br/>
        <w:t>plans;</w:t>
        <w:br/>
        <w:t>Protocole de Montréal : points focaux nationaux ; et</w:t>
        <w:br/>
        <w:t xml:space="preserve">Convention de Minamata : points focaux nationaux. </w:t>
        <w:br/>
        <w:t xml:space="preserve">Les secrétariats établis pour chacune des conventions sont chargés de recevoir et de compiler les données à partir des données susmentionnées. </w:t>
        <w:br/>
        <w:t xml:space="preserve">sources de leur convention respective. </w:t>
        <w:br/>
        <w:t>Méthode de calcul :</w:t>
        <w:br/>
        <w:t>Le taux de transmission est calculé sur la base du Country Score, qui dépend de la quantité d'informations envoyées aux Conventions (CS)</w:t>
        <w:br/>
        <w:t xml:space="preserve">Secrétariat. Le score du pays est déterminé à l’aide de la répartition des points suivante pour chacune des conventions : </w:t>
        <w:br/>
        <w:t xml:space="preserve">A. Convention de Bâle : </w:t>
        <w:br/>
        <w:t>1. Désignation du point focal et d'une ou plusieurs autorités compétentes (1 point) ;</w:t>
        <w:br/>
        <w:t>2. Soumission des rapports nationaux annuels au cours de la période de référence (1 point par rapport).</w:t>
        <w:br/>
        <w:t xml:space="preserve">3. Le CS est ensuite calculé comme le nombre total de points pour le pays divisé par le total de points possibles pour cette convention. </w:t>
        <w:br/>
        <w:t xml:space="preserve">B. Convention de Rotterdam : </w:t>
        <w:br/>
        <w:t>1. Désignation de l'autorité nationale désignée et du point de contact officiel (1 point) ;</w:t>
        <w:br/>
        <w:t>2. Soumission des réponses à l'importation au cours de la période de référence (0,2 point par réponse à l'importation).</w:t>
        <w:br/>
        <w:t xml:space="preserve">3. Le CS est ensuite calculé comme le nombre total de points pour le pays divisé par le total de points possibles pour cette convention. </w:t>
        <w:br/>
        <w:t xml:space="preserve">C. Convention de Stockholm : </w:t>
        <w:br/>
        <w:t>1. Désignation du point de contact officiel et du point focal national de la Convention de Stockholm (1 points) ;</w:t>
        <w:br/>
        <w:t>2. Soumission du plan national de mise en œuvre (1 point) ;</w:t>
        <w:br/>
        <w:t xml:space="preserve">3. Soumission du ou des plans nationaux de mise en œuvre révisés traitant des amendements adoptés par la Conférence des Parties dans le cadre de la </w:t>
        <w:br/>
        <w:t>période de référence (1 point par plan révisé et mis à jour).</w:t>
        <w:br/>
        <w:t xml:space="preserve">4. Le CS est ensuite calculé comme le nombre total de points pour le pays divisé par le total de points possibles pour cette convention. </w:t>
        <w:br/>
        <w:t xml:space="preserve">D. Protocole de Montréal : </w:t>
        <w:br/>
        <w:t xml:space="preserve">1. Respect des exigences en matière de déclaration concernant la production et la consommation de substances appauvrissant la couche d'ozone au titre du Protocole de Montréal (15 </w:t>
        <w:br/>
        <w:t>points);</w:t>
        <w:br/>
        <w:t>2. Soumission d'informations sur les systèmes de licences au titre de (l'article 4B du) Protocole de Montréal (5 points).</w:t>
        <w:br/>
        <w:t xml:space="preserve">3. Le CS est ensuite calculé comme le nombre total de points pour le pays divisé par le total de points possibles pour cette convention. </w:t>
        <w:br/>
        <w:t xml:space="preserve">E. Convention de Minamata : </w:t>
        <w:br/>
        <w:t>1. Désignation d'un point focal national (5 points) ;</w:t>
        <w:br/>
        <w:t>2. Soumission du rapport national (15 points).</w:t>
        <w:br/>
        <w:t xml:space="preserve">3. Le CS est ensuite calculé comme le nombre total de points pour le pays divisé par le total de points possibles pour cette convention.  </w:t>
        <w:br/>
        <w:t>Une fois le CS déterminé, la formule ci-dessous est utilisée pour calculer le taux de transmission pour les pays en utilisant les scores pour chacune des conventions :</w:t>
        <w:br/>
        <w:t xml:space="preserve">   </w:t>
        <w:br/>
        <w:t xml:space="preserve">Où (par exemple) est calculé comme score pour des périodes de 5 ans comme : A CS Convention de Bâle </w:t>
        <w:br/>
        <w:t xml:space="preserve"> </w:t>
        <w:br/>
        <w:t>PY i correspond aux points reçus au cours de l'année et correspond au nombre total de points disponibles pour la convention i AP A.</w:t>
        <w:br/>
        <w:t>Commentaires et limites :</w:t>
        <w:br/>
        <w:t xml:space="preserve">Les cinq conventions ont des calendriers de rapports différents. En conséquence, le reporting sur cet indicateur est prévu tous les 5 ans. Cela permet </w:t>
        <w:br/>
        <w:t xml:space="preserve">capture des informations sur le respect de toutes les conventions. </w:t>
        <w:br/>
        <w:t xml:space="preserve">Le calendrier de soumission des rapports pour la Convention de Minamata n'a pas encore été convenu. Par conséquent, il n’est pas clair si des rapports </w:t>
        <w:br/>
        <w:t xml:space="preserve">seront requis avant 2020, et on ne sait pas non plus combien de fois les rapports seront requis avant 2030. </w:t>
        <w:br/>
        <w:t>Indicateurs proxy, alternatifs et supplémentaires : N/A</w:t>
      </w:r>
    </w:p>
    <w:p>
      <w:pPr>
        <w:pStyle w:val="Heading2"/>
      </w:pPr>
      <w:r>
        <w:t>Page 294</w:t>
      </w:r>
    </w:p>
    <w:p>
      <w:r>
        <w:t>Texte d'en-tête</w:t>
        <w:br/>
        <w:t>Texte de pied de page</w:t>
        <w:br/>
        <w:t>Références</w:t>
        <w:br/>
        <w:t>Organisation(s) internationale(s) de surveillance mondiale</w:t>
        <w:br/>
        <w:t>Les données peuvent être ventilées par type de convention.</w:t>
        <w:br/>
        <w:t>URL officielle des métadonnées ODD</w:t>
        <w:br/>
        <w:t xml:space="preserve">https://unstats.un.org/sdgs/metadata/files/Metadata-12-04-01.pdf  </w:t>
        <w:br/>
        <w:t>Méthodologie reconnue au niveau international et URL des lignes directrices</w:t>
        <w:br/>
        <w:t xml:space="preserve">Sans objet car cet indicateur est une compilation de cinq conventions existantes répertoriées dans d’autres références. </w:t>
        <w:br/>
        <w:t>Autres références</w:t>
        <w:br/>
        <w:t xml:space="preserve">Convention de Bâle (2010). Disponible sur : Convention de Bâle sur le contrôle des mouvements transfrontaliers de déchets dangereux et de leur élimination. </w:t>
        <w:br/>
        <w:t>http://archive.basel.int/text/17Jun2010-conv-e.pdf</w:t>
        <w:br/>
        <w:t xml:space="preserve">Convention de Rotterdam (2004). Convention de Rotterdam sur la procédure de consentement préalable en connaissance de cause applicable à certains produits chimiques et pesticides dangereux </w:t>
        <w:br/>
        <w:t>Disponible à : pour le commerce international. http://www.pic.int/TheConvention/Overview/TextoftheConvention/RotterdamConventionText/tabid/1160</w:t>
        <w:br/>
        <w:t>/langue/en-US/Default.aspx</w:t>
        <w:br/>
        <w:t>Convention de Stockholm (2004). Disponible sur : La Convention de Stockholm sur les polluants organiques persistants. http://chm.pops.int/TheConvention</w:t>
        <w:br/>
        <w:t>/Vue d'ensemble/Texte de la Convention/tabid/2232/Default.aspx</w:t>
        <w:br/>
        <w:t>Protocole de Montréal (2000). Disponible sur : Le Protocole de Montréal relatif aux substances qui appauvrissent la couche d'ozone. http://ozone.unep.org/pdfs/Montreal-</w:t>
        <w:br/>
        <w:t>Protocole2000.pdf</w:t>
        <w:br/>
        <w:t>Convention de Minamata (2017). Disponible sur : Convention de Minamata sur le mercure. http://www.mercuryconvention.org/Portals/11/documents</w:t>
        <w:br/>
        <w:t xml:space="preserve">/conventionText/Minamata%20Convention%20on%20Mercury_e.pdf </w:t>
        <w:br/>
        <w:t>Exemples de pays</w:t>
        <w:br/>
        <w:t>N/D</w:t>
        <w:br/>
        <w:t>Ce document a été préparé sur la base des contributions du Programme des Nations Unies pour l'environnement (PNUE).</w:t>
        <w:br/>
        <w:t>Pour obtenir des informations sur les points focaux pour cet indicateur, veuillez visiter https://unstats.un.org/sdgs/dataContacts/</w:t>
      </w:r>
    </w:p>
    <w:p>
      <w:pPr>
        <w:pStyle w:val="Heading2"/>
      </w:pPr>
      <w:r>
        <w:t>Page 295</w:t>
      </w:r>
    </w:p>
    <w:p>
      <w:r>
        <w:t>Texte d'en-tête</w:t>
        <w:br/>
        <w:t>Texte de pied de page</w:t>
        <w:br/>
        <w:t>Objectif 13</w:t>
        <w:br/>
        <w:t>Prendre des mesures urgentes pour lutter contre le changement climatique et ses impacts</w:t>
        <w:br/>
        <w:t xml:space="preserve"> Page d'accueil du manuel électronique</w:t>
        <w:br/>
        <w:t>Dans cet objectif :</w:t>
        <w:br/>
        <w:t xml:space="preserve">La Division de statistique des Nations Unies (DSNU) a travaillé en consultation avec l'agence(s) dépositaire(s) de chaque indicateur pour préparer ces chapitres. Pour </w:t>
        <w:br/>
        <w:t>les indicateurs qui n’ont pas encore de chapitre ici, sont en cours de préparation et seront téléchargés ici dès qu’ils seront disponibles.</w:t>
        <w:br/>
        <w:t>Si vous avez des questions sur le manuel électronique, n'hésitez pas à contacter M. Yuxi Zhang ( yuxi.zhang@un.org) avec copie à M. Ze Yar Min (min@</w:t>
        <w:br/>
        <w:t>.un.org)</w:t>
      </w:r>
    </w:p>
    <w:p>
      <w:pPr>
        <w:pStyle w:val="Heading2"/>
      </w:pPr>
      <w:r>
        <w:t>Page 296</w:t>
      </w:r>
    </w:p>
    <w:p>
      <w:r>
        <w:t>Texte d'en-tête</w:t>
        <w:br/>
        <w:t>Texte de pied de page</w:t>
        <w:br/>
        <w:t>Indicateur 13.1.1</w:t>
        <w:br/>
        <w:t>Page d'accueil du manuel électronique</w:t>
        <w:br/>
        <w:t>Nom de l’indicateur, cible et objectif</w:t>
        <w:br/>
        <w:t>Définition et justification</w:t>
        <w:br/>
        <w:t>Sources de données et méthode de collecte</w:t>
        <w:br/>
        <w:t>Méthode de calcul et autres considérations méthodologiques</w:t>
        <w:br/>
        <w:t>Contenu</w:t>
        <w:br/>
        <w:t>Nom de l’indicateur, cible et objectif</w:t>
        <w:br/>
        <w:t>Définition et justification</w:t>
        <w:br/>
        <w:t>Sources de données et méthode de collecte</w:t>
        <w:br/>
        <w:t>Méthode de calcul et autres considérations méthodologiques</w:t>
        <w:br/>
        <w:t>Désagrégation des données</w:t>
        <w:br/>
        <w:t>Références</w:t>
        <w:br/>
        <w:t>Organisation(s) internationale(s) de surveillance mondiale</w:t>
        <w:br/>
        <w:t>Indicateur 13.1.1 : Nombre de décès, de personnes disparues et de personnes directement touchées attribués aux catastrophes pour 100 000 habitants</w:t>
        <w:br/>
        <w:t>Cible 13.1 : Renforcer la résilience et la capacité d’adaptation aux aléas et aux catastrophes naturelles liés au climat dans tous les pays</w:t>
        <w:br/>
        <w:t>Objectif 13 : Prendre des mesures urgentes pour lutter contre le changement climatique et ses impacts</w:t>
        <w:br/>
        <w:t>Définition :</w:t>
        <w:br/>
        <w:t xml:space="preserve">Cet indicateur mesure le nombre de personnes décédées, portées disparues ou directement touchées par des catastrophes pour 100 000 habitants. </w:t>
        <w:br/>
        <w:t>Concepts :</w:t>
        <w:br/>
        <w:t>Décès : nombre de personnes décédées pendant la catastrophe, ou immédiatement après, en conséquence directe de l'événement dangereux.</w:t>
        <w:br/>
        <w:t xml:space="preserve">Manquant : Le nombre de personnes dont on ne sait pas où elles se trouvent depuis l'événement dangereux. Cela inclut les personnes présumées mortes, pour lesquelles  </w:t>
        <w:br/>
        <w:t>il n'existe aucune preuve physique telle qu'un corps, et pour laquelle un rapport officiel/légal a été déposé auprès des autorités compétentes.</w:t>
        <w:br/>
        <w:t xml:space="preserve">Directement touché : le nombre de personnes qui ont subi une blessure, une maladie ou d'autres effets sur la santé ; qui ont été évacués, déplacés, relocalisés ou </w:t>
        <w:br/>
        <w:t xml:space="preserve">ont subi des dommages directs à leurs moyens de subsistance et à leurs biens économiques, physiques, sociaux, culturels et environnementaux. Les personnes indirectement touchées sont celles qui </w:t>
        <w:br/>
        <w:t xml:space="preserve">ont subi des conséquences, autres ou en plus des effets directs, au fil du temps, en raison de perturbations ou de changements dans l'économie, les infrastructures critiques, </w:t>
        <w:br/>
        <w:t xml:space="preserve">services de base, commerce ou travail, ou conséquences sociales, sanitaires et psychologiques. </w:t>
        <w:br/>
        <w:t>Justification et interprétation :</w:t>
        <w:br/>
        <w:t xml:space="preserve">Le Cadre de Sendai pour la réduction des risques de catastrophe 2015-2030 a été adopté par les États membres de l'ONU en mars 2015 en tant que politique mondiale de lutte contre les catastrophes. </w:t>
        <w:br/>
        <w:t xml:space="preserve">réduction des risques. Parmi les objectifs mondiaux, « Cible A : Réduire considérablement la mortalité mondiale due aux catastrophes d’ici 2030, en visant une moyenne inférieure pour 100 000 habitants ». </w:t>
        <w:br/>
        <w:t xml:space="preserve">mortalité mondiale entre 2020-2030 par rapport à 2005-2015 » et « Objectif B : Réduire considérablement le nombre de personnes touchées dans le monde en </w:t>
        <w:br/>
        <w:t xml:space="preserve">2030, visant à réduire le chiffre moyen mondial pour 100 000 entre 2020-2030 par rapport à 2005-2015 » contribuera à un développement durable. </w:t>
        <w:br/>
        <w:t xml:space="preserve">développement et renforcer la résilience économique, sociale, sanitaire et environnementale. Les perspectives économiques, environnementales et sociales seraient </w:t>
        <w:br/>
        <w:t xml:space="preserve">comprennent l’éradication de la pauvreté, la résilience urbaine et l’adaptation au changement climatique. </w:t>
        <w:br/>
        <w:t xml:space="preserve">Le groupe de travail intergouvernemental d'experts à composition non limitée sur les indicateurs et la terminologie relatifs à la réduction des risques de catastrophe (OIEWG) a été créé </w:t>
        <w:br/>
        <w:t xml:space="preserve">par l'Assemblée générale (résolution 69/284) a élaboré un ensemble d'indicateurs pour mesurer les progrès mondiaux dans la mise en œuvre de l'Accord de Sendai. </w:t>
        <w:br/>
        <w:t>Cadre qui a été approuvé par l'AGNU (OIEWG). Les indicateurs mondiaux pertinents pour le Cadre de Sendai seront utilisés dans le rapport A/71/644.</w:t>
        <w:br/>
        <w:t xml:space="preserve">rapporter pour cet indicateur. </w:t>
        <w:br/>
        <w:t xml:space="preserve">Les données sur les pertes liées aux catastrophes sont fortement influencées par les événements catastrophiques à grande échelle, qui représentent d’importantes valeurs aberrantes. L'UNISDR recommande aux pays </w:t>
        <w:br/>
        <w:t xml:space="preserve">rapporter les données par événement, afin qu'une analyse complémentaire puisse être entreprise pour obtenir des tendances et des schémas dans lesquels de tels événements catastrophiques (qui </w:t>
        <w:br/>
        <w:t>peuvent représenter des valeurs aberrantes) peuvent être inclus ou exclus.</w:t>
        <w:br/>
        <w:t xml:space="preserve">Le fournisseur de données au niveau national est nommé point focal du cadre de Sendai. Dans la plupart des pays, les données sur les catastrophes sont collectées par les ministères compétents et </w:t>
        <w:br/>
        <w:t xml:space="preserve">les bases de données nationales sur les pertes liées aux catastrophes sont établies et gérées par des agences spécialisées, notamment des agences nationales de gestion des catastrophes, </w:t>
        <w:br/>
        <w:t xml:space="preserve">les agences de protection civile et les agences météorologiques. Les points focaux du cadre de Sendai dans chaque pays sont responsables de la communication des données. </w:t>
        <w:br/>
        <w:t>via le système de surveillance du cadre Sendai.</w:t>
      </w:r>
    </w:p>
    <w:p>
      <w:pPr>
        <w:pStyle w:val="Heading2"/>
      </w:pPr>
      <w:r>
        <w:t>Page 297</w:t>
      </w:r>
    </w:p>
    <w:p>
      <w:r>
        <w:t>Texte d'en-tête</w:t>
        <w:br/>
        <w:t>Texte de pied de page</w:t>
        <w:br/>
        <w:t>Désagrégation des données</w:t>
        <w:br/>
        <w:t>Références</w:t>
        <w:br/>
        <w:t>Organisation(s) internationale(s) de surveillance mondiale</w:t>
        <w:br/>
        <w:t>Méthode de calcul :</w:t>
        <w:br/>
        <w:t>Cet indicateur, , est calculé comme une simple somme des indicateurs associés (décès, personnes disparues et personnes touchées) de la catastrophe nationale X.</w:t>
        <w:br/>
        <w:t xml:space="preserve">bases de données sur les pertes divisées par les données démographiques nationales (issues des recensements nationaux, des informations de la Banque mondiale ou de la Commission statistique des Nations Unies). </w:t>
        <w:br/>
        <w:t xml:space="preserve"> </w:t>
        <w:br/>
        <w:t xml:space="preserve"> Où :</w:t>
        <w:br/>
        <w:t xml:space="preserve">A Nombre de décès attribués aux catastrophes ;2 </w:t>
        <w:br/>
        <w:t>Un nombre de personnes disparues attribuées à des catastrophes ; et3</w:t>
        <w:br/>
        <w:t>B Nombre de personnes directement touchées par les catastrophes.1</w:t>
        <w:br/>
        <w:t xml:space="preserve">* Des méthodologies détaillées peuvent être trouvées dans le guide technique (voir ci-dessous la section Référence) </w:t>
        <w:br/>
        <w:t>Commentaires et limites :</w:t>
        <w:br/>
        <w:t xml:space="preserve">Le système de suivi du cadre de Sendai a été développé pour mesurer les progrès dans la mise en œuvre du cadre de Sendai en </w:t>
        <w:br/>
        <w:t xml:space="preserve">Indicateurs approuvés par l’AGNU. Les États membres pourront faire rapport via le système à partir de mars 2018. Les données pour les indicateurs des ODD seront </w:t>
        <w:br/>
        <w:t xml:space="preserve">compilé et rapporté par l’UNISDR. </w:t>
        <w:br/>
        <w:t>Indicateurs proxy, alternatifs et complémentaires :</w:t>
        <w:br/>
        <w:t xml:space="preserve">Dans la plupart des cas, les sources de données internationales enregistrent uniquement les événements qui dépassent un certain seuil d'impact et utilisent des sources de données secondaires qui </w:t>
        <w:br/>
        <w:t>ont généralement des méthodologies non uniformes, voire incohérentes, produisant des ensembles de données hétérogènes.</w:t>
        <w:br/>
        <w:t xml:space="preserve">Cet indicateur peut être ventilé selon le nombre de décès attribués aux catastrophes ; nombre de personnes disparues attribuées à des catastrophes ; et numéro </w:t>
        <w:br/>
        <w:t xml:space="preserve">des personnes directement touchées par les catastrophes. Les dimensions de désagrégation souhaitables possibles comprennent : le risque, la géographie (unité administrative), </w:t>
        <w:br/>
        <w:t>sexe, âge (3 catégories), handicap et revenu.</w:t>
        <w:br/>
        <w:t>URL officielle des métadonnées ODD</w:t>
        <w:br/>
        <w:t xml:space="preserve">https://unstats.un.org/sdgs/metadata/files/Metadata-01-05-01.pdf  </w:t>
        <w:br/>
        <w:t>Méthodologie reconnue au niveau international et URL des lignes directrices</w:t>
        <w:br/>
        <w:t xml:space="preserve">Conseils techniques pour le suivi et l'établissement de rapports sur les progrès accomplis dans la réalisation des objectifs mondiaux du Cadre de Sendai pour la réduction des risques de catastrophe </w:t>
        <w:br/>
        <w:t xml:space="preserve">(UNISDR 2017) </w:t>
        <w:br/>
        <w:t xml:space="preserve"> https://www.preventionweb.net/files/54970_collectionoftechnicalguidancenoteso.pdf</w:t>
        <w:br/>
        <w:t>Autres références</w:t>
        <w:br/>
        <w:t xml:space="preserve">Rapport du groupe de travail intergouvernemental d'experts à composition non limitée sur les indicateurs et la terminologie relatifs à la réduction des risques de catastrophe (OEIWG). </w:t>
        <w:br/>
        <w:t>Disponible sur : Approuvé par l'AGNU le 2 février 2017. nd https://www.preventionweb.net/publications/view/51748</w:t>
        <w:br/>
        <w:t>Exemples de pays</w:t>
        <w:br/>
        <w:t>N/D</w:t>
        <w:br/>
        <w:t xml:space="preserve">Ce document a été préparé sur la base des contributions du Bureau des Nations Unies pour la réduction des risques de catastrophe (UNISDR). </w:t>
        <w:br/>
        <w:t>Pour obtenir des informations sur les points focaux pour cet indicateur, veuillez visiter https://unstats.un.org/sdgs/dataContacts/</w:t>
      </w:r>
    </w:p>
    <w:p>
      <w:pPr>
        <w:pStyle w:val="Heading2"/>
      </w:pPr>
      <w:r>
        <w:t>Page 298</w:t>
      </w:r>
    </w:p>
    <w:p>
      <w:r>
        <w:t>Texte d'en-tête</w:t>
        <w:br/>
        <w:t>Texte de pied de page</w:t>
        <w:br/>
        <w:t>Indicateur 13.1.2</w:t>
        <w:br/>
        <w:t>Page d'accueil du manuel électronique</w:t>
        <w:br/>
        <w:t xml:space="preserve"> </w:t>
        <w:br/>
        <w:t>Nom de l’indicateur, cible et objectif</w:t>
        <w:br/>
        <w:t>Définition et justification</w:t>
        <w:br/>
        <w:t>Sources de données et méthode de collecte</w:t>
        <w:br/>
        <w:t>Méthode de calcul et autres considérations méthodologiques</w:t>
        <w:br/>
        <w:t>Contenu</w:t>
        <w:br/>
        <w:t>Nom de l’indicateur, cible et objectif</w:t>
        <w:br/>
        <w:t>Définition et justification</w:t>
        <w:br/>
        <w:t>Sources de données et méthode de collecte</w:t>
        <w:br/>
        <w:t>Méthode de calcul et autres considérations méthodologiques</w:t>
        <w:br/>
        <w:t>Désagrégation des données</w:t>
        <w:br/>
        <w:t>Références</w:t>
        <w:br/>
        <w:t>Organisation(s) internationale(s) de surveillance mondiale</w:t>
        <w:br/>
        <w:t xml:space="preserve"> Indicateur 13.1.2 : Nombre de pays qui adoptent et mettent en œuvre des stratégies nationales de réduction des risques de catastrophe conformément au Cadre de Sendai pour </w:t>
        <w:br/>
        <w:t>Réduction des risques de catastrophe 2015-2030</w:t>
        <w:br/>
        <w:t>Cible 13.1 : Renforcer la résilience et la capacité d’adaptation aux aléas et aux catastrophes naturelles liés au climat dans tous les pays</w:t>
        <w:br/>
        <w:t>Objectif 13 : Prendre des mesures urgentes pour lutter contre le changement climatique et ses impacts</w:t>
        <w:br/>
        <w:t>Définition :</w:t>
        <w:br/>
        <w:t xml:space="preserve">Cet indicateur mesure le nombre de pays qui adoptent et mettent en œuvre des stratégies nationales de réduction des risques de catastrophe (RRC) conformément aux </w:t>
        <w:br/>
        <w:t xml:space="preserve">Cadre de Sendai pour la réduction des risques de catastrophe 2015-2030, avec de multiples dimensions du niveau de mise en œuvre. </w:t>
        <w:br/>
        <w:t>Concepts :</w:t>
        <w:br/>
        <w:t xml:space="preserve">Stratégies de réduction des risques de catastrophe : définir des buts et des objectifs sur différentes échelles de temps et avec des cibles, des indicateurs et des délais concrets. </w:t>
        <w:br/>
        <w:t xml:space="preserve">Conformément au Cadre de Sendai pour la réduction des risques de catastrophe 2015-2030, ceux-ci devraient viser à prévenir la création de risques de catastrophe, le </w:t>
        <w:br/>
        <w:t xml:space="preserve">réduction des risques existants et renforcement de la résilience économique, sociale, sanitaire et environnementale. </w:t>
        <w:br/>
        <w:t>Justification et interprétation :</w:t>
        <w:br/>
        <w:t xml:space="preserve">Le Cadre de Sendai pour la réduction des risques de catastrophe 2015-2030 a été adopté par les États membres de l'ONU en mars 2015 en tant que politique mondiale de lutte contre les catastrophes. </w:t>
        <w:br/>
        <w:t xml:space="preserve">réduction des risques. Parmi les objectifs mondiaux, « Objectif E : Augmenter considérablement le nombre de pays dotés de mesures nationales et locales de réduction des risques de catastrophe. </w:t>
        <w:br/>
        <w:t xml:space="preserve">stratégies d’ici 2020 » favoriseront la RRC et, à terme, contribueront au développement durable et renforceront les domaines économique, social, sanitaire et </w:t>
        <w:br/>
        <w:t xml:space="preserve">résilience environnementale. Les perspectives économiques, environnementales et sociales incluraient l'éradication de la pauvreté, la résilience urbaine et le changement climatique. </w:t>
        <w:br/>
        <w:t xml:space="preserve">adaptation au changement. Leurs perspectives économiques, environnementales et sociales incluraient l'éradication de la pauvreté, la résilience urbaine et le changement climatique. </w:t>
        <w:br/>
        <w:t>adaptation au changement.</w:t>
        <w:br/>
        <w:t xml:space="preserve">Conformément au Cadre de Sendai, les stratégies et politiques de RRC devraient intégrer la réduction des risques de catastrophe au sein et à travers tous les pays. </w:t>
        <w:br/>
        <w:t xml:space="preserve">secteurs, sur différentes échelles de temps et avec des objectifs, des indicateurs et des délais. Ces stratégies de RRC devraient viser à prévenir la </w:t>
        <w:br/>
        <w:t xml:space="preserve">la création de risques de catastrophe, la réduction des risques existants, le renforcement de la résilience économique, sociale, sanitaire et environnementale, et d'autres </w:t>
        <w:br/>
        <w:t>éléments stipulés dans le cadre de Sendai.</w:t>
        <w:br/>
        <w:t xml:space="preserve">Le groupe de travail intergouvernemental d'experts à composition non limitée sur les indicateurs et la terminologie relatifs à la réduction des risques de catastrophe (OIEWG) a été créé </w:t>
        <w:br/>
        <w:t xml:space="preserve">par l'Assemblée générale (résolution 69/284) a élaboré un ensemble d'indicateurs pour mesurer les progrès mondiaux dans la mise en œuvre de l'Accord de Sendai. </w:t>
        <w:br/>
        <w:t>Cadre qui a été approuvé par l'AGNU (OIEWG). L'indicateur mondial pertinent pour le Cadre de Sendai, E-1, est utilisé pour le rapport A/71/644.</w:t>
        <w:br/>
        <w:t xml:space="preserve">rapport pour cet indicateur.  </w:t>
        <w:br/>
        <w:t xml:space="preserve">Nommé points focaux du Cadre de Sendai. </w:t>
        <w:br/>
        <w:t xml:space="preserve">Dans la plupart des pays, les bases de données nationales sur les pertes liées aux catastrophes sont établies et gérées par des agences spécialisées, notamment les agences nationales chargées des catastrophes. </w:t>
        <w:br/>
        <w:t xml:space="preserve">les agences de gestion, les agences de protection civile et les agences météorologiques, ainsi que les données sur les catastrophes collectées par les ministères de tutelle.  Le Sendaï </w:t>
        <w:br/>
        <w:t>Les points focaux du cadre dans chaque pays sont responsables de la communication des données via le système de suivi du cadre Sendai en ligne.</w:t>
      </w:r>
    </w:p>
    <w:p>
      <w:pPr>
        <w:pStyle w:val="Heading2"/>
      </w:pPr>
      <w:r>
        <w:t>Page 299</w:t>
      </w:r>
    </w:p>
    <w:p>
      <w:r>
        <w:t>Texte d'en-tête</w:t>
        <w:br/>
        <w:t>Texte de pied de page</w:t>
        <w:br/>
        <w:t>Désagrégation des données</w:t>
        <w:br/>
        <w:t>Références</w:t>
        <w:br/>
        <w:t>Méthode de calcul :</w:t>
        <w:br/>
        <w:t xml:space="preserve">Des méthodologies détaillées peuvent être trouvées dans le guide technique (voir la référence) </w:t>
        <w:br/>
        <w:t xml:space="preserve">Résumé </w:t>
        <w:br/>
        <w:t xml:space="preserve">Il s'agit d'un indicateur quantitatif par mesures progressives de réussite qui quantifierait l'amélioration de la qualité de la RRC nationale. </w:t>
        <w:br/>
        <w:t xml:space="preserve">stratégies au fil du temps, plutôt que des mesures binaires (oui/non), basées sur les délibérations de l'OIEWG ainsi que de l'IAEG-SDG. </w:t>
        <w:br/>
        <w:t xml:space="preserve">Dix éléments clés dérivés du cadre Sendai sont utilisés comme sous-indicateurs (5 niveaux de 0 à 1 : 0, 0,25, 0,50, 0,75, 1,0) pour mesurer </w:t>
        <w:br/>
        <w:t xml:space="preserve">alignement avec le cadre Sendai. Les États membres doivent évaluer le niveau de mise en œuvre de chaque sous-indicateur. </w:t>
        <w:br/>
        <w:t xml:space="preserve">Cet indicateur est calculé à partir de la moyenne arithmétique de ces sous-indicateurs : </w:t>
        <w:br/>
        <w:t xml:space="preserve">Les stratégies nationales de RRC doivent </w:t>
        <w:br/>
        <w:t>je. Avoir des échelles de temps différentes, avec des objectifs, des indicateurs et des délais</w:t>
        <w:br/>
        <w:t>ii. Avoir pour objectif de prévenir la création de risques</w:t>
        <w:br/>
        <w:t>iii. Avoir pour objectif de réduire les risques existants</w:t>
        <w:br/>
        <w:t>iv. Avoir pour objectif de renforcer la résilience économique, sociale, sanitaire et environnementale</w:t>
        <w:br/>
        <w:t xml:space="preserve">v. Répondre aux recommandations de la priorité 1, Comprendre les risques de catastrophe : sur la base de la connaissance et des évaluations des risques pour identifier les risques au niveau </w:t>
        <w:br/>
        <w:t>niveaux local et national de la capacité technique, financière et administrative de gestion des risques de catastrophe</w:t>
        <w:br/>
        <w:t xml:space="preserve">vi. Répondre aux recommandations de la priorité 2, Renforcer la gouvernance des risques de catastrophe pour gérer les risques de catastrophe : intégrer et intégrer la RRC </w:t>
        <w:br/>
        <w:t>au sein et entre tous les secteurs, en définissant les rôles et les responsabilités</w:t>
        <w:br/>
        <w:t xml:space="preserve">vii. Répondre aux recommandations de la priorité 3, Investir dans la réduction des risques de catastrophe pour la résilience : Guide d'allocation des ressources nécessaires </w:t>
        <w:br/>
        <w:t>à tous les niveaux de l’administration pour l’élaboration et la mise en œuvre de stratégies de RRC dans tous les secteurs concernés</w:t>
        <w:br/>
        <w:t xml:space="preserve">viii. Répondre aux recommandations de la priorité 4, Améliorer la préparation aux catastrophes pour une réponse efficace et « Reconstruire en mieux » lors du relèvement, </w:t>
        <w:br/>
        <w:t xml:space="preserve">réhabilitation et reconstruction : renforcer la préparation aux catastrophes pour la réponse et intégrer la préparation et le développement de la réponse en matière de RRC </w:t>
        <w:br/>
        <w:t>des mesures pour rendre les nations et les communautés résilientes aux catastrophes</w:t>
        <w:br/>
        <w:t xml:space="preserve">ix. Promouvoir la cohérence des politiques pertinentes pour la réduction des risques de catastrophe tels que le développement durable, l'éradication de la pauvreté et le changement climatique, </w:t>
        <w:br/>
        <w:t>notamment avec les ODD et l’Accord de Paris</w:t>
        <w:br/>
        <w:t xml:space="preserve">X. Disposer de mécanismes de suivi, d’évaluation périodique et de rapport public sur les progrès. </w:t>
        <w:br/>
        <w:t>Commentaires et limites :</w:t>
        <w:br/>
        <w:t xml:space="preserve">Le système de suivi du cadre de Sendai a été développé pour mesurer les progrès dans la mise en œuvre du cadre de Sendai en </w:t>
        <w:br/>
        <w:t xml:space="preserve">Indicateurs approuvés par l’AGNU. Les États membres doivent rendre compte via le système à partir de mars 2018. Les données pour les indicateurs des ODD sont compilées et </w:t>
        <w:br/>
        <w:t>rapporté par l’UNISDR.</w:t>
        <w:br/>
        <w:t xml:space="preserve">Contrairement à une mesure binaire des « dispositions législatives et/ou réglementaires de la RRC » dans le précédent Hyogo Framework for Action Monitor, le </w:t>
        <w:br/>
        <w:t xml:space="preserve">Sendai Framework Monitor peut mesurer progressivement les progrès en fonction de plusieurs dimensions du niveau de mise en œuvre. </w:t>
        <w:br/>
        <w:t>Indicateurs proxy, alternatifs et supplémentaires : N/A</w:t>
        <w:br/>
        <w:t>Aucun</w:t>
      </w:r>
    </w:p>
    <w:p>
      <w:pPr>
        <w:pStyle w:val="Heading2"/>
      </w:pPr>
      <w:r>
        <w:t>Page 300</w:t>
      </w:r>
    </w:p>
    <w:p>
      <w:r>
        <w:t>Texte d'en-tête</w:t>
        <w:br/>
        <w:t>Texte de pied de page</w:t>
        <w:br/>
        <w:t>Organisation(s) internationale(s) de surveillance mondiale</w:t>
        <w:br/>
        <w:t>URL officielle des métadonnées ODD</w:t>
        <w:br/>
        <w:t xml:space="preserve">https://unstats.un.org/sdgs/metadata/files/Metadata-11-0B-01.pdf </w:t>
        <w:br/>
        <w:t>Méthodologie reconnue au niveau international et URL des lignes directrices</w:t>
        <w:br/>
        <w:t xml:space="preserve">Conseils techniques pour le suivi et l'établissement de rapports sur les progrès accomplis dans la réalisation des objectifs mondiaux du Cadre de Sendai pour la réduction des risques de catastrophe </w:t>
        <w:br/>
        <w:t>(UNISDR 2018)   https://www.preventionweb.net/publications/view/54970</w:t>
        <w:br/>
        <w:t>Autres références</w:t>
        <w:br/>
        <w:t xml:space="preserve">Rapport du groupe de travail intergouvernemental d'experts à composition non limitée sur les indicateurs et la terminologie relatifs à la réduction des risques de catastrophe (OEIWG). </w:t>
        <w:br/>
        <w:t xml:space="preserve">Disponible sur : Approuvé par l'AGNU le 2 février 2017. nd https://www.preventionweb.net/publications/view/51748 </w:t>
        <w:br/>
        <w:t>Exemples de pays</w:t>
        <w:br/>
        <w:t>N/D</w:t>
        <w:br/>
        <w:t>Ce document a été préparé sur la base des contributions du Bureau des Nations Unies pour la réduction des risques de catastrophe (UNISDR).</w:t>
        <w:br/>
        <w:t>Pour obtenir des informations sur les points focaux pour cet indicateur, veuillez visiter https://unstats.un.org/sdgs/dataContacts/</w:t>
      </w:r>
    </w:p>
    <w:p>
      <w:pPr>
        <w:pStyle w:val="Heading2"/>
      </w:pPr>
      <w:r>
        <w:t>Page 301</w:t>
      </w:r>
    </w:p>
    <w:p>
      <w:r>
        <w:t>Texte d'en-tête</w:t>
        <w:br/>
        <w:t>Texte de pied de page</w:t>
        <w:br/>
        <w:t>Objectif 14</w:t>
        <w:br/>
        <w:t xml:space="preserve">Conserver et utiliser durablement les océans, les mers et le milieu marin </w:t>
        <w:br/>
        <w:t>ressources pour le développement durable</w:t>
        <w:br/>
        <w:t>Page d'accueil du manuel électronique</w:t>
        <w:br/>
        <w:t>Dans cet objectif :</w:t>
        <w:br/>
        <w:t xml:space="preserve">La Division de statistique des Nations Unies (DSNU) a travaillé en consultation avec l'agence(s) dépositaire(s) de chaque indicateur pour préparer ces chapitres. Pour </w:t>
        <w:br/>
        <w:t>les indicateurs qui n’ont pas encore de chapitre ici, sont en cours de préparation et seront téléchargés ici dès qu’ils seront disponibles.</w:t>
        <w:br/>
        <w:t xml:space="preserve">Si vous avez des questions sur le manuel électronique, n'hésitez pas à contacter M. Yuxi Zhang ( yuxi.zhang@un.org) avec copie à M. Ze. </w:t>
        <w:br/>
        <w:t>Yar Min (min@un.org).</w:t>
      </w:r>
    </w:p>
    <w:p>
      <w:pPr>
        <w:pStyle w:val="Heading2"/>
      </w:pPr>
      <w:r>
        <w:t>Page 302</w:t>
      </w:r>
    </w:p>
    <w:p>
      <w:r>
        <w:t>Texte d'en-tête</w:t>
        <w:br/>
        <w:t>Texte de pied de page</w:t>
        <w:br/>
        <w:t>Indicateur 14.4.1</w:t>
        <w:br/>
        <w:t>Page d'accueil du manuel électronique</w:t>
        <w:br/>
        <w:t>Nom de l’indicateur, cible et objectif</w:t>
        <w:br/>
        <w:t>Définition et justification</w:t>
        <w:br/>
        <w:t>Sources de données et méthode de collecte</w:t>
        <w:br/>
        <w:t>Contenu</w:t>
        <w:br/>
        <w:t>Nom de l’indicateur, cible et objectif</w:t>
        <w:br/>
        <w:t>Définition et justification</w:t>
        <w:br/>
        <w:t>Sources de données et méthode de collecte</w:t>
        <w:br/>
        <w:t>Méthode de calcul et autres considérations méthodologiques</w:t>
        <w:br/>
        <w:t>Désagrégation des données</w:t>
        <w:br/>
        <w:t>Références</w:t>
        <w:br/>
        <w:t>Organisation(s) internationale(s) de surveillance mondiale</w:t>
        <w:br/>
        <w:t xml:space="preserve"> Indicateur 14.4.1 : Proportion de stocks de poissons se situant à des niveaux biologiquement durables</w:t>
        <w:br/>
        <w:t xml:space="preserve">Cible 14.4 : D’ici 2020, réglementer efficacement les prélèvements et mettre fin à la surpêche, à la pêche illégale, non déclarée et non réglementée et à la pêche destructrice. </w:t>
        <w:br/>
        <w:t xml:space="preserve">pratiques et mettre en œuvre des plans de gestion fondés sur la science, afin de restaurer les stocks de poissons dans les plus brefs délais, au moins à des niveaux qui peuvent </w:t>
        <w:br/>
        <w:t>produire un rendement durable maximal, tel que déterminé par leurs caractéristiques biologiques</w:t>
        <w:br/>
        <w:t>Objectif 14 : Conserver et utiliser durablement les océans, les mers et les ressources marines pour le développement durable</w:t>
        <w:br/>
        <w:t>Définition :</w:t>
        <w:br/>
        <w:t>Cet indicateur est défini comme la proportion d'espèces exploitées dans le cadre du rendement maximal durable (RMD). stocks de poissons</w:t>
        <w:br/>
        <w:t xml:space="preserve">Cet indicateur est actuellement rapporté aux niveaux régional et mondial. </w:t>
        <w:br/>
        <w:t xml:space="preserve">Concepts : </w:t>
        <w:br/>
        <w:t xml:space="preserve">L'Organisation des Nations Unies pour l'alimentation et l'agriculture (FAO) a divisé les océans du monde en 21 zones statistiques, et l'évaluation des stocks </w:t>
        <w:br/>
        <w:t>est réalisée à partir de ces domaines statistiques. Au total, 584   ont été suivis depuis 1974, avec une évaluation des stocks de poissons et d'espèces</w:t>
        <w:br/>
        <w:t xml:space="preserve">informations sur 441 stocks ou espèces. L'évaluation des stocks classe les stocks de poissons en 3 catégories : non pleinement exploités, pleinement exploités et </w:t>
        <w:br/>
        <w:t>surexploité. Les stocks à l'intérieur  sont ceux classés comme non pleinement exploités et pleinement exploités. Niveaux biologiquement durables</w:t>
        <w:br/>
        <w:t xml:space="preserve">Le rendement maximal durable (RMD) est le rendement (ou capture) le plus élevé pouvant être tiré d'un stock de poissons sur une période indéfinie. Le but de ceci </w:t>
        <w:br/>
        <w:t xml:space="preserve">le rendement seuil consiste à atteindre la productivité maximale des ressources halieutiques tout en préservant la biodiversité et le bon fonctionnement des ressources halieutiques concernées. </w:t>
        <w:br/>
        <w:t xml:space="preserve">écosystèmes pour les générations présentes et futures. </w:t>
        <w:br/>
        <w:t>Lorsque la pêche fait baisser le   d'un stock de poisson en dessous du niveau auquel un RMD peut être produit, on dit que le stock est  . Dans une biomasse surexploitée</w:t>
        <w:br/>
        <w:t>En revanche, le stock l'est si sa biomasse est supérieure au niveau correspondant au MSY. Lorsque la taille de la population est maintenue à un niveau non pleinement exploité ou proche de celui-ci</w:t>
        <w:br/>
        <w:t>le niveau qui produit le MSY, on dit que l'espèce est , permettant à la population de continuer à être productive indéfiniment. Durable pleinement exploité</w:t>
        <w:br/>
        <w:t xml:space="preserve">la gestion des pêcheries vise à contrôler la pression de pêche afin que le stock soit maintenu au niveau le plus productif. </w:t>
        <w:br/>
        <w:t>Le   d'un stock de poisson est la quantité, généralement en poids, d'un stock à un moment donné. La question de savoir si un stock de poissons ou une espèce est  est jugée comme une biomasse surexploitée.</w:t>
        <w:br/>
        <w:t xml:space="preserve">sur la base de l’estimation de la biomasse actuelle du stock par rapport à son niveau de stock vierge. Ces informations ne peuvent être obtenues que par l'évaluation des stocks, </w:t>
        <w:br/>
        <w:t xml:space="preserve">bien que certaines méthodes alternatives aient été récemment développées pour être utilisées dans les pêcheries ne disposant pas de données adéquates. </w:t>
        <w:br/>
        <w:t>Justification et interprétation :</w:t>
        <w:br/>
        <w:t xml:space="preserve">Cet indicateur fournit un moyen de suivre les progrès et les changements dans l'exploitation et la gestion des ressources halieutiques mondiales en tant que mesure directe. </w:t>
        <w:br/>
        <w:t xml:space="preserve">mesure de durabilité. Il s'agit d'une référence importante pour la formulation de politiques et la prise de décision liées à la gestion durable de la pêche. </w:t>
        <w:br/>
        <w:t xml:space="preserve">ressources. </w:t>
        <w:br/>
        <w:t xml:space="preserve">La Conférence des Nations Unies sur le droit de la mer, l'Accord des Nations Unies sur les stocks de poissons, le Plan de mise en œuvre de la Convention mondiale de 2002 </w:t>
        <w:br/>
        <w:t xml:space="preserve">Sommet sur le développement durable, objectif stratégique de la Conférence des Parties à la Convention sur la diversité biologique (CDB) en 2010, </w:t>
        <w:br/>
        <w:t xml:space="preserve">entre autres, tous font référence aux points de référence et aux objectifs basés sur le RMD. De nombreux pays, dont l'Australie, la Nouvelle-Zélande et les États-Unis, </w:t>
        <w:br/>
        <w:t>et l'Union européenne a fixé ses objectifs de gestion sur la base du RMD.</w:t>
        <w:br/>
        <w:t xml:space="preserve">L'indicateur est actuellement estimé aux niveaux régional et mondial en raison de o les limites des données et autres questions, les principes et méthodologies derrière le </w:t>
        <w:br/>
        <w:t xml:space="preserve">l’évaluation sont également applicables au niveau national. Les pays qui disposent de données et de capacités suffisantes devraient s’efforcer d’estimer cet indicateur </w:t>
        <w:br/>
        <w:t xml:space="preserve">car il mesure directement la durabilité des ressources halieutiques, qui constitue l’information la plus fondamentale pour la politique nationale et la stratégie de gestion. </w:t>
        <w:br/>
        <w:t>spécifiques aux stocks de poissons et aux zones de pêche propres à chaque pays.</w:t>
      </w:r>
    </w:p>
    <w:p>
      <w:pPr>
        <w:pStyle w:val="Heading2"/>
      </w:pPr>
      <w:r>
        <w:t>Page 303</w:t>
      </w:r>
    </w:p>
    <w:p>
      <w:r>
        <w:t>Texte d'en-tête</w:t>
        <w:br/>
        <w:t>Texte de pied de page</w:t>
        <w:br/>
        <w:t>Méthode de calcul et autres considérations méthodologiques</w:t>
        <w:br/>
        <w:t>Désagrégation des données</w:t>
        <w:br/>
        <w:t>Références</w:t>
        <w:br/>
        <w:t xml:space="preserve">Tous les pays membres des Nations Unies sont priés de déclarer à la FAO leurs débarquements annuels par espèce de poisson ou groupe d'espèces. Le Manuel de la pêche </w:t>
        <w:br/>
        <w:t xml:space="preserve"> fournit des définitions complètes des concepts et des détails des classifications standard appliquées par les agences internationales. Normes statistiques</w:t>
        <w:br/>
        <w:t>Le   ne tente pas d'inclure des détails sur les systèmes nationaux, dont beaucoup ont été développés à des fins nationales spécifiques et donc le manuel</w:t>
        <w:br/>
        <w:t xml:space="preserve">diffèrent des systèmes utilisés à l’échelle internationale. Néanmoins, les autorités envisageant d’introduire ou de réviser des systèmes statistiques nationaux sont encouragées </w:t>
        <w:br/>
        <w:t>garantir que le système développé intègre un haut degré de compatibilité avec les normes internationales décrites dans le  . Manuel</w:t>
        <w:br/>
        <w:t xml:space="preserve">Pour garantir la qualité des données, chaque collecte est documentée pour mettre en évidence les définitions et préciser la structure, les sources, la couverture, les processus, les </w:t>
        <w:br/>
        <w:t xml:space="preserve">utilisation, etc </w:t>
        <w:br/>
        <w:t xml:space="preserve">L'évaluation formelle des stocks nécessite des séries chronologiques de données de capture et d'effort, ainsi que d'autres paramètres biologiques. Capture désigne la biomasse d'un </w:t>
        <w:br/>
        <w:t xml:space="preserve">espèces de poissons capturées ou débarquées. L'effort de pêche est une mesure de l'intensité de la pêche, généralement mesurée par le nombre de navires de pêche. </w:t>
        <w:br/>
        <w:t xml:space="preserve">multiplié par le temps passé à pêcher. Bien que la FAO collecte des statistiques sur le nombre de pêcheurs et de bateaux de pêche dans différentes catégories, aucune </w:t>
        <w:br/>
        <w:t xml:space="preserve">des données sur l’effort de pêche ont été collectées. </w:t>
        <w:br/>
        <w:t xml:space="preserve">La base de données de la FAO couvre uniquement les statistiques officielles fournies par les pays membres. Les comités scientifiques régionaux et les instances de gestion sont </w:t>
        <w:br/>
        <w:t xml:space="preserve">d'autres sources importantes de données sur la pêche. Cependant, leur importance dans la collecte de données varie d'une commission à l'autre. Par exemple, un </w:t>
        <w:br/>
        <w:t>Un certain nombre de commissions du thon disposent de leur propre système de collecte de données.</w:t>
        <w:br/>
        <w:t>Méthode de calcul :</w:t>
        <w:br/>
        <w:t xml:space="preserve">Cet indicateur est calculé comme le nombre d'espèces de poissons dont l'évaluation des stocks est non pleinement exploitée ou pleinement exploitée, divisé par le total. </w:t>
        <w:br/>
        <w:t xml:space="preserve">nombre d'espèces de poissons avec une évaluation du stock et multiplié par 100. </w:t>
        <w:br/>
        <w:t>Commentaires et limites :</w:t>
        <w:br/>
        <w:t xml:space="preserve">Le calcul de cet indicateur nécessite non seulement des données exigeantes, mais également une intensité technique puisque l'évaluation des stocks est une modélisation numérique des poissons. </w:t>
        <w:br/>
        <w:t xml:space="preserve">dynamique des populations basée sur des données chronologiques de capture et d’effort de pêche ainsi que d’autres paramètres biologiques et données indépendantes de la pêche. </w:t>
        <w:br/>
        <w:t xml:space="preserve">C’est la raison pour laquelle de nombreux pays ne disposent pas de données et de capacités suffisantes pour produire cet indicateur. </w:t>
        <w:br/>
        <w:t xml:space="preserve">La proportion est calculée sur la base de l'effectif du stock, sans pondération ni par son volume de production ni par l'abondance du stock. Cela signifie que </w:t>
        <w:br/>
        <w:t xml:space="preserve">chaque stock de poisson est considéré comme ayant la même importance. </w:t>
        <w:br/>
        <w:t xml:space="preserve">La qualité des données varie d'un pays à l'autre. Dans certains pays, il n'existe pas de système ou de réseau spécifique pour collecter des données statistiques sur les captures de poisson. </w:t>
        <w:br/>
        <w:t xml:space="preserve">et d'autres données sur la pêche. Les données sur les débarquements de pêche sont souvent déclarées par les gouvernements nationaux sous forme agrégée plutôt que par espèce de poisson. Beaucoup </w:t>
        <w:br/>
        <w:t xml:space="preserve">les stocks de poissons ne disposent pas de données adéquates pour étayer une évaluation formelle des stocks. Dans de tels cas, la FAO évalue l'état de leurs stocks à l'aide de simples </w:t>
        <w:br/>
        <w:t xml:space="preserve">méthodes moins exigeantes en données, mais cela introduit une plus grande incertitude. La pêche a une influence majeure sur l'abondance des poissons </w:t>
        <w:br/>
        <w:t>populations. Cependant, il est largement reconnu que d'autres facteurs, tels que les changements environnementaux, le développement côtier, le changement climatique, les prédateurs,</w:t>
        <w:br/>
        <w:t xml:space="preserve">L'interaction avec les proies et la modification de l'habitat jouent également un rôle important. </w:t>
        <w:br/>
        <w:t>Indicateurs proxy, alternatifs et supplémentaires : N/A</w:t>
        <w:br/>
        <w:t xml:space="preserve">Au niveau international, l'indicateur peut être calculé séparément pour chaque domaine statistique de la FAO et présenté à l'échelle mondiale. De plus, </w:t>
        <w:br/>
        <w:t xml:space="preserve">pour des espèces ou des groupes de poissons spécifiques, il est utile de montrer le degré d'exploitation, afin de faciliter la détermination des politiques concernant les espèces qui nécessitent des mesures particulières. </w:t>
        <w:br/>
        <w:t>attention.</w:t>
      </w:r>
    </w:p>
    <w:p>
      <w:pPr>
        <w:pStyle w:val="Heading2"/>
      </w:pPr>
      <w:r>
        <w:t>Page 304</w:t>
      </w:r>
    </w:p>
    <w:p>
      <w:r>
        <w:t>Texte d'en-tête</w:t>
        <w:br/>
        <w:t>Texte de pied de page</w:t>
        <w:br/>
        <w:t>Organisation(s) internationale(s) de surveillance mondiale</w:t>
        <w:br/>
        <w:t>URL officielle des métadonnées ODD</w:t>
        <w:br/>
        <w:t xml:space="preserve">https://unstats.un.org/sdgs/metadata/files/Metadata-14-04-01.pdf  </w:t>
        <w:br/>
        <w:t xml:space="preserve">Méthodologie reconnue au niveau international et URL des lignes directrices </w:t>
        <w:br/>
        <w:t>http://www.fao.org/docrep/015/i2389e/i2389e.pdf</w:t>
        <w:br/>
        <w:t>Autres références</w:t>
        <w:br/>
        <w:t>Portail ODD de la FAO et apprentissage en ligne :</w:t>
        <w:br/>
        <w:t>FAO. . Disponible sur Indicateurs des objectifs de développement durable http://www.fao.org/sustainable-development-goals/indicators/en/</w:t>
        <w:br/>
        <w:t>FAO. Centre d'apprentissage en ligne. Disponible sur http://www.fao.org/elearning/</w:t>
        <w:br/>
        <w:t>Références supplémentaires :</w:t>
        <w:br/>
        <w:t>FAO (2011). Rome. Disponible sur : Examen de l’état des ressources halieutiques marines mondiales.  http://www.fao.org/docrep/015/i2389e/i2389e00.htm</w:t>
        <w:br/>
        <w:t>Le . Disponible sur : Manuel des normes statistiques de pêche http://www.fao.org/docrep/006/Y4922E/y4922e0h.htm</w:t>
        <w:br/>
        <w:t>Exemples de pays</w:t>
        <w:br/>
        <w:t>N/D</w:t>
        <w:br/>
        <w:t>Ce document a été préparé sur la base des contributions de l'Organisation des Nations Unies pour l'alimentation et l'agriculture (FAO).</w:t>
        <w:br/>
        <w:t>Pour obtenir des informations sur les points focaux pour cet indicateur, veuillez visiter https://unstats.un.org/sdgs/dataContacts/</w:t>
      </w:r>
    </w:p>
    <w:p>
      <w:pPr>
        <w:pStyle w:val="Heading2"/>
      </w:pPr>
      <w:r>
        <w:t>Page 305</w:t>
      </w:r>
    </w:p>
    <w:p>
      <w:r>
        <w:t>Texte d'en-tête</w:t>
        <w:br/>
        <w:t>Texte de pied de page</w:t>
        <w:br/>
        <w:t>Indicateur 14.5.1</w:t>
        <w:br/>
        <w:t>Page d'accueil du manuel électronique</w:t>
        <w:br/>
        <w:t>Nom de l’indicateur, cible et objectif</w:t>
        <w:br/>
        <w:t>Définition et justification</w:t>
        <w:br/>
        <w:t>Sources de données et méthode de collecte</w:t>
        <w:br/>
        <w:t>Contenu</w:t>
        <w:br/>
        <w:t>Nom de l’indicateur, cible et objectif</w:t>
        <w:br/>
        <w:t>Définition et justification</w:t>
        <w:br/>
        <w:t>Sources de données et méthode de collecte</w:t>
        <w:br/>
        <w:t>Méthode de calcul et autres considérations méthodologiques</w:t>
        <w:br/>
        <w:t>Désagrégation des données</w:t>
        <w:br/>
        <w:t>Références</w:t>
        <w:br/>
        <w:t>Organisation(s) internationale(s) de surveillance mondiale</w:t>
        <w:br/>
        <w:t xml:space="preserve"> Indicateur 14.5.1 : Couverture des aires protégées par rapport aux aires marines</w:t>
        <w:br/>
        <w:t xml:space="preserve">Cible 14.5 : D’ici 2020, conserver au moins 10 pour cent des zones côtières et marines, conformément au droit national et international et sur la base des </w:t>
        <w:br/>
        <w:t>meilleures informations scientifiques disponibles</w:t>
        <w:br/>
        <w:t>Objectif 14 : Conserver et utiliser durablement les océans, les mers et les ressources marines pour le développement durable</w:t>
        <w:br/>
        <w:t>Définition :</w:t>
        <w:br/>
        <w:t xml:space="preserve">Cet indicateur mesure la proportion moyenne de chaque zone marine clé pour la biodiversité qui a été désignée comme zone protégée. </w:t>
        <w:br/>
        <w:t>Concepts :</w:t>
        <w:br/>
        <w:t xml:space="preserve">Les zones clés pour la biodiversité (KBA) sont des sites contribuant de manière significative à la persistance mondiale de la biodiversité et sont identifiées selon les normes mondiales </w:t>
        <w:br/>
        <w:t xml:space="preserve">critères standard pour l’identification des ZCB (UICN 2016) appliqués au niveau national. </w:t>
        <w:br/>
        <w:t>Les zones marines, également connues sous le nom de , sont définies par la Convention des Nations Unies sur le droit de la mer de 1982 comme des ceintures d'eaux côtières et des mers territoriales.</w:t>
        <w:br/>
        <w:t xml:space="preserve">s'étendant au maximum à douze milles marins de la ligne de base (généralement la laisse moyenne de basse mer) d'un État côtier. </w:t>
        <w:br/>
        <w:t xml:space="preserve">Les aires protégées sont des espaces géographiques clairement définis, reconnus, dédiés et gérés, par des moyens juridiques ou autres moyens efficaces, pour atteindre </w:t>
        <w:br/>
        <w:t xml:space="preserve">la conservation à long terme de la nature avec les services écosystémiques et les valeurs culturelles associés. </w:t>
        <w:br/>
        <w:t>Le statut est attribué à une aire protégée lorsque l'autorité correspondante, selon la législation nationale ou la pratique courante, l'a « désignée »</w:t>
        <w:br/>
        <w:t xml:space="preserve">(par exemple, au moyen d'un décret exécutif ou similaire), approuve officiellement un document de désignation. La désignation doit être faite pour la biodiversité </w:t>
        <w:br/>
        <w:t xml:space="preserve">conservation, et non protection de facto découlant d’une autre activité (par exemple militaire). </w:t>
        <w:br/>
        <w:t xml:space="preserve">Les ZCB marines sont définies comme celles dont au moins 5 % de leur superficie chevauche la mer, telle que définie par une analyse spatiale. </w:t>
        <w:br/>
        <w:t>Justification et interprétation :</w:t>
        <w:br/>
        <w:t xml:space="preserve">La sauvegarde de sites importants est vitale pour endiguer le déclin de la biodiversité et garantir une utilisation durable et à long terme des ressources naturelles marines. </w:t>
        <w:br/>
        <w:t xml:space="preserve">ressources. La création de zones protégées est un mécanisme important pour atteindre cet objectif, et cet indicateur sert de moyen de </w:t>
        <w:br/>
        <w:t xml:space="preserve">mesurer les progrès vers la conservation, la restauration et l’utilisation durable des écosystèmes marins et de leurs services, conformément aux obligations </w:t>
        <w:br/>
        <w:t xml:space="preserve">dans le cadre d’accords internationaux. Il est important de noter que même s’il peut être désagrégé pour rendre compte d’un écosystème d’intérêt donné, il n’est pas limité </w:t>
        <w:br/>
        <w:t xml:space="preserve">à n’importe quel type d’écosystème. </w:t>
        <w:br/>
        <w:t xml:space="preserve">Cet indicateur ajoute des informations significatives, complète et s'appuie sur des statistiques simples traditionnellement rapportées sur la zone marine couverte par </w:t>
        <w:br/>
        <w:t>zones protégées, calculées en divisant la zone protégée totale d'un pays par la superficie territoriale totale du pays et en multipliant par 100 (par ex.</w:t>
        <w:br/>
        <w:t>par exemple, Chape et al. 2005). Il fournit une mesure utile pour savoir si les zones protégées sont situées de manière à couvrir des zones particulièrement importantes pour la biodiversité.</w:t>
        <w:br/>
        <w:t xml:space="preserve">Les données sur les aires protégées sont disponibles dans les dossiers administratifs des ministères de l'environnement et d'autres ministères responsables de la protection de l'environnement. </w:t>
        <w:br/>
        <w:t xml:space="preserve">désignation et entretien des zones protégées. Données sur les aires protégées pour les sites désignés en vertu de la Convention de Ramsar et de l'UNESCO </w:t>
        <w:br/>
        <w:t xml:space="preserve">Convention du patrimoine mondial sont collectées par l'intermédiaire des secrétariats internationaux des conventions concernées. Les données sur les aires protégées sont également agrégées </w:t>
        <w:br/>
        <w:t xml:space="preserve">à l'échelle mondiale dans la base de données mondiale sur les aires protégées du Centre mondial de surveillance de la conservation de l'environnement des Nations Unies, conformément au mandat </w:t>
        <w:br/>
        <w:t xml:space="preserve">pour la production de la Liste des aires protégées des Nations Unies (Deguignet et al. 2014). Ils sont diffusés via Protected Planet, qui est </w:t>
        <w:br/>
        <w:t>géré conjointement par le PNUE-WCMC et l'UICN et sa Coopération mondiale Commission sur les aires protégées (UNEP-WCMC 2016).</w:t>
        <w:br/>
        <w:t xml:space="preserve">Les ZCB sont identifiées à l’échelle nationale par le biais de processus multipartites, suivant des critères et seuils standard. Les données des KBA sont agrégées </w:t>
        <w:br/>
        <w:t>dans la base de données mondiale sur les zones clés pour la biodiversité et géré par BirdLife International au nom du partenariat KBA.</w:t>
      </w:r>
    </w:p>
    <w:p>
      <w:pPr>
        <w:pStyle w:val="Heading2"/>
      </w:pPr>
      <w:r>
        <w:t>Page 306</w:t>
      </w:r>
    </w:p>
    <w:p>
      <w:r>
        <w:t>Texte d'en-tête</w:t>
        <w:br/>
        <w:t>Texte de pied de page</w:t>
        <w:br/>
        <w:t>Méthode de calcul et autres considérations méthodologiques</w:t>
        <w:br/>
        <w:t>Désagrégation des données</w:t>
        <w:br/>
        <w:t>Références</w:t>
        <w:br/>
        <w:t>Méthode de calcul :</w:t>
        <w:br/>
        <w:t xml:space="preserve">Cet indicateur est calculé à partir de données dérivées d'un chevauchement spatial entre polygones numériques, à l'aide de systèmes d'information géographique (SIG), pour </w:t>
        <w:br/>
        <w:t>zones protégées de la base de données mondiale sur les zones protégées (WDPA - disponible sur ) et polygones numériques pour le milieu marin www.protectedplanet.net</w:t>
        <w:br/>
        <w:t xml:space="preserve">ZCB (de la base de données mondiale des zones clés pour la biodiversité, y compris les zones importantes pour les oiseaux et la biodiversité, les sites de l'Alliance pour l'extinction zéro et </w:t>
        <w:br/>
        <w:t>d'autres ZCB ; disponible sur ). www.keybiodiversityareas.org</w:t>
        <w:br/>
        <w:t xml:space="preserve">La valeur de l'indicateur à un moment donné est calculée comme la proportion de chaque ZCB marine couverte par des aires protégées à un moment t, en moyenne sur l'ensemble de t. </w:t>
        <w:br/>
        <w:t xml:space="preserve">KBA, comme indiqué dans la formule ci-dessous : </w:t>
        <w:br/>
        <w:t xml:space="preserve">La Liste des aires protégées de l'ONU est produite tous les 5 à 10 ans et, entre les compilations des listes de l'ONU, la WDPA est </w:t>
        <w:br/>
        <w:t xml:space="preserve">continuellement mis à jour à mesure que de nouvelles données sont disponibles et publiées mensuellement. Sur la base de la dernière version de la WDPA, la valeur annuelle du </w:t>
        <w:br/>
        <w:t xml:space="preserve">L’indicateur est calculé comme le pourcentage moyen de chaque ZCB couverte par des aires protégées pour cette année. </w:t>
        <w:br/>
        <w:t xml:space="preserve">La couverture de chaque ZCB par aires protégées est calculée en utilisant toutes les aires protégées désignées au niveau national enregistrées dans la WDPA dont l'emplacement </w:t>
        <w:br/>
        <w:t xml:space="preserve">et son étendue est connue. Les zones protégées dont l'emplacement et/ou l'étendue sont inconnus sont exclues de la compilation des données. Là où aucune nouvelle donnée n’est disponible </w:t>
        <w:br/>
        <w:t xml:space="preserve">reçues pour un pays/territoire au cours d’une année, la couverture des aires protégées est supposée être égale à celle de l’année précédente. </w:t>
        <w:br/>
        <w:t>Commentaires et limites :</w:t>
        <w:br/>
        <w:t xml:space="preserve">L'indicateur ne mesure pas l'efficacité des aires protégées dans la réduction de la perte de biodiversité, qui dépend en fin de compte d'un certain nombre de facteurs. </w:t>
        <w:br/>
        <w:t xml:space="preserve">facteurs de gestion et d’application non couverts par l’indicateur. </w:t>
        <w:br/>
        <w:t>Les développements futurs de l’indicateur comprendront :</w:t>
        <w:br/>
        <w:t xml:space="preserve">(1)    Une expansion de la couverture taxonomique des zones marines clés pour la biodiversité grâce à l'application de la norme sur les zones clés pour la biodiversité (UICN </w:t>
        <w:br/>
        <w:t>2016) à une grande variété de vertébrés, d'invertébrés, de plantes et de types d'écosystèmes marins ;</w:t>
        <w:br/>
        <w:t xml:space="preserve">(2)    Améliorations des données sur les aires protégées en continuant à augmenter la proportion de sites avec des dates de désignation et de désignation documentées. </w:t>
        <w:br/>
        <w:t>avec des polygones limites numérisés (plutôt que des coordonnées) ; et</w:t>
        <w:br/>
        <w:t xml:space="preserve">(3)    Exploration plus approfondie d'autres méthodes d'évaluation et de présentation des tendances temporelles de la couverture des zones protégées. </w:t>
        <w:br/>
        <w:t>Indicateurs proxy, alternatifs et supplémentaires : N/A</w:t>
        <w:br/>
        <w:t>Ces données peuvent être ventilées aux échelles nationale et régionale.</w:t>
        <w:br/>
        <w:t>URL officielle des métadonnées ODD</w:t>
        <w:br/>
        <w:t xml:space="preserve">https://unstats.un.org/sdgs/metadata/  </w:t>
        <w:br/>
        <w:t>Méthodologie reconnue au niveau international et URL des lignes directrices</w:t>
        <w:br/>
        <w:t>https://www.protectedplanet.net/c/wdpa-manual</w:t>
        <w:br/>
        <w:t>Autres références</w:t>
        <w:br/>
        <w:t>AZÉ (2010). Base de données AZE. Alliance pour une extinction zéro, Washington DC, États-Unis. Disponible sur : http://www.zeroextinction.org/search.cfm</w:t>
        <w:br/>
        <w:t>BIRDLIFE INTERNATIONAL (2014).   Zones importantes pour les oiseaux et la biodiversité : un réseau mondial pour la conservation de la nature et le bénéfice des populations.</w:t>
        <w:br/>
        <w:t>Cambridge, Royaume-Uni : BirdLife International. Disponible sur http://www.birdlife.org/datazone/sowb/sowbpubs#IBA</w:t>
        <w:br/>
        <w:t>BIRDLIFE INTERNATIONAL (2016). Zone de données. BirdLife International, Cambridge, Royaume-Uni. Disponible sur : http://www.zeroextinction.org/search.cfm</w:t>
      </w:r>
    </w:p>
    <w:p>
      <w:pPr>
        <w:pStyle w:val="Heading2"/>
      </w:pPr>
      <w:r>
        <w:t>Page 307</w:t>
      </w:r>
    </w:p>
    <w:p>
      <w:r>
        <w:t>Texte d'en-tête</w:t>
        <w:br/>
        <w:t>Texte de pied de page</w:t>
        <w:br/>
        <w:t>BIRDLIFE INTERNATIONAL (2017). Base de données mondiale des zones clés pour la biodiversité. Développé par le partenariat KBA. Disponible sur : http://www.</w:t>
        <w:br/>
        <w:t>keybiodiversityareas.org</w:t>
        <w:br/>
        <w:t xml:space="preserve">BROOKS, T. et coll. (2001). Priorités de conservation des oiseaux et de la biodiversité : les zones importantes pour les oiseaux d'Afrique de l'Est représentent-elles la diversité des espèces dans </w:t>
        <w:br/>
        <w:t xml:space="preserve"> Supplément d'autruche. 15 : 3-12. Disponible auprès de : d’autres groupes de vertébrés terrestres ? http://www.tandfonline.com/doi/abs/10.2989/00306520109485329#.</w:t>
        <w:br/>
        <w:t>VafbVJPVq75</w:t>
        <w:br/>
        <w:t xml:space="preserve">BROOKS, T.M. et coll. (2016) Objectif 15 : Vie sur terre. Gérer durablement les forêts, lutter contre la désertification, arrêter et inverser la dégradation des terres, arrêter </w:t>
        <w:br/>
        <w:t>. Pp. 497-522 dans Durán y Lalaguna, P., Díaz Barrado, C.M. &amp; Fernández Liesa, C.R. (éd.) Société internationale et perte durable de la biodiversité</w:t>
        <w:br/>
        <w:t>Objectifs de développement. Éditorial Aranzadi, Cizur Menor, Espagne. Disponible sur : https://www.thomsonreuters.es/es/tienda/pdp/duo.html?</w:t>
        <w:br/>
        <w:t>pid=10008456</w:t>
        <w:br/>
        <w:t>BUTCHART, SHM et al. (2010). . Science 328 : 1164–1168. Disponible sur Global biodiversité : indicateurs de déclin récent http://www.</w:t>
        <w:br/>
        <w:t>sciencemag.org/content/328/5982/1164.short</w:t>
        <w:br/>
        <w:t>BUTCHART, SHM et al. (2012). . PLoS One 7(3) : La protection de sites importants pour la biodiversité contribue à atteindre les objectifs mondiaux de conservation</w:t>
        <w:br/>
        <w:t>e32529. Disponible sur : http://journals.plos.org/plosone/article?id=10.1371/journal.pone.0032529</w:t>
        <w:br/>
        <w:t>BUTCHART, SHM et al. (2015).  Lettres de conservation 8 : Lacunes et solutions pour atteindre les objectifs nationaux et mondiaux en matière de zones de conservation.</w:t>
        <w:br/>
        <w:t>329-337. Disponible sur http://onlinelibrary.wiley.com/doi/10.1111/conl.12158/full</w:t>
        <w:br/>
        <w:t>CDB (2014). , Montréal, Canada. Disponible sur : Global Biodiversity Outlook 4. Convention sur la diversité biologique https://www.cbd.int/gbo4/</w:t>
        <w:br/>
        <w:t>CHAPE, S. et coll. (2005). . Mesurer l’étendue et l’efficacité des aires protégées comme indicateur pour atteindre les objectifs mondiaux en matière de biodiversité</w:t>
        <w:br/>
        <w:t>Transactions philosophiques de la Royal Society B 360 : 443-445. Disponible sur : http://rstb.royalsocietypublishing.org/content/360/1454/443.short</w:t>
        <w:br/>
        <w:t>DEGUIGNET, M., et al. (2014).  PNUE-WCMC, Cambridge, Royaume-Uni. Disponible sur : Liste des aires protégées des Nations Unies 2014. https://www.unep-</w:t>
        <w:br/>
        <w:t>wcmc.org/resources-and-data/2014-united-nations-list-of-protected-areas</w:t>
        <w:br/>
        <w:t>DI MARCO, M., et al. (2016). . Biologie de la conservation 30 : 392-402. Quantifier le caractère irremplaçable relatif des zones importantes pour les oiseaux et la biodiversité</w:t>
        <w:br/>
        <w:t>Disponible sur http://onlinelibrary.wiley.com/doi/10.1111/cobi.12609/abstract</w:t>
        <w:br/>
        <w:t>DUDLEY, N. (2008).  Union internationale pour la conservation de la nature (UICN). Lignes directrices pour l’application des catégories de gestion des aires protégées.</w:t>
        <w:br/>
        <w:t>Gland, Suisse. Disponible sur https://portals.iucn.org/library/node/9243</w:t>
        <w:br/>
        <w:t xml:space="preserve">EDGAR, G.J. et coll. (2008). Les zones aquatiques clés pour la biodiversité en tant que sites cibles d’importance mondiale pour la conservation de la diversité biologique marine. </w:t>
        <w:br/>
        <w:t>Conservation : écosystèmes marins et d'eau douce 18 : 969–983. Disponible sur http://onlinelibrary.wiley.com/doi/10.1002/aqc.902/abstract</w:t>
        <w:br/>
        <w:t>EKEN, G. et coll. (2004). . BioScience 54 : 1110-1118. Disponible dans les zones clés pour la biodiversité en tant qu'objectifs de conservation du site http://bioscience.</w:t>
        <w:br/>
        <w:t>oxfordjournals.org/content/54/12/1110.short</w:t>
        <w:br/>
        <w:t>FOSTER, M. N. et coll. (2012) L'identification des sites d'importance pour la conservation de la biodiversité : progrès dans l'application d'une norme mondiale.</w:t>
        <w:br/>
        <w:t>Journal des taxons menacés 4 : 2733-2744. Disponible sur : http://www.threatenedtaxa.in/index.php/JoTT/article/view/779</w:t>
        <w:br/>
        <w:t xml:space="preserve">HAN, X. et coll. (2014). Un tableau de bord des indicateurs de biodiversité : relever les défis liés au suivi des progrès vers les objectifs d'Aichi pour la biodiversité </w:t>
        <w:br/>
        <w:t xml:space="preserve"> PLoS ONE 9(11) : e112046. Disponible à partir de : utilisant des données mondiales désagrégées. http://journals.plos.org/plosone/article?id=10.1371/journal.pone.</w:t>
        <w:br/>
        <w:t>0112046</w:t>
        <w:br/>
        <w:t xml:space="preserve">HOLLAND, R.A. et coll. (2012). Priorités de conservation de la biodiversité d'eau douce : l'approche des zones clés pour la biodiversité affinée et testée pour </w:t>
        <w:br/>
        <w:t>. Conservation biologique 148 : 167-179. Disponible sur : Afrique continentale http://www.sciencedirect.com/science/article/pii/S0006320712000298</w:t>
        <w:br/>
        <w:t>UICN (2016).  Union internationale pour la conservation tion de la nature, Gland, une norme mondiale pour l'identification des zones clés pour la biodiversité.</w:t>
        <w:br/>
        <w:t>Suisse. Disponible sur : https://portals.iucn.org/library/node/46259</w:t>
        <w:br/>
        <w:t>UICN et PNUE-WCMC (2017).  PNUE-WCMC, Cambridge, Royaume-Uni. Disponible à partir de la base de données mondiale sur les aires protégées (WDPA). http://www.</w:t>
        <w:br/>
        <w:t>planète protégée.net</w:t>
        <w:br/>
        <w:t>JONAS, H.D. et coll. (2014) Nouvelles étapes du changement : regarder au-delà des zones protégées pour envisager d'autres mesures de conservation efficaces par zone.</w:t>
        <w:br/>
        <w:t>Parcs 20 : 111-128. Disponible sur http://parksjournal.com/wp-content/uploads/2014/10/PARKS-20.2-Jonas-et-al-10.2305IUCN.CH_.2014.</w:t>
        <w:br/>
        <w:t>PARCS-20-2.HDJ_.fr_.pdf</w:t>
        <w:br/>
        <w:t>KNIGHT, A.T. et coll. (2007).  BioScience 57 : 256-261. Améliorer l’approche des zones clés pour la biodiversité pour une planification efficace de la conservation.</w:t>
        <w:br/>
        <w:t>Disponible sur : http://bioscience.oxfordjournals.org/content/57/3/256.short</w:t>
        <w:br/>
        <w:t xml:space="preserve">LANGHAMMER, PF et al. (2007). Identification et analyse des lacunes des zones clés pour la biodiversité : objectifs pour une zone protégée globale </w:t>
        <w:br/>
        <w:t xml:space="preserve"> Commission mondiale de l'UICN sur les aires protégées Série de lignes directrices sur les meilleures pratiques pour les aires protégées n° 15. UICN, Gland, Suisse. Systèmes.</w:t>
        <w:br/>
        <w:t>Disponible sur : https://portals.iucn.org/library/node/9055</w:t>
        <w:br/>
        <w:t>LEVERINGTON, F. et al. (2010).  Gestion environnementale 46 : 685-698. Une analyse globale de l’efficacité de la gestion des aires protégées.</w:t>
        <w:br/>
        <w:t>Disponible sur : https://link.springer.com/article/10.1007/s00267-010-%209564-5#page-1</w:t>
        <w:br/>
        <w:t>MONTESINO POUZOLS, F., et al. (2014) Nature 516 : L’expansion mondiale des aires protégées est compromise par l’utilisation projetée des terres et l’esprit de clocher.</w:t>
        <w:br/>
        <w:t>383-386. Disponible sur : http://www.nature.com/nature/journal/v516/n7531/abs/nature14032.html</w:t>
        <w:br/>
        <w:t xml:space="preserve">NOLTE, C. &amp; AGRAWAL, A. (2013). Relier les indicateurs d’efficacité de la gestion aux effets observés des aires protégées sur la fréquence des incendies dans </w:t>
        <w:br/>
        <w:t xml:space="preserve"> Biologie de la conservation 27 : 155-165. Disponible depuis : la forêt amazonienne. http://onlinelibrary.wiley.com/doi/10.1111/j.1523-1739.2012.01930.x</w:t>
        <w:br/>
        <w:t>/résumé</w:t>
      </w:r>
    </w:p>
    <w:p>
      <w:pPr>
        <w:pStyle w:val="Heading2"/>
      </w:pPr>
      <w:r>
        <w:t>Page 308</w:t>
      </w:r>
    </w:p>
    <w:p>
      <w:r>
        <w:t>Texte d'en-tête</w:t>
        <w:br/>
        <w:t>Texte de pied de page</w:t>
        <w:br/>
        <w:t>Organisation(s) internationale(s) de surveillance mondiale</w:t>
        <w:br/>
        <w:t>DOULEUR, D.J. et coll. (2005) Conservation biologique 125 : 133-138. Disponible auprès de la représentation de la biodiversité dans les ZICO forestières de l’Ouganda. http://www.</w:t>
        <w:br/>
        <w:t>sciencedirect.com/science/article/pii/S0006320705001412</w:t>
        <w:br/>
        <w:t>RICKETTS, TH et al. (2005).  Actes de l'Académie nationale des sciences des États-Unis. Localiser et prévenir les extinctions imminentes.</w:t>
        <w:br/>
        <w:t>102 : 18497-18501. Disponible sur : http://www.pnas.org/content/102/51/18497.short</w:t>
        <w:br/>
        <w:t>RODRIGUES, A.S.L. et al. (2004).  Nature 428 : 640-643. Efficacité du réseau mondial d’aires protégées dans la représentation de la diversité des espèces.</w:t>
        <w:br/>
        <w:t>Disponible sur : http://www.nature.com/nature/journal/v428/n6983/abs/nature02422.html</w:t>
        <w:br/>
        <w:t xml:space="preserve">RODRÍGUEZ-RODRÍGUEZ, D., et al. (2011). Progrès vers les objectifs internationaux de couverture des aires protégées en montagne : une approche multi-échelle </w:t>
        <w:br/>
        <w:t xml:space="preserve"> Conservation biologique 144 : 2978-2983. Disponible à partir de : évaluation. http://www.sciencedirect.com/science/article/pii/S0006320711003454</w:t>
        <w:br/>
        <w:t>TITTENSOR, D. et al. (2014). . Sciences 346 : 241-244. Disponible à partir de : Une analyse à mi-parcours des progrès vers les objectifs internationaux en matière de biodiversité ht</w:t>
        <w:br/>
        <w:t>tp://www.sciencemag.org/content/346/6206/241.short</w:t>
        <w:br/>
        <w:t>PNUE-WCMC (2002).  United Nations Environment Mountain Watch : Changement environnemental et développement durable dans les montagnes.</w:t>
        <w:br/>
        <w:t>Programme Centre mondial de surveillance de la conservation, Cambridge, Royaume-Uni. Disponible sur : http://www.unep-wcmc.org/resources-and-data/mountain-</w:t>
        <w:br/>
        <w:t>veille--changement-environnemental-développement-durable-en-montagne</w:t>
        <w:br/>
        <w:t>PNUE-WCMC (2016). . PNUE-WCMC, Cambridge, Royaume-Uni. Disponible sur : Base de données mondiale sur les aires protégées Manuel d'utilisation 1.4 http://wcmc.io</w:t>
        <w:br/>
        <w:t>/WDPA_Manuel</w:t>
        <w:br/>
        <w:t>Exemples de pays</w:t>
        <w:br/>
        <w:t>N/D</w:t>
        <w:br/>
        <w:t xml:space="preserve">Ce document a été préparé sur la base des contributions du Centre mondial de surveillance de la conservation de l'environnement des Nations Unies (UNEP-WCMC) et des Nations Unies. </w:t>
        <w:br/>
        <w:t>Programme pour l'environnement (PNUE).</w:t>
        <w:br/>
        <w:t>Pour obtenir des informations sur les points focaux pour cet indicateur, veuillez visiter https://unstats.un.org/sdgs/dataContacts/</w:t>
      </w:r>
    </w:p>
    <w:p>
      <w:pPr>
        <w:pStyle w:val="Heading2"/>
      </w:pPr>
      <w:r>
        <w:t>Page 309</w:t>
      </w:r>
    </w:p>
    <w:p>
      <w:r>
        <w:t>Texte d'en-tête</w:t>
        <w:br/>
        <w:t>Texte de pied de page</w:t>
        <w:br/>
        <w:t>Objectif 15</w:t>
        <w:br/>
        <w:t xml:space="preserve">Protéger, restaurer et promouvoir l’utilisation durable des ressources terrestres </w:t>
        <w:br/>
        <w:t xml:space="preserve">écosystèmes, gérer durablement les forêts, lutter contre la désertification, </w:t>
        <w:br/>
        <w:t>et arrêter et inverser la dégradation des terres et mettre un terme à la perte de biodiversité</w:t>
        <w:br/>
        <w:t>Page d'accueil du manuel électronique</w:t>
        <w:br/>
        <w:t>Dans cet objectif :</w:t>
        <w:br/>
        <w:t xml:space="preserve">La Division de statistique des Nations Unies (DSNU) a travaillé en consultation avec l'agence(s) dépositaire(s) de chaque indicateur pour préparer ces chapitres. Pour </w:t>
        <w:br/>
        <w:t>les indicateurs qui n’ont pas encore de chapitre ici, sont en cours de préparation et seront téléchargés ici dès qu’ils seront disponibles.</w:t>
        <w:br/>
        <w:t xml:space="preserve">Si vous avez des questions sur le manuel électronique, n'hésitez pas à contacter M. Yuxi Zhang ( yuxi.zhang@un.org) avec copie à M. Ze. </w:t>
        <w:br/>
        <w:t>.Yar Min (min@un.org)</w:t>
      </w:r>
    </w:p>
    <w:p>
      <w:pPr>
        <w:pStyle w:val="Heading2"/>
      </w:pPr>
      <w:r>
        <w:t>Page 310</w:t>
      </w:r>
    </w:p>
    <w:p>
      <w:r>
        <w:t>Texte d'en-tête</w:t>
        <w:br/>
        <w:t>Texte de pied de page</w:t>
        <w:br/>
        <w:t>Indicateur 15.1.1</w:t>
        <w:br/>
        <w:t>Page d'accueil du manuel électronique</w:t>
        <w:br/>
        <w:t xml:space="preserve"> </w:t>
        <w:br/>
        <w:t>Nom de l’indicateur, cible et objectif</w:t>
        <w:br/>
        <w:t>Définition et justification</w:t>
        <w:br/>
        <w:t>Sources de données et méthode de collecte</w:t>
        <w:br/>
        <w:t>Méthode de calcul et autres considérations méthodologiques</w:t>
        <w:br/>
        <w:t>Contenu</w:t>
        <w:br/>
        <w:t>Nom de l’indicateur, cible et objectif</w:t>
        <w:br/>
        <w:t>Définition et justification</w:t>
        <w:br/>
        <w:t>Sources de données et méthode de collecte</w:t>
        <w:br/>
        <w:t>Méthode de calcul et autres considérations méthodologiques</w:t>
        <w:br/>
        <w:t>Désagrégation des données</w:t>
        <w:br/>
        <w:t>Références</w:t>
        <w:br/>
        <w:t>Organisation(s) internationale(s) de surveillance mondiale</w:t>
        <w:br/>
        <w:t xml:space="preserve"> Indicateur 15.1.1 : Superficie forestière en proportion de la superficie totale des terres</w:t>
        <w:br/>
        <w:t xml:space="preserve">Cible 15.1 : D’ici 2020, assurer la conservation, la restauration et l’utilisation durable des écosystèmes terrestres et d’eau douce intérieure ainsi que de leurs </w:t>
        <w:br/>
        <w:t xml:space="preserve">services, en particulier les forêts, les zones humides, les montagnes et les zones arides, conformément aux obligations découlant des accords internationaux </w:t>
        <w:br/>
        <w:t xml:space="preserve">Objectif 15 : Protéger, restaurer et promouvoir l'utilisation durable des écosystèmes terrestres, gérer durablement les forêts, lutter contre la désertification et mettre un terme à la désertification. </w:t>
        <w:br/>
        <w:t>et inverser la dégradation des terres et mettre un terme à la perte de biodiversité</w:t>
        <w:br/>
        <w:t>Définition :</w:t>
        <w:br/>
        <w:t xml:space="preserve">Cet indicateur est défini comme la proportion de la superficie forestière par rapport à la superficie totale d'un pays. Il est représenté en pourcentage. </w:t>
        <w:br/>
        <w:t>Concepts :</w:t>
        <w:br/>
        <w:t xml:space="preserve">La forêt est définie comme une terre s'étendant sur plus de 0,5 hectare avec des arbres de plus de 5 mètres de haut et un couvert forestier de plus de 10 %, ou des arbres </w:t>
        <w:br/>
        <w:t xml:space="preserve">capables d’atteindre ces seuils in situ. Cela n’inclut pas les terres qui sont principalement utilisées à des fins agricoles ou urbaines.  Détails supplémentaires </w:t>
        <w:br/>
        <w:t>les critères sont répertoriés dans le document sur les termes et définitions de l’Évaluation des ressources forestières (FRA) 2020 de la FAO, disponible à l’adresse : http://www.fao.org/3/I8661EN</w:t>
        <w:br/>
        <w:t>. /i8661fr.pdf</w:t>
        <w:br/>
        <w:t xml:space="preserve">La superficie totale des terres fait référence à la superficie totale d'un pays, à l'exclusion de la zone couverte par les eaux intérieures, telles que les principaux fleuves et lacs. Total </w:t>
        <w:br/>
        <w:t xml:space="preserve">la superficie du territoire de l’année de référence 2015 est utilisée. </w:t>
        <w:br/>
        <w:t>Justification et interprétation :</w:t>
        <w:br/>
        <w:t xml:space="preserve">La disponibilité de données précises sur la superficie forestière d'un pays est un élément clé de la politique et de la planification forestières dans le contexte d'une économie durable. </w:t>
        <w:br/>
        <w:t xml:space="preserve">développement. La superficie forestière en proportion de la superficie totale des terres peut fournir une indication approximative de la mesure dans laquelle les forêts d'un pays sont exploitées. </w:t>
        <w:br/>
        <w:t>conservés ou restaurés.</w:t>
        <w:br/>
        <w:t xml:space="preserve">Les données sur la superficie forestière sont généralement collectées au moyen d’inventaires sur le terrain et/ou de télédétection. Les inventaires de terrain sont basés sur un échantillonnage statistique ou </w:t>
        <w:br/>
        <w:t xml:space="preserve">agrégation des données collectées pour les inventaires de gestion. La télédétection joue souvent un rôle important dans ces efforts, soit en tant que données auxiliaires </w:t>
        <w:br/>
        <w:t xml:space="preserve">source qui peut être utilisée pour améliorer l’efficacité des inventaires sur le terrain, ou comme entrée permettant une évaluation directe de la couverture terrestre et de ses </w:t>
        <w:br/>
        <w:t>changements. Des conseils complets sur la manière d'établir un système national de surveillance des forêts sont disponibles sur http://www.fao.org/3/a-I6767e.pdf.</w:t>
        <w:br/>
        <w:t xml:space="preserve">Les évaluations des ressources forestières sont généralement réalisées par les autorités forestières nationales dans le cadre des activités de collecte de données statistiques du ministère de l'Environnement. </w:t>
        <w:br/>
        <w:t>Foresterie, Agriculture ou Environnement ou leur combinaison.</w:t>
      </w:r>
    </w:p>
    <w:p>
      <w:pPr>
        <w:pStyle w:val="Heading2"/>
      </w:pPr>
      <w:r>
        <w:t>Page 311</w:t>
      </w:r>
    </w:p>
    <w:p>
      <w:r>
        <w:t>Texte d'en-tête</w:t>
        <w:br/>
        <w:t>Texte de pied de page</w:t>
        <w:br/>
        <w:t>Désagrégation des données</w:t>
        <w:br/>
        <w:t>Références</w:t>
        <w:br/>
        <w:t>Organisation(s) internationale(s) de surveillance mondiale</w:t>
        <w:br/>
        <w:t>Méthode de calcul :</w:t>
        <w:br/>
        <w:t>La formule de l'indicateur est donnée comme suit :</w:t>
        <w:br/>
        <w:t xml:space="preserve">Une estimation rétrospective peut être appliquée si les frontières nationales ont changé entre les années de déclaration. </w:t>
        <w:br/>
        <w:t xml:space="preserve">Commentaires et limites : </w:t>
        <w:br/>
        <w:t xml:space="preserve">L'évaluation de la superficie forestière est effectuée à des intervalles peu fréquents dans de nombreux pays.  Même si la disponibilité croissante des données de télédétection a </w:t>
        <w:br/>
        <w:t xml:space="preserve">amélioré les possibilités de surveillance et de reporting plus fréquents, l'analyse de ces données nécessite une expertise et des ressources qui peuvent ne pas </w:t>
        <w:br/>
        <w:t xml:space="preserve">être disponible. En outre, la conversion des données acquises sur la couverture terrestre en informations sur l'utilisation des terres ainsi que l'observation de changements lents, tels que l'évolution des forêts. </w:t>
        <w:br/>
        <w:t xml:space="preserve">repousse, restent difficiles. En outre, les zones forestières présentant une faible densité de couvert forestier (c'est-à-dire 10 à 30 %) sont difficiles à détecter et à surveiller avec </w:t>
        <w:br/>
        <w:t xml:space="preserve">techniques de télédétection abordables. </w:t>
        <w:br/>
        <w:t>Indicateurs proxy, alternatifs et supplémentaires : N/A</w:t>
        <w:br/>
        <w:t xml:space="preserve">Cet indicateur peut être ventilé par régions géographiques, types de forêts, types de sols, classe de développement forestier, espèces d'arbres dominantes ou arbres </w:t>
        <w:br/>
        <w:t>groupes d’espèces, entre autres dimensions.</w:t>
        <w:br/>
        <w:t>URL officielle des métadonnées ODD</w:t>
        <w:br/>
        <w:t xml:space="preserve">https://unstats.un.org/sdgs/metadata/files/Metadata-15-01-01.pdf  </w:t>
        <w:br/>
        <w:t>Méthodologie reconnue au niveau international et URL des lignes directrices</w:t>
        <w:br/>
        <w:t>Termes et définitions de FRA 2020 : http://www.fao.org/3/I8661EN/i8661en.pdf</w:t>
        <w:br/>
        <w:t>Lignes directrices et spécifications de FRA 2020 : http://www.fao.org/3/I8699EN/i8699en.pdf</w:t>
        <w:br/>
        <w:t>Autres références</w:t>
        <w:br/>
        <w:t>:Portail ODD de la FAO et apprentissage en ligne</w:t>
        <w:br/>
        <w:t>FAO. . Disponible sur Indicateurs des objectifs de développement durable http://www.fao.org/sustainable-development-goals/indicators/en/</w:t>
        <w:br/>
        <w:t xml:space="preserve">FAO. Centre d'apprentissage en ligne. Disponible sur http://www.fao.org/elearning/ </w:t>
        <w:br/>
        <w:t>Références supplémentaires :</w:t>
        <w:br/>
        <w:t>FAO. Rome. Site Internet : Évaluations des ressources forestières mondiales. http://www.fao.org/forest-resources-assessment/en/</w:t>
        <w:br/>
        <w:t>FAO (2015). Rome. Disponible sur : Évaluations des ressources forestières mondiales. http://www.fao.org/forest-resources-assessment/current-assessment/en/</w:t>
        <w:br/>
        <w:t xml:space="preserve">Exemples de pays </w:t>
        <w:br/>
        <w:t>N/D</w:t>
        <w:br/>
        <w:t>Ce document a été préparé sur la base des contributions de l'Organisation pour l'alimentation et l'agriculture (FAO).</w:t>
        <w:br/>
        <w:t>Pour obtenir des informations sur les points focaux pour cet indicateur, veuillez visiter https://unstats.un.org/sdgs/dataContacts/</w:t>
      </w:r>
    </w:p>
    <w:p>
      <w:pPr>
        <w:pStyle w:val="Heading2"/>
      </w:pPr>
      <w:r>
        <w:t>Page 312</w:t>
      </w:r>
    </w:p>
    <w:p>
      <w:r>
        <w:t>Texte d'en-tête</w:t>
        <w:br/>
        <w:t>Texte de pied de page</w:t>
        <w:br/>
        <w:t>Indicateur 15.2.1</w:t>
        <w:br/>
        <w:t>Page d'accueil du manuel électronique</w:t>
        <w:br/>
        <w:t xml:space="preserve"> </w:t>
        <w:br/>
        <w:t>Nom de l’indicateur, cible et objectif</w:t>
        <w:br/>
        <w:t>Définition et justification</w:t>
        <w:br/>
        <w:t>Contenu</w:t>
        <w:br/>
        <w:t>Nom de l’indicateur, cible et objectif</w:t>
        <w:br/>
        <w:t>Définition et justification</w:t>
        <w:br/>
        <w:t>Sources de données et méthode de collecte</w:t>
        <w:br/>
        <w:t>Méthode de calcul et autres considérations méthodologiques</w:t>
        <w:br/>
        <w:t>Désagrégation des données</w:t>
        <w:br/>
        <w:t>Références</w:t>
        <w:br/>
        <w:t>Organisation(s) internationale(s) de surveillance mondiale</w:t>
        <w:br/>
        <w:t xml:space="preserve"> Indicateur 15.2.1 : Progrès vers la gestion durable des forêts</w:t>
        <w:br/>
        <w:t xml:space="preserve">Cible 15.2 : D’ici 2020, promouvoir la mise en œuvre d’une gestion durable de tous les types de forêts, mettre un terme à la déforestation et restaurer les forêts dégradées. </w:t>
        <w:br/>
        <w:t>et augmenter considérablement le boisement et le reboisement à l’échelle mondiale</w:t>
        <w:br/>
        <w:t xml:space="preserve">Objectif 15 : Protéger, restaurer et promouvoir l'utilisation durable des écosystèmes terrestres, gérer durablement les forêts, lutter contre la désertification et mettre un terme à la désertification. </w:t>
        <w:br/>
        <w:t>et inverser la dégradation des terres et mettre un terme à la perte de biodiversité</w:t>
      </w:r>
    </w:p>
    <w:p>
      <w:pPr>
        <w:pStyle w:val="Heading2"/>
      </w:pPr>
      <w:r>
        <w:t>Page 313</w:t>
      </w:r>
    </w:p>
    <w:p>
      <w:r>
        <w:t>Texte d'en-tête</w:t>
        <w:br/>
        <w:t>Texte de pied de page</w:t>
        <w:br/>
        <w:t>Sources de données et méthode de collecte</w:t>
        <w:br/>
        <w:t xml:space="preserve">1.  </w:t>
        <w:br/>
        <w:t xml:space="preserve">2.  </w:t>
        <w:br/>
        <w:t xml:space="preserve">3.  </w:t>
        <w:br/>
        <w:t xml:space="preserve">4.  </w:t>
        <w:br/>
        <w:t xml:space="preserve">5.  </w:t>
        <w:br/>
        <w:t>Définition :</w:t>
        <w:br/>
        <w:t xml:space="preserve">Cet indicateur mesure les progrès vers la gestion durable des forêts (GDF). L'indicateur comprend cinq sous-indicateurs : </w:t>
        <w:br/>
        <w:t>(1)    Taux de variation nette de la superficie forestière ;</w:t>
        <w:br/>
        <w:t>(2)    Stock de biomasse aérienne en forêt ;</w:t>
        <w:br/>
        <w:t>(3)    Proportion de la superficie forestière située dans des zones protégées légalement établies ;</w:t>
        <w:br/>
        <w:t>(4)    Proportion de la superficie forestière faisant l'objet d'un plan de gestion forestière à long terme ; et</w:t>
        <w:br/>
        <w:t xml:space="preserve">(5)    Superficie forestière soumise à un système de certification de gestion forestière vérifié de manière indépendante. </w:t>
        <w:br/>
        <w:t>Concepts :</w:t>
        <w:br/>
        <w:t xml:space="preserve">La gestion durable des forêts est définie comme « [un] concept dynamique et évolutif [qui] vise à maintenir et à améliorer les conditions économiques, sociales et économiques. » </w:t>
        <w:br/>
        <w:t xml:space="preserve">valeurs environnementales de tous les types de forêts, pour le bénéfice des générations présentes et futures » (Résolution A/RES/62/98). </w:t>
        <w:br/>
        <w:t xml:space="preserve">La forêt est définie comme une terre s'étendant sur plus de 0,5 hectare avec des arbres de plus de 5 mètres de haut et un couvert forestier de plus de 10 pour cent, ou des arbres </w:t>
        <w:br/>
        <w:t xml:space="preserve">capables d’atteindre ces seuils in situ. Cela n’inclut pas les terres qui sont principalement utilisées à des fins agricoles ou urbaines. Détails supplémentaires </w:t>
        <w:br/>
        <w:t>les critères sont répertoriés dans le document sur les termes et définitions de l'Évaluation des ressources forestières mondiales (FRA) 2020 de la FAO, disponible sur  http://www.fao.org/3</w:t>
        <w:br/>
        <w:t xml:space="preserve">./I8661FR/i8661fr.pdf  </w:t>
        <w:br/>
        <w:t xml:space="preserve">La biomasse aérienne est définie comme toute la biomasse vivante située au-dessus du sol, y compris la tige, la souche, les branches, l'écorce, les graines et le feuillage. Dans les cas où </w:t>
        <w:br/>
        <w:t xml:space="preserve">Le sous-étage forestier est une composante relativement petite du réservoir de carbone de la biomasse aérienne, il est acceptable de l'exclure, à condition que cela soit fait de manière appropriée. </w:t>
        <w:br/>
        <w:t xml:space="preserve">de manière cohérente tout au long de la série chronologique d’inventaire. </w:t>
        <w:br/>
        <w:t xml:space="preserve">Les aires protégées sont des zones spécialement dédiées à la protection et au maintien de la diversité biologique et des richesses naturelles et culturelles associées. </w:t>
        <w:br/>
        <w:t xml:space="preserve">ressources et gérées par des moyens juridiques ou autres moyens efficaces.  </w:t>
        <w:br/>
        <w:t xml:space="preserve">La superficie forestière au sein des aires protégées fait référence à la superficie forestière située à l'intérieur des aires protégées formellement établies, indépendamment de l'objectif pour lequel  </w:t>
        <w:br/>
        <w:t xml:space="preserve">des zones protégées ont été créées et comprennent les catégories I à IV de l'Union internationale pour la conservation de la nature (UICN) : </w:t>
        <w:br/>
        <w:t>- Catégorie Ia : Réserve naturelle intégrale</w:t>
        <w:br/>
        <w:t>- Catégorie Ib : Zone de nature sauvage</w:t>
        <w:br/>
        <w:t>- Catégorie II : Parc national</w:t>
        <w:br/>
        <w:t>- Catégorie III : Monument ou élément naturel</w:t>
        <w:br/>
        <w:t xml:space="preserve">- Catégorie IV : Zone de gestion des habitats/espèces. </w:t>
        <w:br/>
        <w:t xml:space="preserve">La zone forestière avec plan de gestion fait référence aux zones forestières qui disposent d'un plan de gestion documenté à long terme, visant une gestion définie. </w:t>
        <w:br/>
        <w:t xml:space="preserve">objectifs, qui sont périodiquement révisés. Il peut faire référence au niveau de l'unité de gestion forestière ou au niveau de l'unité de gestion forestière agrégée (blocs forestiers, </w:t>
        <w:br/>
        <w:t xml:space="preserve">fermes, entreprises, bassins versants, municipalités ou unités plus larges). Il comprend également les zones forestières situées dans des zones protégées dotées d'un plan de gestion. </w:t>
        <w:br/>
        <w:t xml:space="preserve">Un plan de gestion doit inclure des détails adéquats sur les opérations prévues pour les unités opérationnelles individuelles (stands ou compartiments), mais peut également </w:t>
        <w:br/>
        <w:t xml:space="preserve">fournir des stratégies générales et des activités planifiées pour atteindre les objectifs de gestion. </w:t>
        <w:br/>
        <w:t xml:space="preserve">La certification de gestion forestière vérifiée de manière indépendante fait référence à la superficie forestière certifiée dans le cadre d'un système de certification de gestion forestière avec </w:t>
        <w:br/>
        <w:t xml:space="preserve">normes publiées et est vérifié de manière indépendante par un tiers. </w:t>
        <w:br/>
        <w:t>Justification et interprétation :</w:t>
        <w:br/>
        <w:t>Les cinq sous-indicateurs contribuent à la mesure des progrès en matière d'AFD de diverses manières :</w:t>
        <w:br/>
        <w:t xml:space="preserve">Les tendances de la superficie forestière sont cruciales pour le suivi de la GDF. Le premier sous-indicateur se concentre à la fois sur la direction du changement (l'existence d'un </w:t>
        <w:br/>
        <w:t xml:space="preserve">perte ou gain de superficie forestière) et comment le taux de changement évolue dans le temps ; ce dernier est important afin de capturer les progrès parmi </w:t>
        <w:br/>
        <w:t>pays qui perdent des superficies forestières, mais qui ont réussi à réduire le taux de perte annuelle de superficie forestière.</w:t>
        <w:br/>
        <w:t xml:space="preserve">Les changements dans le stock de biomasse aérienne en forêt indiquent l'équilibre entre les gains de stock de biomasse dus à la croissance forestière et </w:t>
        <w:br/>
        <w:t>les pertes dues aux extractions de bois, les pertes naturelles, le feu, le vent, les ravageurs et les maladies.</w:t>
        <w:br/>
        <w:t xml:space="preserve">L'évolution de la superficie forestière au sein des zones légalement protégées est un indicateur des tendances en matière de conservation de la biodiversité forestière et une indication claire cation de </w:t>
        <w:br/>
        <w:t>la volonté politique de protéger et de conserver la biodiversité forestière.</w:t>
        <w:br/>
        <w:t xml:space="preserve">Le quatrième sous-indicateur examine les zones forestières qui font l'objet d'un plan de gestion forestière à long terme. Une superficie forestière en augmentation </w:t>
        <w:br/>
        <w:t>Le plan de gestion est un indicateur de progrès vers une gestion durable des forêts.</w:t>
        <w:br/>
        <w:t xml:space="preserve">Le cinquième sous-indicateur est la superficie forestière certifiée par un système de certification de gestion forestière vérifié de manière indépendante. Un </w:t>
        <w:br/>
        <w:t>l’augmentation de la superficie forestière certifiée fournit une indication supplémentaire des progrès vers la gestion durable des forêts</w:t>
      </w:r>
    </w:p>
    <w:p>
      <w:pPr>
        <w:pStyle w:val="Heading2"/>
      </w:pPr>
      <w:r>
        <w:t>Page 314</w:t>
      </w:r>
    </w:p>
    <w:p>
      <w:r>
        <w:t>Texte d'en-tête</w:t>
        <w:br/>
        <w:t>Texte de pied de page</w:t>
        <w:br/>
        <w:t>Méthode de calcul et autres considérations méthodologiques</w:t>
        <w:br/>
        <w:t>Désagrégation des données</w:t>
        <w:br/>
        <w:t xml:space="preserve">Les données pour tous les sous-indicateurs sont collectées via le réseau de correspondants nationaux de la FRA officiellement désigné, à une exception près : les données sur </w:t>
        <w:br/>
        <w:t xml:space="preserve">les données de certification forestière sont produites par des organismes de certification responsables et livrées directement à la FRA, après quoi elles sont envoyées aux pays pour </w:t>
        <w:br/>
        <w:t>leur validation.</w:t>
        <w:br/>
        <w:t>Méthode de calcul :</w:t>
        <w:br/>
        <w:t>Sous-indicateur 1 : taux de variation annuel net de la superficie forestière</w:t>
        <w:br/>
        <w:t xml:space="preserve">Cet indicateur est calculé à l'aide d'une formule d'intérêt composé pour déterminer le taux de variation net annuel.  </w:t>
        <w:br/>
        <w:t xml:space="preserve"> </w:t>
        <w:br/>
        <w:t>Où :</w:t>
        <w:br/>
        <w:t>A1 est la superficie forestière pour l'année t1 et A2 est la superficie forestière pour l'année t2.</w:t>
        <w:br/>
        <w:t xml:space="preserve">Par exemple, si la superficie forestière d'un pays en 2010 est de 20 millions d'hectares et en 2015 de 21 millions d'hectares, la valeur de la variation annuelle nette </w:t>
        <w:br/>
        <w:t>le taux devient</w:t>
        <w:br/>
        <w:t>A2/A1 = 21 Mha/20 Mha = 1,05</w:t>
        <w:br/>
        <w:t>t2-t1 =2015-2010=5</w:t>
        <w:br/>
        <w:t>q=[1,05  = [1,004988 -1] * 100 = 0,498756 %1/5 -1]</w:t>
        <w:br/>
        <w:t xml:space="preserve">Sous-indicateur 2 : Stock de biomasse aérienne en forêt </w:t>
        <w:br/>
        <w:t>La formule est donnée comme suit :</w:t>
        <w:br/>
        <w:t xml:space="preserve"> Sous-indicateur 3 : Proportion de la superficie forestière située dans des zones protégées légalement établies</w:t>
        <w:br/>
        <w:t>Le pourcentage de superficie forestière située dans des zones protégées légalement établies est calculé comme suit :</w:t>
        <w:br/>
        <w:t>Sous-indicateur 4 : Proportion de superficie forestière faisant l’objet d’un plan de gestion forestière à long terme.</w:t>
        <w:br/>
        <w:t>Le pourcentage de superficie forestière faisant l’objet d’un plan de gestion forestière à long terme est calculé comme suit :</w:t>
        <w:br/>
        <w:t xml:space="preserve">Sous-indicateur 5 : Superficie forestière soumise à un système de certification de gestion forestière vérifié de manière indépendante </w:t>
        <w:br/>
        <w:t>Les données de ce sous-indicateur sont collectées directement à partir des bases de données de chaque organisme de certification fournies aux pays pour validation.</w:t>
        <w:br/>
        <w:t>Commentaires et limites :</w:t>
        <w:br/>
        <w:t xml:space="preserve">Les cinq sous-indicateurs choisis pour illustrer les progrès vers la gestion durable des forêts ne couvrent pas entièrement tous les aspects de la gestion durable des forêts. </w:t>
        <w:br/>
        <w:t xml:space="preserve">gestion. En particulier, les aspects sociaux et économiques sont peu reflétés dans l’ensemble actuel de sous-indicateurs. Par ailleurs, il existe certains </w:t>
        <w:br/>
        <w:t xml:space="preserve">les lacunes dans les données et les tendances de certains sous-indicateurs reflètent différents ensembles de pays. Alors que le tableau de bord illustre les progrès réalisés sur le </w:t>
        <w:br/>
        <w:t>sous-indicateurs individuels, il n’y a pas de pondération de l’importance relative des sous-indicateurs.</w:t>
        <w:br/>
        <w:t>Indicateurs proxy, alternatifs et supplémentaires : N/A</w:t>
      </w:r>
    </w:p>
    <w:p>
      <w:pPr>
        <w:pStyle w:val="Heading2"/>
      </w:pPr>
      <w:r>
        <w:t>Page 315</w:t>
      </w:r>
    </w:p>
    <w:p>
      <w:r>
        <w:t>Texte d'en-tête</w:t>
        <w:br/>
        <w:t>Texte de pied de page</w:t>
        <w:br/>
        <w:t>Références</w:t>
        <w:br/>
        <w:t>Organisation(s) internationale(s) de surveillance mondiale</w:t>
        <w:br/>
        <w:t xml:space="preserve">Sous-indicateur 1 : - Cet indicateur peut être désagrégé par régions géographiques, types de forêts, types de sols, classe de développement forestier, arbre dominant. </w:t>
        <w:br/>
        <w:t>des espèces ou des groupes d’espèces d’arbres, entre autres dimensions.</w:t>
        <w:br/>
        <w:t xml:space="preserve">Sous-indicateur 2 : - Cet indicateur peut être ventilé par régions géographiques, types de forêts, types de sols, classe de développement forestier, espèces d'arbres ou </w:t>
        <w:br/>
        <w:t>groupes d’espèces d’arbres, entre autres dimensions.</w:t>
        <w:br/>
        <w:t xml:space="preserve">Sous-indicateur 3 : - Cet indicateur peut être ventilé par régions géographiques, types de forêts, types de sols, classe de développement forestier, arbre dominant. </w:t>
        <w:br/>
        <w:t>des espèces ou des groupes d’espèces d’arbres, entre autres dimensions.</w:t>
        <w:br/>
        <w:t xml:space="preserve">Sous-indicateur 4 : - Cet indicateur peut être ventilé par régions géographiques, types de forêts, types de sols, classe de développement forestier, arbre dominant. </w:t>
        <w:br/>
        <w:t>des espèces ou des groupes d’espèces d’arbres, entre autres dimensions.</w:t>
        <w:br/>
        <w:t xml:space="preserve">Sous-indicateur 5 : - Cet indicateur peut être ventilé par organismes de certification </w:t>
        <w:br/>
        <w:t>URL officielle des métadonnées ODD</w:t>
        <w:br/>
        <w:t xml:space="preserve">https://unstats.un.org/sdgs/metadata/files/Metadata-15-02-01.pdf  </w:t>
        <w:br/>
        <w:t>Méthodologie reconnue au niveau international et URL des lignes directrices</w:t>
        <w:br/>
        <w:t>Termes et définitions de FRA 2020 : http://www.fao.org/3/I8661EN/i8661en.pdf</w:t>
        <w:br/>
        <w:t xml:space="preserve">Lignes directrices et spécifications de FRA 2020 : http://www.fao.org/3/I8699EN/i8699en.pdf </w:t>
        <w:br/>
        <w:t>Autres références</w:t>
        <w:br/>
        <w:t>:Portail ODD de la FAO et apprentissage en ligne</w:t>
        <w:br/>
        <w:t>FAO. . Disponible sur Indicateurs des objectifs de développement durable http://www.fao.org/sustainable-development-goals/indicators/en/</w:t>
        <w:br/>
        <w:t xml:space="preserve">FAO. Centre d'apprentissage en ligne. Disponible sur http://www.fao.org/elearning/ </w:t>
        <w:br/>
        <w:t>:Références supplémentaires</w:t>
        <w:br/>
        <w:t>FAO. Site Internet :  Évaluations des ressources forestières mondiales. http://www.fao.org/forest-resources-assessment/en/</w:t>
        <w:br/>
        <w:t>Exemples de pays N/A</w:t>
        <w:br/>
        <w:t>Ce document a été préparé sur la base des contributions de l'Organisation pour l'alimentation et l'agriculture (FAO).</w:t>
        <w:br/>
        <w:t>Pour obtenir des informations sur les points focaux pour cet indicateur, veuillez visiter https://unstats.un.org/sdgs/dataContacts/</w:t>
      </w:r>
    </w:p>
    <w:p>
      <w:pPr>
        <w:pStyle w:val="Heading2"/>
      </w:pPr>
      <w:r>
        <w:t>Page 316</w:t>
      </w:r>
    </w:p>
    <w:p>
      <w:r>
        <w:t>Texte d'en-tête</w:t>
        <w:br/>
        <w:t>Texte de pied de page</w:t>
        <w:br/>
        <w:t>Indicateur 15.5.1</w:t>
        <w:br/>
        <w:t>Page d'accueil du manuel électronique</w:t>
        <w:br/>
        <w:t xml:space="preserve"> </w:t>
        <w:br/>
        <w:t>Nom de l’indicateur, cible et objectif</w:t>
        <w:br/>
        <w:t>Définition et justification</w:t>
        <w:br/>
        <w:t>Sources de données et méthode de collecte</w:t>
        <w:br/>
        <w:t>Méthode de calcul et autres considérations méthodologiques</w:t>
        <w:br/>
        <w:t>Contenu</w:t>
        <w:br/>
        <w:t>Nom de l’indicateur, cible et objectif</w:t>
        <w:br/>
        <w:t>Définition et justification</w:t>
        <w:br/>
        <w:t>Sources de données et méthode de collecte</w:t>
        <w:br/>
        <w:t>Méthode de calcul et autres considérations méthodologiques</w:t>
        <w:br/>
        <w:t>Désagrégation des données</w:t>
        <w:br/>
        <w:t>Références</w:t>
        <w:br/>
        <w:t>Organisation(s) internationale(s) de surveillance mondiale</w:t>
        <w:br/>
        <w:t xml:space="preserve"> Indicateur 15.5.1 : Indice de la Liste rouge</w:t>
        <w:br/>
        <w:t xml:space="preserve">Cible 15.5 : Prendre des mesures urgentes et significatives pour réduire la dégradation des habitats naturels, mettre un terme à la perte de biodiversité et, d'ici 2020, protéger </w:t>
        <w:br/>
        <w:t>et prévenir l'extinction des espèces menacées</w:t>
        <w:br/>
        <w:t xml:space="preserve">Objectif 15 : Protéger, restaurer et promouvoir l'utilisation durable des écosystèmes terrestres, gérer durablement les forêts, lutter contre la désertification et mettre un terme à la désertification. </w:t>
        <w:br/>
        <w:t xml:space="preserve">et inverser la dégradation des terres et mettre un terme à la perte de biodiversité </w:t>
        <w:br/>
        <w:t>Définition :</w:t>
        <w:br/>
        <w:t xml:space="preserve">L'indice de la Liste rouge est un indice qui mesure les changements dans le risque d'extinction global parmi des groupes d'espèces. Il est basé sur le nombre d'espèces </w:t>
        <w:br/>
        <w:t xml:space="preserve">dans chaque catégorie de risque d'extinction sur la Liste rouge de l'UICN des espèces menacées (UICN 2015) est exprimée sous forme de changements dans un indice allant de 0 </w:t>
        <w:br/>
        <w:t xml:space="preserve">à 1. </w:t>
        <w:br/>
        <w:t xml:space="preserve">Il s’agit d’un indicateur suivi au niveau mondial. </w:t>
        <w:br/>
        <w:t>Concepts :</w:t>
        <w:br/>
        <w:t xml:space="preserve">Les espèces menacées sont celles inscrites sur la Liste rouge de l'UICN des espèces menacées dans les catégories vulnérables, en danger ou gravement menacées. </w:t>
        <w:br/>
        <w:t xml:space="preserve">En voie de disparition (c'est-à-dire les espèces qui sont confrontées à un risque élevé, très élevé ou extrêmement élevé d'extinction à l'état sauvage dans un avenir à moyen terme). </w:t>
        <w:br/>
        <w:t>Justification et interprétation :</w:t>
        <w:br/>
        <w:t xml:space="preserve">Les espèces de la planète sont touchées par un certain nombre de processus menaçants, notamment la destruction et la dégradation de leur habitat, la surexploitation, les espèces envahissantes. </w:t>
        <w:br/>
        <w:t xml:space="preserve">les espèces exotiques, les perturbations humaines, la pollution et le changement climatique. Cet indicateur peut être utilisé pour évaluer les changements globaux du risque d’extinction des </w:t>
        <w:br/>
        <w:t xml:space="preserve">groupes d’espèces en raison de ces menaces et dans quelle mesure les menaces sont atténuées. </w:t>
        <w:br/>
        <w:t xml:space="preserve">La valeur de l’indice de la Liste rouge va de 1 (toutes les espèces sont classées comme « préoccupation mineure ») à 0 (toutes les espèces sont classées comme « éteintes »), et donc </w:t>
        <w:br/>
        <w:t xml:space="preserve">indique dans quelle mesure l’ensemble des espèces a globalement progressé vers l’extinction. Une tendance à la baisse de l'indice de la Liste rouge au fil du temps signifie que le </w:t>
        <w:br/>
        <w:t xml:space="preserve">le taux prévu d’extinction d’espèces futures s’aggrave (c’est-à-dire que le taux de perte de biodiversité augmente). Une tendance à la hausse signifie que le montant attendu </w:t>
        <w:br/>
        <w:t xml:space="preserve">le taux d’extinction des espèces diminue (c’est-à-dire que le taux de perte de biodiversité diminue), et une ligne horizontale signifie que le taux attendu de disparition des espèces </w:t>
        <w:br/>
        <w:t xml:space="preserve">les extinctions d’espèces restent les mêmes, même si dans chacun de ces cas, cela ne signifie pas que la perte de biodiversité a cessé. </w:t>
        <w:br/>
        <w:t xml:space="preserve">Le nom « Indice de la Liste rouge » ne doit pas être interprété comme impliquant que l'indicateur est produit comme un indicateur composite d'un certain nombre de mesures disparates. </w:t>
        <w:br/>
        <w:t xml:space="preserve">(de la même manière que, par exemple, l’indice de pauvreté multidimensionnelle est compilé). L'indice est compilé à partir de données sur les changements au fil du temps dans le Rouge </w:t>
        <w:br/>
        <w:t xml:space="preserve">Catégorie de liste pour chaque espèce, à l’exclusion de tout changement entraîné par l’amélioration des connaissances ou une taxonomie révisée. </w:t>
        <w:br/>
        <w:t>L'indice de la Liste rouge calcule le risque d'extinction d'un groupe par rapport au pire scénario où toutes les espèces de ce groupe seraient éteintes.</w:t>
        <w:br/>
        <w:t xml:space="preserve">Les agences nationales produisant des données pertinentes comprennent le gouvernement, les organisations non gouvernementales (ONG) et les établissements universitaires travaillant </w:t>
        <w:br/>
        <w:t xml:space="preserve">conjointement et séparément. Les données sont recueillies auprès de sources publiées et non publiées, d'experts en espèces, de scientifiques et de défenseurs de l'environnement par le biais de </w:t>
        <w:br/>
        <w:t xml:space="preserve">correspondance, ateliers et forums électroniques. </w:t>
        <w:br/>
        <w:t xml:space="preserve">Les données sont soumises par les agences nationales à l'UICN ou sont collectées grâce aux initiatives du Partenariat de la Liste rouge. De 2013 à 206, la Liste rouge </w:t>
        <w:br/>
        <w:t xml:space="preserve">Partenariat englobant : BirdLife International ; Conservation internationale des jardins botaniques ; Conservation Internationale ; Microsoft ; </w:t>
        <w:br/>
        <w:t>NatureServe ; Jardins botaniques royaux, Kew ; Université La Sapienza de Rome ; Université A&amp;M du Texas ; Écran sauvage ; et Société Zoologique de Londres.</w:t>
      </w:r>
    </w:p>
    <w:p>
      <w:pPr>
        <w:pStyle w:val="Heading2"/>
      </w:pPr>
      <w:r>
        <w:t>Page 317</w:t>
      </w:r>
    </w:p>
    <w:p>
      <w:r>
        <w:t>Texte d'en-tête</w:t>
        <w:br/>
        <w:t>Texte de pied de page</w:t>
        <w:br/>
        <w:t>Désagrégation des données</w:t>
        <w:br/>
        <w:t xml:space="preserve">Méthode de calcul : </w:t>
        <w:br/>
        <w:t xml:space="preserve">L'indice de la Liste rouge est calculé pour une période spécifique en multipliant d'abord le nombre d'espèces dans chaque catégorie de la Liste rouge par un poids. </w:t>
        <w:br/>
        <w:t xml:space="preserve">(allant de 1 pour « Quasi menacé » à 5 pour « Éteint » et « Éteint à l’état sauvage ») et en additionnant ces valeurs. Celui-ci est ensuite divisé par un maximum </w:t>
        <w:br/>
        <w:t xml:space="preserve">le score de menace qui correspond au nombre total d’espèces multiplié par le poids attribué à la catégorie « Éteinte ». Cette valeur finale est soustraite de 1 </w:t>
        <w:br/>
        <w:t xml:space="preserve">pour donner la valeur de l'indice de la liste rouge. </w:t>
        <w:br/>
        <w:t xml:space="preserve">Mathématiquement, ce calcul s'exprime comme suit : </w:t>
        <w:br/>
        <w:t xml:space="preserve">où W (t,s) est le poids pour la catégorie c au temps t pour l'espèce s.c  </w:t>
        <w:br/>
        <w:t xml:space="preserve">Les pondérations sont les suivantes : pour « En danger critique » = 4, « En danger » = 3, « Vulnérable » = 2, « Quasi menacé » = 1, « Préoccupation mineure » = 0. « En danger critique » </w:t>
        <w:br/>
        <w:t xml:space="preserve">Les espèces en voie de disparition étiquetées comme « Peut-être éteintes » ou « Peut-être éteintes à l’état sauvage » se voient attribuer une pondération de 5 ; W = 5, le poids attribué à EX </w:t>
        <w:br/>
        <w:t xml:space="preserve">Espèce « éteinte » ou « éteinte à l’état sauvage » ; et N est le nombre total d'espèces évaluées, à l'exclusion de celles évaluées comme données insuffisantes dans la présente étude. </w:t>
        <w:br/>
        <w:t xml:space="preserve">période de temps et celles considérées comme « éteintes » l’année où l’ensemble d’espèces a été évalué pour la première fois. </w:t>
        <w:br/>
        <w:t xml:space="preserve">Dans de nombreux cas, les listes d’espèces changeront légèrement d’une évaluation à l’autre (par exemple en raison de révisions taxonomiques). Les conditions peuvent </w:t>
        <w:br/>
        <w:t xml:space="preserve">par conséquent être satisfait en ajustant rétrospectivement les catégorisations antérieures de la Liste rouge en utilisant les informations et la taxonomie actuelles. Ceci est réalisé par </w:t>
        <w:br/>
        <w:t xml:space="preserve">en supposant que les catégories actuelles de la Liste rouge pour les taxons se sont appliquées depuis que l'ensemble d'espèces a été évalué pour la première fois pour la Liste rouge, à moins qu'il n'y ait </w:t>
        <w:br/>
        <w:t xml:space="preserve">est une information contraire selon laquelle de véritables changements de statut se sont produits. Ces informations sont souvent contextuelles (par exemple, liées à l'histoire connue </w:t>
        <w:br/>
        <w:t xml:space="preserve">de perte d'habitat dans l'aire de répartition de l'espèce). Si les informations disponibles sont insuffisantes pour une espèce nouvellement ajoutée, elles ne sont pas intégrées dans </w:t>
        <w:br/>
        <w:t xml:space="preserve">l'indice de la Liste rouge jusqu'à ce qu'il soit évalué une deuxième fois, après quoi les évaluations antérieures sont corrigées rétrospectivement par extrapolation des évaluations récentes. </w:t>
        <w:br/>
        <w:t xml:space="preserve">tendances en matière de population, d’aire de répartition, d’habitat et de menaces, étayées par des informations supplémentaires. </w:t>
        <w:br/>
        <w:t>Commentaires et limites :</w:t>
        <w:br/>
        <w:t>Il existe quatre principales sources d’incertitude associées aux valeurs et aux tendances de l’indice de la Liste rouge :</w:t>
        <w:br/>
        <w:t xml:space="preserve">(1) Connaissance insuffisante, incomplète ou inexacte du statut d’une espèce. Cette incertitude est minimisée en attribuant des estimations du risque d'extinction aux </w:t>
        <w:br/>
        <w:t>des catégories larges en termes d’ampleur et de timing ;</w:t>
        <w:br/>
        <w:t xml:space="preserve">(2) Retards dans la disponibilité des connaissances sur une espèce pour évaluation. De tels retards s’appliquent à une petite proportion (et en diminution) des statuts </w:t>
        <w:br/>
        <w:t>changements, et peuvent être surmontés dans l’index de la Liste rouge grâce à une analyse rétrospective ;</w:t>
        <w:br/>
        <w:t xml:space="preserve">(3) Incohérence entre les évaluations des espèces. Ceux-ci peuvent être minimisés par l'obligation de fournir des pièces justificatives détaillant les </w:t>
        <w:br/>
        <w:t xml:space="preserve">meilleures données disponibles, avec justifications, sources et estimations de l'incertitude et de la qualité des données, qui sont vérifiées et standardisées par l'UICN </w:t>
        <w:br/>
        <w:t>par l'intermédiaire des autorités de la Liste rouge, d'un groupe de travail technique sur la Liste rouge et d'un sous-comité indépendant des normes et des pétitions ; et</w:t>
        <w:br/>
        <w:t xml:space="preserve">(4) Les espèces trop mal connues pour que les critères de la Liste rouge soient appliqués sont affectées aux données. De plus, l'index de la Liste rouge ne prend pas en compte </w:t>
        <w:br/>
        <w:t xml:space="preserve">ils rendent particulièrement bien compte de la détérioration de l’état des espèces communes qui restent abondantes et répandues mais qui déclinent lentement. </w:t>
        <w:br/>
        <w:t>Indicateurs proxy, alternatifs et supplémentaires : N/A</w:t>
      </w:r>
    </w:p>
    <w:p>
      <w:pPr>
        <w:pStyle w:val="Heading2"/>
      </w:pPr>
      <w:r>
        <w:t>Page 318</w:t>
      </w:r>
    </w:p>
    <w:p>
      <w:r>
        <w:t>Texte d'en-tête</w:t>
        <w:br/>
        <w:t>Texte de pied de page</w:t>
        <w:br/>
        <w:t>Références</w:t>
        <w:br/>
        <w:t xml:space="preserve">L’indice de la Liste rouge peut être réduit pour afficher les indices de la Liste rouge nationaux et régionaux, pondérés par la fraction de la répartition de chaque espèce. </w:t>
        <w:br/>
        <w:t xml:space="preserve">survenant dans le pays ou la région. Ceux-ci montrent un indice de probabilité de survie globale (l'inverse du risque d'extinction) pour tous les oiseaux, </w:t>
        <w:br/>
        <w:t xml:space="preserve">mammifères, amphibiens, coraux et cycas présents dans le pays ou la région. L'indice montre dans quelle mesure les espèces sont conservées dans un pays </w:t>
        <w:br/>
        <w:t xml:space="preserve">ou une région à sa contribution potentielle à la conservation mondiale des espèces. </w:t>
        <w:br/>
        <w:t>Cet indice de sous-ensemble est calculé comme suit :</w:t>
        <w:br/>
        <w:t xml:space="preserve">où t est l'année de la réévaluation complète, u est l'unité spatiale (c'est-à-dire le pays), W(t,s) est le poids de la catégorie mondiale de la Liste rouge pour </w:t>
        <w:br/>
        <w:t xml:space="preserve">espèce s au temps t (préoccupation mineure = 0, quasi menacée = 1, vulnérable = 2, en danger = 3, en danger critique d'extinction = 4, en danger critique d'extinction </w:t>
        <w:br/>
        <w:t>(Peut-être éteint) = 5, En danger critique d'extinction (Peut-être éteint à l'état sauvage) = 5, Éteint à l'état sauvage = 5 et Éteint = 5), W = 5 est le poids pour EX</w:t>
        <w:br/>
        <w:t>Espèces éteintes, R est la fraction de l'aire de répartition totale des espèces s dans l'unité u, et R est la taille totale de l'aire de répartition des espèces s. sus</w:t>
        <w:br/>
        <w:t xml:space="preserve">L'indicateur peut également être ventilé par écosystèmes, habitats et autres divisions politiques et géographiques, par sous-ensembles taxonomiques, par suites de </w:t>
        <w:br/>
        <w:t xml:space="preserve">espèces pertinentes pour des traités ou législations internationaux particuliers, par séries d'espèces exposées à des processus menaçants particuliers, et par séries de </w:t>
        <w:br/>
        <w:t xml:space="preserve">espèces qui fournissent des services écosystémiques particuliers ou qui présentent des caractéristiques biologiques ou d’histoire de vie particulières. Dans chaque cas, des informations peuvent être obtenues </w:t>
        <w:br/>
        <w:t xml:space="preserve">de la Liste rouge de l'UICN des espèces menacées pour déterminer quelles espèces sont pertinentes pour des sous-ensembles particuliers (par exemple, celles qui sont présentes en particulier </w:t>
        <w:br/>
        <w:t>écosystèmes, habitats et zones géographiques d’intérêt).</w:t>
        <w:br/>
        <w:t>URL officielle des métadonnées ODD</w:t>
        <w:br/>
        <w:t>https://unstats.un.org/sdgs/metadata/files/Metadata-15-05-01.pdf</w:t>
        <w:br/>
        <w:t>Méthodologie reconnue au niveau international et URL des lignes directrices</w:t>
        <w:br/>
        <w:t>http://www.iucnredlist.org/about/publication/red-list-index</w:t>
        <w:br/>
        <w:t>Autres références</w:t>
        <w:br/>
        <w:t>Union internationale pour la conservation de la nature. Site Internet. http://www.iucn.org/</w:t>
        <w:br/>
        <w:t>BirdLife International. Site Internet. http://www.birdlife.org/</w:t>
        <w:br/>
        <w:t>BAILLIE, J.E.M. et al. (2004).  UICN, Gland, Suisse et Liste rouge de l'UICN des espèces menacées 2004 : une évaluation mondiale des espèces.</w:t>
        <w:br/>
        <w:t>Cambridge, Royaume-Uni. https://portals.iucn.org/library/node/9830</w:t>
        <w:br/>
        <w:t xml:space="preserve">BROOKS, TM et coll. (2015). Exploiter les produits de connaissances sur la biodiversité et la conservation pour suivre les objectifs d'Aichi et le développement durable. </w:t>
        <w:br/>
        <w:t>. Biodiversité 16 : 157-174. Objectifs de développement http://www.tandfonline.com/doi/pdf/10.1080/14888386.2015.1075903</w:t>
        <w:br/>
        <w:t>BUBB, P.J. et al. (2009). UICN. UICN, Gland, Suisse. Index de la Liste rouge - Conseils à usage national et régional https://portals.iucn.org/library</w:t>
        <w:br/>
        <w:t>/nœud/9321</w:t>
        <w:br/>
        <w:t>BUTCHART, SHM et al. (2010).  Science 328 : 1164-1168. Biodiversité mondiale : indicateurs de déclins récents. http://www.sciencemag.org</w:t>
        <w:br/>
        <w:t>/content/328/5982/1164.short</w:t>
        <w:br/>
        <w:t>BUTCHART, SHM (2008). . Indices de la Liste rouge des oiseaux pour mesurer la durabilité de l'utilisation des espèces et les impacts des espèces exotiques envahissantes</w:t>
        <w:br/>
        <w:t>Conservation International 18 (suppl.) : 245-262. http://journals.cambridge.org/action/displayJournal?jid=BCI</w:t>
        <w:br/>
        <w:t>BUTCHART, SHM et al. (2007). PLoS ONE 2(1) : 140e. Améliorations de l'index de la Liste rouge. http://journals.plos.org/plosone/article?id=10.1371</w:t>
        <w:br/>
        <w:t>/journal.pone.0000140</w:t>
        <w:br/>
        <w:t>BUTCHART, SHM et al. (2006).  Indicateurs de biodiversité basés sur les tendances de l'état de conservation : les points forts de l'Indice de la Liste rouge de l'UICN.</w:t>
        <w:br/>
        <w:t>Biologie de la conservation 20 : 579-581. http://onlinelibrary.wiley.com/doi/10.1111/j.1523-1739.2006.00410.x/abstract</w:t>
        <w:br/>
        <w:t>BUTCHART, SHM et al. (2005).  Transactions philosophiques utilisant les indices de la Liste rouge pour mesurer les progrès vers l'objectif de 2010 et au-delà.</w:t>
        <w:br/>
        <w:t>de la Royal Society de Londres B 360 : 255-268. http://rstb.royalsocietypublishing.org/content/360/1454/255.full</w:t>
        <w:br/>
        <w:t>BUTCHART, SHM et al. (2004).  PLoS Biologie 2(12) : e383. Mesurer les tendances mondiales de l'état de la biodiversité : indices de la Liste rouge pour les oiseaux. http :</w:t>
        <w:br/>
        <w:t>//www.plosbiology.org/ article/info:doi/10.1371/journal.pbio.0020383</w:t>
        <w:br/>
        <w:t>CARPENTER, KE et coll. (2008).  Science Un tiers des coraux bâtisseurs de récifs sont confrontés à un risque d'extinction élevé en raison du changement climatique et des impacts locaux.</w:t>
        <w:br/>
        <w:t>321 : 560-563. http://www.sciencemag.org/content/321/5888/560.short</w:t>
        <w:br/>
        <w:t>CDB (2014). , Montréal, Canada. Perspectives mondiales de la biodiversité 4. Convention sur la diversité biologique https://www.cbd.int/gbo4/</w:t>
        <w:br/>
        <w:t xml:space="preserve">CROXALL, J.P. et al. (2012). Bird Conservation International 22 : État de conservation des oiseaux de mer, menaces et actions prioritaires : une évaluation mondiale. </w:t>
        <w:br/>
        <w:t>1 à 34.</w:t>
        <w:br/>
        <w:t>GÄRDENFORS, U. (éd.) (2010). . ArtDatabanken, SLU, Uppsala.Rödlistade arter i Sverige 2010 – La Liste rouge 2010 des espèces suédoises</w:t>
      </w:r>
    </w:p>
    <w:p>
      <w:pPr>
        <w:pStyle w:val="Heading2"/>
      </w:pPr>
      <w:r>
        <w:t>Page 319</w:t>
      </w:r>
    </w:p>
    <w:p>
      <w:r>
        <w:t>Texte d'en-tête</w:t>
        <w:br/>
        <w:t>Texte de pied de page</w:t>
        <w:br/>
        <w:t>Organisation(s) internationale(s) de surveillance mondiale</w:t>
        <w:br/>
        <w:t xml:space="preserve">HAN, X. et coll. (2014). Un tableau de bord des indicateurs de biodiversité : relever les défis liés au suivi des progrès vers les objectifs d'Aichi pour la biodiversité </w:t>
        <w:br/>
        <w:t>PLoS ONE 9(11) : e112046.   en utilisant des données mondiales désagrégées. http://journals.plos.org/plosone/article?id=10.1371/journal.pone.0112046</w:t>
        <w:br/>
        <w:t>HOFFMANN, M. et coll. (2010). Sciences 330 : 1503-1509. L’impact de la conservation sur le statut des vertébrés dans le monde. http://www.</w:t>
        <w:br/>
        <w:t>sciencemag.org/content/330/6010/1503.short</w:t>
        <w:br/>
        <w:t>HOFFMANN, M. et coll. (2011).  Transactions philosophiques de la Royal Society of London B 366 : Le destin changeant des mammifères du monde.</w:t>
        <w:br/>
        <w:t>2598-2610. http://rstb.royalsocietypublishing.org/content/366/1578/2598.abstract</w:t>
        <w:br/>
        <w:t>UICN SPSC (2016) Union internationale pour la conservation de la nature – Lignes directrices pour l'utilisation des catégories et critères de la Liste rouge de l'UICN. Version 12.</w:t>
        <w:br/>
        <w:t>Sous-commission des normes et des pétitions, Gland, Suisse. http://www.iucnredlist.org/documents/RedListGuidelines.pdf</w:t>
        <w:br/>
        <w:t>UICN (2012a).  Union internationale pour la conservation de la nature, Gland, Catégories et critères de la Liste rouge de l'UICN : version 3.1. Deuxième édition.</w:t>
        <w:br/>
        <w:t>Suisse. https://portals.iucn.org/library/node/10315</w:t>
        <w:br/>
        <w:t>UICN (2012b).  Union internationale pour les lignes directrices pour l'application des critères de la Liste rouge de l'UICN aux niveaux régional et national : version 4.0.</w:t>
        <w:br/>
        <w:t>Conservation de la Nature, Gland, Suisse. https://portals.iucn.org/library/node/10336</w:t>
        <w:br/>
        <w:t>UICN (2013).  Union internationale pour les normes de documentation et les contrôles de cohérence pour les évaluations de la Liste rouge de l'UICN et les comptes d'espèces.</w:t>
        <w:br/>
        <w:t>Conservation de la Nature, Gland, Suisse. http://cmsdocs.s3.amazonaws.com/keydocuments/RL_Standards_Consistency.pdf</w:t>
        <w:br/>
        <w:t>UICN (2015) Union internationale pour la conservation de la nature, Gland, Suisse. . Liste rouge de l'UICN des espèces menacées. Version 2015.1. http://w</w:t>
        <w:br/>
        <w:t>www.iucnredlist.org</w:t>
        <w:br/>
        <w:t>MACE, GM et al. (2008) Conservation Biology 22 : 1424 – Quantification du risque d’extinction : le système de l’UICN pour classer les espèces menacées.</w:t>
        <w:br/>
        <w:t>1442. http://onlinelibrary.wiley.com/doi/10.1111/j.1523-1739.2008.01044.x/full</w:t>
        <w:br/>
        <w:t>MCGEOCH, MA et al. (2010) . Diversité et indicateurs mondiaux de l'invasion biologique : nombre d'espèces, impact sur la biodiversité et réponses politiques</w:t>
        <w:br/>
        <w:t>Distribution 16 : 95-108. http://onlinelibrary.wiley.com/doi/10.1111/j.1472-4642.2009.00633.x/abstract</w:t>
        <w:br/>
        <w:t>PIHL, S. &amp; FLENSTED, KN (2011).  Dansk Ornitologisk Forenings Un index de la liste rouge des oiseaux nicheurs au Danemark pour la période 1991-2009.</w:t>
        <w:br/>
        <w:t>Tidsskrift 105 : 211-218.</w:t>
        <w:br/>
        <w:t>REGAN, E. et coll. (2015).  Lettres de conservation. est ce que je : 10.1111/conl.12162.  Tendances mondiales de la situation des pollinisateurs d'oiseaux et de mammifères. http://en ligneli</w:t>
        <w:br/>
        <w:t>brary.wiley.com/doi/10.1111/conl.12162/abstract</w:t>
        <w:br/>
        <w:t>RODRIGUES, A.S.L. et al. (2014). . PLoS ONE 9(11) : e113934. Tendances spatialement explicites de l'état de conservation mondial des vertébrés http://jour</w:t>
        <w:br/>
        <w:t>nals.plos.org/plosone/article?id=10.1371/journal.pone.0113934</w:t>
        <w:br/>
        <w:t>SALAFSKY, N., et coll. (2008) Conservation Biology Un lexique standard pour la conservation de la biodiversité : classifications unifiées des menaces et des actions.</w:t>
        <w:br/>
        <w:t>22 : 897-911. http://onlinelibrary.wiley.com/doi/10.1111/j.1523-1739.2008.00937.x/full</w:t>
        <w:br/>
        <w:t>TITTENSOR, D. et al. (2014). . Sciences 346 : 241-244. Une analyse à mi-parcours des progrès vers les objectifs internationaux en matière de biodiversité http://www.</w:t>
        <w:br/>
        <w:t>sciencemag.org/content/346/6206/241.short</w:t>
        <w:br/>
        <w:t>VISCONTI, P. et al. (2015) Lettres de conservation. doi: 10.1111/conl. Projection d'indicateurs mondiaux de la biodiversité selon de futurs scénarios de développement.</w:t>
        <w:br/>
        <w:t>12159. http://onlinelibrary.wiley.com/doi/10.1111/conl.12159/abstract</w:t>
        <w:br/>
        <w:t xml:space="preserve">Exemples de pays </w:t>
        <w:br/>
        <w:t>N/D</w:t>
        <w:br/>
        <w:t>Ce document a été préparé sur la base des contributions de l'Union internationale pour la conservation de la nature (UICN).</w:t>
        <w:br/>
        <w:t>Pour obtenir des informations sur les points focaux pour cet indicateur, veuillez visiter https://unstats.un.org/sdgs/dataContacts/</w:t>
      </w:r>
    </w:p>
    <w:p>
      <w:pPr>
        <w:pStyle w:val="Heading2"/>
      </w:pPr>
      <w:r>
        <w:t>Page 320</w:t>
      </w:r>
    </w:p>
    <w:p>
      <w:r>
        <w:t>Texte d'en-tête</w:t>
        <w:br/>
        <w:t>Texte de pied de page</w:t>
        <w:br/>
        <w:t>Indicateur 15.6.1</w:t>
        <w:br/>
        <w:t>Page d'accueil du manuel électronique</w:t>
        <w:br/>
        <w:t xml:space="preserve"> </w:t>
        <w:br/>
        <w:t>Nom de l’indicateur, cible et objectif</w:t>
        <w:br/>
        <w:t>Définition et justification</w:t>
        <w:br/>
        <w:t>Sources de données et méthode de collecte</w:t>
        <w:br/>
        <w:t>Méthode de calcul et autres considérations méthodologiques</w:t>
        <w:br/>
        <w:t>Contenu</w:t>
        <w:br/>
        <w:t>Nom de l’indicateur, cible et objectif</w:t>
        <w:br/>
        <w:t>Définition et justification</w:t>
        <w:br/>
        <w:t>Sources de données et méthode de collecte</w:t>
        <w:br/>
        <w:t>Méthode de calcul et autres considérations méthodologiques</w:t>
        <w:br/>
        <w:t>Désagrégation des données</w:t>
        <w:br/>
        <w:t>Références</w:t>
        <w:br/>
        <w:t>Organisation(s) internationale(s) de surveillance mondiale</w:t>
        <w:br/>
        <w:t xml:space="preserve"> Indicateur 15.6.1 : Nombre de pays ayant adopté des cadres législatifs, administratifs et politiques pour garantir un partage juste et équitable des </w:t>
        <w:br/>
        <w:t>avantages</w:t>
        <w:br/>
        <w:t xml:space="preserve">Cible 15.6 : Promouvoir le partage juste et équitable des avantages découlant de l’utilisation des ressources génétiques et promouvoir un accès approprié </w:t>
        <w:br/>
        <w:t>à ces ressources, comme convenu au niveau international</w:t>
        <w:br/>
        <w:t xml:space="preserve">Objectif 15 : Protéger, restaurer et promouvoir l'utilisation durable des écosystèmes terrestres, gérer durablement les forêts, lutter contre la désertification et mettre un terme à la désertification. </w:t>
        <w:br/>
        <w:t>et inverser la dégradation des terres et mettre un terme à la perte de biodiversité</w:t>
        <w:br/>
        <w:t>Définition :</w:t>
        <w:br/>
        <w:t xml:space="preserve">Cet indicateur est défini comme le nombre de pays qui ont adopté des cadres législatifs, administratifs et politiques pour la mise en œuvre de </w:t>
        <w:br/>
        <w:t xml:space="preserve">le Protocole de Nagoya sur l'accès aux ressources génétiques et le partage juste et équitable des avantages découlant de leur utilisation pour le </w:t>
        <w:br/>
        <w:t xml:space="preserve">Convention sur la diversité biologique (2010). </w:t>
        <w:br/>
        <w:t xml:space="preserve">Cet indicateur est un indicateur international et n'est pas suivi au niveau national. </w:t>
        <w:br/>
        <w:t>Concepts :</w:t>
        <w:br/>
        <w:t xml:space="preserve">Le Protocole de Nagoya, également appelé Protocole de Nagoya sur l'accès et le partage des avantages (APA), est un accord complémentaire de 2010 au </w:t>
        <w:br/>
        <w:t xml:space="preserve">Convention sur la diversité biologique (CDB) de 1992 qui vise à mettre en œuvre le partage juste et équitable des avantages découlant de l'utilisation des </w:t>
        <w:br/>
        <w:t xml:space="preserve">ressources génétiques, contribuant ainsi à la conservation et à l’utilisation durable de la biodiversité. </w:t>
        <w:br/>
        <w:t>Justification et interprétation :</w:t>
        <w:br/>
        <w:t xml:space="preserve">Pour que le Protocole de Nagoya soit opérationnel, certaines conditions favorables doivent être remplies au niveau national. Chaque partie à la </w:t>
        <w:br/>
        <w:t>Le protocole est nécessaire pour mettre en œuvre un ensemble de cadres législatifs, administratifs et politiques (le cas échéant) et en faire rapport à l'ABS Clearing-</w:t>
        <w:br/>
        <w:t xml:space="preserve">Plateforme de la maison, conformément à l'article 14 du protocole. Cet indicateur est une mesure des progrès réalisés sur le nombre de partis ayant adopté ledit </w:t>
        <w:br/>
        <w:t xml:space="preserve">cadres. </w:t>
        <w:br/>
        <w:t xml:space="preserve">Les données pour cet indicateur proviennent du Centre d'échange sur l'APA, géré par le secrétariat de la CDB. Les pays fournissent des informations sur </w:t>
        <w:br/>
        <w:t xml:space="preserve">Cadres législatifs, administratifs et politiques sur l'APA directement au Centre d'échange sur l'APA en remplissant un formulaire contenant des informations et des détails. </w:t>
        <w:br/>
        <w:t xml:space="preserve">sur leurs cadres.  </w:t>
        <w:br/>
        <w:t xml:space="preserve">Afin de garantir l'exactitude des informations publiées dans le Centre d'échange sur l'APA, tous les cadres ABS sont soumis au centre d'échange. </w:t>
        <w:br/>
        <w:t>par des autorités de publication désignées (une seule autorité pour chaque pays)</w:t>
      </w:r>
    </w:p>
    <w:p>
      <w:pPr>
        <w:pStyle w:val="Heading2"/>
      </w:pPr>
      <w:r>
        <w:t>Page 321</w:t>
      </w:r>
    </w:p>
    <w:p>
      <w:r>
        <w:t>Texte d'en-tête</w:t>
        <w:br/>
        <w:t>Texte de pied de page</w:t>
        <w:br/>
        <w:t>Désagrégation des données</w:t>
        <w:br/>
        <w:t>Références</w:t>
        <w:br/>
        <w:t>Organisation(s) internationale(s) de surveillance mondiale</w:t>
        <w:br/>
        <w:t>Méthode de calcul :</w:t>
        <w:br/>
        <w:t xml:space="preserve">Cet indicateur est calculé comme la somme du nombre de parties à la CDB qui ont soumis des propositions législatives, administratives ou politiques sur l'APA. </w:t>
        <w:br/>
        <w:t xml:space="preserve">mesures au Centre d’échange sur l’APA. </w:t>
        <w:br/>
        <w:t>Commentaires et limites :</w:t>
        <w:br/>
        <w:t xml:space="preserve">Cet indicateur peut être utilisé pour mesurer les progrès réalisés dans l’adoption de cadres législatifs, administratifs et politiques sur l’APA au fil du temps. Cependant, ce n'est pas le cas </w:t>
        <w:br/>
        <w:t xml:space="preserve">évaluer la portée ou l’efficacité des cadres législatifs, administratifs et politiques d’APA. </w:t>
        <w:br/>
        <w:t xml:space="preserve">La notion de cadre suggère qu'il existe un ensemble complet de règles établies en matière d'accès et de partage des avantages. Il est cependant difficile d'avoir un </w:t>
        <w:br/>
        <w:t xml:space="preserve">idée prédéfinie de ce qui constitue un cadre ABS. Dans le cadre de cet indicateur, la publication par un pays d'un ou plusieurs ABS </w:t>
        <w:br/>
        <w:t xml:space="preserve">les mesures législatives, administratives et politiques prises au sein du Centre d'échange sur l'APA seraient considérées comme un progrès de ce pays vers la mise en place d'un APA. </w:t>
        <w:br/>
        <w:t xml:space="preserve">cadre législatif, administratif et politique. </w:t>
        <w:br/>
        <w:t>Indicateurs proxy, alternatifs et supplémentaires : N/A</w:t>
        <w:br/>
        <w:t xml:space="preserve">Les données sont fournies par pays (ou entités d'intégration régionale) et peuvent être ventilées par pays, groupe régional, appartenance à un groupe spécifique. </w:t>
        <w:br/>
        <w:t>organisation régionale, et/ou par leur statut de Parties ou non-Parties au protocole.</w:t>
        <w:br/>
        <w:t>URL officielle des métadonnées ODD</w:t>
        <w:br/>
        <w:t xml:space="preserve">https://unstats.un.org/sdgs/metadata/files/Metadata-15-06-01.pdf  </w:t>
        <w:br/>
        <w:t>Méthodologie reconnue au niveau international et URL des lignes directrices</w:t>
        <w:br/>
        <w:t>https://www.cbd.int/abs/about/</w:t>
        <w:br/>
        <w:t>Autres références</w:t>
        <w:br/>
        <w:t xml:space="preserve">Convention sur la diversité biologique (2010). Texte du Protocole de Nagoya sur l'accès aux ressources génétiques et le partage juste et équitable des </w:t>
        <w:br/>
        <w:t>Montréal. Disponible sur : Bénéfices découlant de leur utilisation pour la Convention sur la diversité biologique. https://www.cbd.int/abs/text/default.shtml</w:t>
        <w:br/>
        <w:t>Convention sur la diversité biologique. Montréal. Site Internet.  Le Centre d’échange sur l’accès et le partage des avantages. http://absch.cbd.int/</w:t>
        <w:br/>
        <w:t xml:space="preserve">Exemples de pays </w:t>
        <w:br/>
        <w:t>N/D</w:t>
        <w:br/>
        <w:t>Ce document a été préparé sur la base des contributions du Secrétariat de la Convention sur la diversité biologique (Secrétariat de la CDB).</w:t>
        <w:br/>
        <w:t>Pour obtenir des informations sur les points focaux pour cet indicateur, veuillez visiter https://unstats.un.org/sdgs/dataContacts/</w:t>
      </w:r>
    </w:p>
    <w:p>
      <w:pPr>
        <w:pStyle w:val="Heading2"/>
      </w:pPr>
      <w:r>
        <w:t>Page 322</w:t>
      </w:r>
    </w:p>
    <w:p>
      <w:r>
        <w:t>Texte d'en-tête</w:t>
        <w:br/>
        <w:t>Texte de pied de page</w:t>
        <w:br/>
        <w:t>Indicateur 15.a.1</w:t>
        <w:br/>
        <w:t>Page d'accueil du manuel électronique</w:t>
        <w:br/>
        <w:t>Nom de l’indicateur, cible et objectif</w:t>
        <w:br/>
        <w:t>Définition et justification</w:t>
        <w:br/>
        <w:t>Sources de données et méthode de collecte</w:t>
        <w:br/>
        <w:t>Méthode de calcul et autres considérations méthodologiques</w:t>
        <w:br/>
        <w:t>Contenu</w:t>
        <w:br/>
        <w:t>Nom de l’indicateur, cible et objectif</w:t>
        <w:br/>
        <w:t>Définition et justification</w:t>
        <w:br/>
        <w:t>Sources de données et méthode de collecte</w:t>
        <w:br/>
        <w:t>Méthode de calcul et autres considérations méthodologiques</w:t>
        <w:br/>
        <w:t>Désagrégation des données</w:t>
        <w:br/>
        <w:t>Références</w:t>
        <w:br/>
        <w:t>Organisation(s) internationale(s) de surveillance mondiale</w:t>
        <w:br/>
        <w:t xml:space="preserve"> Indicateur 15.a.1 : a) Aide publique au développement pour la conservation et l'utilisation durable de la biodiversité ; et (b) les revenus générés et le financement </w:t>
        <w:br/>
        <w:t>mobilisés à partir d’instruments économiques pertinents pour la biodiversité</w:t>
        <w:br/>
        <w:t>Cible 15.a : Mobiliser et augmenter considérablement les ressources financières de toutes sources pour conserver et utiliser durablement la biodiversité et les écosystèmes</w:t>
        <w:br/>
        <w:t xml:space="preserve">Objectif 15 : Protéger, restaurer et promouvoir l'utilisation durable des écosystèmes terrestres, gérer durablement les forêts, lutter contre la désertification et mettre un terme à la désertification. </w:t>
        <w:br/>
        <w:t>et inverser la dégradation des terres et mettre un terme à la perte de biodiversité</w:t>
        <w:br/>
        <w:t>Définition :</w:t>
        <w:br/>
        <w:t xml:space="preserve">Cet indicateur est défini comme les décaissements bruts de l’aide publique au développement (APD) totale de tous les donateurs pour la biodiversité. Ce chapitre de </w:t>
        <w:br/>
        <w:t xml:space="preserve">le manuel électronique ne couvre que la partie APD de l’indicateur. </w:t>
        <w:br/>
        <w:t>Concepts :</w:t>
        <w:br/>
        <w:t xml:space="preserve">Le Comité d'aide au développement (CAD) définit l'APD comme les flux vers les pays et territoires figurant sur la liste du CAD des bénéficiaires de l'APD et </w:t>
        <w:br/>
        <w:t>les institutions multilatérales qui sont :</w:t>
        <w:br/>
        <w:t>(1)    Fournis par des agences officielles, y compris les gouvernements des États et locaux, ou par leurs agences exécutives ; et</w:t>
        <w:br/>
        <w:t>(2)    Chaque transaction dont :</w:t>
        <w:br/>
        <w:t>une. est administré avec la promotion du développement économique et du bien-être des pays en développement comme objectif principal ; et</w:t>
        <w:br/>
        <w:t xml:space="preserve">b. a un caractère concessionnel et comporte un élément de don d'au moins 25 pour cent (calculé à un taux d'actualisation de 10 pour cent). </w:t>
        <w:br/>
        <w:t xml:space="preserve">Tous les donateurs font référence aux donateurs du CAD, aux autres fournisseurs bilatéraux de coopération au développement et aux organisations multilatérales.  </w:t>
        <w:br/>
        <w:t xml:space="preserve">La biodiversité fait référence au marqueur Rio du Système de notification des pays créanciers (CRS) de l’OCDE pour la biodiversité. </w:t>
        <w:br/>
        <w:t>Justification et interprétation :</w:t>
        <w:br/>
        <w:t>Les flux totaux d’APD vers les pays en développement quantifient l’effort public que les donateurs fournissent aux pays en développement en faveur de la biodiversité.</w:t>
        <w:br/>
        <w:t xml:space="preserve">Le CAD/OCDE a collecté des données sur les flux de ressources publiques et privées depuis 1960 au niveau agrégé et 1973 au niveau des activités. </w:t>
        <w:br/>
        <w:t xml:space="preserve">via le SNPC (les données du SNPC sont considérées comme complètes à partir de 1995 pour les engagements au niveau des activités et de 2002 pour les décaissements). Le Rio </w:t>
        <w:br/>
        <w:t xml:space="preserve">Un marqueur de la biodiversité a été introduit en 2002. </w:t>
        <w:br/>
        <w:t xml:space="preserve">Un rapporteur statistique est responsable de la collecte des statistiques du CAD dans chaque pays/agence fournisseur. Ce journaliste se trouve généralement dans le </w:t>
        <w:br/>
        <w:t xml:space="preserve">agence d'aide nationale, ministère des Affaires étrangères ou des Finances, etc. </w:t>
        <w:br/>
        <w:t xml:space="preserve">Le Secrétariat du CAD/OCDE prépare et soumet un questionnaire annuel (au niveau agrégé et au niveau des activités) aux organismes statistiques nationaux. </w:t>
        <w:br/>
        <w:t>journalistes et est responsable de la collecte, de la validation et de la publication de ces données.</w:t>
      </w:r>
    </w:p>
    <w:p>
      <w:pPr>
        <w:pStyle w:val="Heading2"/>
      </w:pPr>
      <w:r>
        <w:t>Page 323</w:t>
      </w:r>
    </w:p>
    <w:p>
      <w:r>
        <w:t>Texte d'en-tête</w:t>
        <w:br/>
        <w:t>Texte de pied de page</w:t>
        <w:br/>
        <w:t>Désagrégation des données</w:t>
        <w:br/>
        <w:t>Références</w:t>
        <w:br/>
        <w:t>Organisation(s) internationale(s) de surveillance mondiale</w:t>
        <w:br/>
        <w:t>Méthode de calcul :</w:t>
        <w:br/>
        <w:t xml:space="preserve">Cet indicateur est calculé comme la somme de tous les flux d’APD de tous les donateurs vers les pays en développement dont la biodiversité est un élément principal ou significatif. </w:t>
        <w:br/>
        <w:t xml:space="preserve">objectif, ainsi marqué par le marqueur de Rio pour la biodiversité. </w:t>
        <w:br/>
        <w:t>Commentaires et limites :</w:t>
        <w:br/>
        <w:t xml:space="preserve">Les données des données CRS sont disponibles à partir de 1973. Cependant, la couverture des données, au niveau des activités, est considérée comme complète à partir de 1995 pour </w:t>
        <w:br/>
        <w:t xml:space="preserve">engagements et 2002 pour les décaissements. Le marqueur de biodiversité de Rio a été introduit en 2002. </w:t>
        <w:br/>
        <w:t>Indicateurs proxy, alternatifs et supplémentaires : N/A</w:t>
        <w:br/>
        <w:t xml:space="preserve">Cet indicateur peut être ventilé par donateur, par pays (ou région) bénéficiaire, par type de financement, par type d'aide, par sous-secteur, par marqueur politique. </w:t>
        <w:br/>
        <w:t>(par exemple le sexe), etc.</w:t>
        <w:br/>
        <w:t>URL officielle des métadonnées ODD</w:t>
        <w:br/>
        <w:t xml:space="preserve">https://unstats.un.org/sdgs/metadata/files/Metadata-15-0A-01.pdf  </w:t>
        <w:br/>
        <w:t>Méthodologie reconnue au niveau international et URL des lignes directrices</w:t>
        <w:br/>
        <w:t xml:space="preserve">http://www.oecd.org/dac/stats/methodology.htm  </w:t>
        <w:br/>
        <w:t>Autres références</w:t>
        <w:br/>
        <w:t>OCDE. Paris. Site Internet : Normes de financement du développement. http://www.oecd.org/dac/financing-sustainable-development/development-finance-</w:t>
        <w:br/>
        <w:t xml:space="preserve"> normes/</w:t>
        <w:br/>
        <w:t xml:space="preserve">Exemples de pays </w:t>
        <w:br/>
        <w:t>N/D</w:t>
        <w:br/>
        <w:t xml:space="preserve">Ce document a été préparé sur la base des contributions de l'Organisation de coopération et de développement économiques (OCDE), des Nations Unies. </w:t>
        <w:br/>
        <w:t>Programme pour l'environnement (PNUE) et Banque mondiale.</w:t>
        <w:br/>
        <w:t>Pour obtenir des informations sur les points focaux pour cet indicateur, veuillez visiter https://unstats.un.org/sdgs/dataContacts/</w:t>
      </w:r>
    </w:p>
    <w:p>
      <w:pPr>
        <w:pStyle w:val="Heading2"/>
      </w:pPr>
      <w:r>
        <w:t>Page 324</w:t>
      </w:r>
    </w:p>
    <w:p>
      <w:r>
        <w:t>Texte d'en-tête</w:t>
        <w:br/>
        <w:t>Texte de pied de page</w:t>
        <w:br/>
        <w:t>Indicateur 15.b.1</w:t>
        <w:br/>
        <w:t>Page d'accueil du manuel électronique</w:t>
        <w:br/>
        <w:t>Nom de l’indicateur, cible et objectif</w:t>
        <w:br/>
        <w:t>Définition et justification</w:t>
        <w:br/>
        <w:t>Sources de données et méthode de collecte</w:t>
        <w:br/>
        <w:t>Méthode de calcul et autres considérations méthodologiques</w:t>
        <w:br/>
        <w:t>Contenu</w:t>
        <w:br/>
        <w:t>Nom de l’indicateur, cible et objectif</w:t>
        <w:br/>
        <w:t>Définition et justification</w:t>
        <w:br/>
        <w:t>Sources de données et méthode de collecte</w:t>
        <w:br/>
        <w:t>Méthode de calcul et autres considérations méthodologiques</w:t>
        <w:br/>
        <w:t>Désagrégation des données</w:t>
        <w:br/>
        <w:t>Références</w:t>
        <w:br/>
        <w:t>Organisation(s) internationale(s) de surveillance mondiale</w:t>
        <w:br/>
        <w:t xml:space="preserve"> Indicateur 15.b.1 : Aide publique au développement pour la conservation et l'utilisation durable de la biodiversité ; et (b) les revenus générés et le financement </w:t>
        <w:br/>
        <w:t>mobilisés à partir d’instruments économiques pertinents pour la biodiversité</w:t>
        <w:br/>
        <w:t>Cible 15.a : Mobiliser et augmenter considérablement les ressources financières de toutes sources pour conserver et utiliser durablement la biodiversité et les écosystèmes</w:t>
        <w:br/>
        <w:t xml:space="preserve">Objectif 15 : Protéger, restaurer et promouvoir l'utilisation durable des écosystèmes terrestres, gérer durablement les forêts, lutter contre la désertification et mettre un terme à la désertification. </w:t>
        <w:br/>
        <w:t>et inverser la dégradation des terres et mettre un terme à la perte de biodiversité</w:t>
        <w:br/>
        <w:t>Définition :</w:t>
        <w:br/>
        <w:t xml:space="preserve">Cet indicateur est défini comme les décaissements bruts de l’aide publique au développement (APD) totale de tous les donateurs pour la biodiversité. Ce chapitre de </w:t>
        <w:br/>
        <w:t xml:space="preserve">le manuel électronique ne couvre que la partie APD de l’indicateur. </w:t>
        <w:br/>
        <w:t>Concepts :</w:t>
        <w:br/>
        <w:t xml:space="preserve">Le Comité d'aide au développement (CAD) définit l'APD comme les flux vers les pays et territoires figurant sur la liste du CAD des bénéficiaires de l'APD et </w:t>
        <w:br/>
        <w:t>les institutions multilatérales qui sont :</w:t>
        <w:br/>
        <w:t>(1)    Fournis par des agences officielles, y compris les gouvernements des États et locaux, ou par leurs agences exécutives ; et</w:t>
        <w:br/>
        <w:t>(2)    Chaque transaction dont :</w:t>
        <w:br/>
        <w:t>une. est administré avec la promotion du développement économique et du bien-être des pays en développement comme objectif principal ; et</w:t>
        <w:br/>
        <w:t xml:space="preserve">b. a un caractère concessionnel et comporte un élément de don d'au moins 25 pour cent (calculé à un taux d'actualisation de 10 pour cent). </w:t>
        <w:br/>
        <w:t xml:space="preserve">Tous les donateurs font référence aux donateurs du CAD, aux autres fournisseurs bilatéraux de coopération au développement et aux organisations multilatérales.  </w:t>
        <w:br/>
        <w:t xml:space="preserve">La biodiversité fait référence au marqueur Rio du Système de notification des pays créanciers (CRS) de l’OCDE pour la biodiversité. </w:t>
        <w:br/>
        <w:t>Justification et interprétation :</w:t>
        <w:br/>
        <w:t>Les flux totaux d’APD vers les pays en développement quantifient l’effort public que les donateurs fournissent aux pays en développement en faveur de la biodiversité.</w:t>
        <w:br/>
        <w:t xml:space="preserve">Le CAD/OCDE a collecté des données sur les flux de ressources publiques et privées depuis 1960 au niveau agrégé et 1973 au niveau des activités. </w:t>
        <w:br/>
        <w:t xml:space="preserve">via le SNPC (les données du SNPC sont considérées comme complètes à partir de 1995 pour les engagements au niveau des activités et de 2002 pour les décaissements). Le Rio </w:t>
        <w:br/>
        <w:t xml:space="preserve">Un marqueur de la biodiversité a été introduit en 2002. </w:t>
        <w:br/>
        <w:t xml:space="preserve">Un rapporteur statistique est responsable de la collecte des statistiques du CAD dans chaque pays/agence fournisseur. Ce journaliste se trouve généralement dans le </w:t>
        <w:br/>
        <w:t xml:space="preserve">agence d'aide nationale, ministère des Affaires étrangères ou des Finances, etc. </w:t>
        <w:br/>
        <w:t xml:space="preserve">Le Secrétariat du CAD/OCDE prépare et soumet un questionnaire annuel (au niveau agrégé et au niveau des activités) aux organismes statistiques nationaux. </w:t>
        <w:br/>
        <w:t>journalistes et est responsable de la collecte, de la validation et de la publication de ces données.</w:t>
      </w:r>
    </w:p>
    <w:p>
      <w:pPr>
        <w:pStyle w:val="Heading2"/>
      </w:pPr>
      <w:r>
        <w:t>Page 325</w:t>
      </w:r>
    </w:p>
    <w:p>
      <w:r>
        <w:t>Texte d'en-tête</w:t>
        <w:br/>
        <w:t>Texte de pied de page</w:t>
        <w:br/>
        <w:t>Désagrégation des données</w:t>
        <w:br/>
        <w:t>Références</w:t>
        <w:br/>
        <w:t>Organisation(s) internationale(s) de surveillance mondiale</w:t>
        <w:br/>
        <w:t>Méthode de calcul :</w:t>
        <w:br/>
        <w:t xml:space="preserve">Cet indicateur est calculé comme la somme de tous les flux d’APD de tous les donateurs vers les pays en développement dont la biodiversité est un élément principal ou significatif. </w:t>
        <w:br/>
        <w:t xml:space="preserve">objectif, ainsi marqué par le marqueur de Rio pour la biodiversité. </w:t>
        <w:br/>
        <w:t>Commentaires et limites :</w:t>
        <w:br/>
        <w:t xml:space="preserve">Les données des données CRS sont disponibles à partir de 1973. Cependant, la couverture des données, au niveau des activités, est considérée comme complète à partir de 1995 pour </w:t>
        <w:br/>
        <w:t xml:space="preserve">engagements et 2002 pour les décaissements. Le marqueur de biodiversité de Rio a été introduit en 2002. </w:t>
        <w:br/>
        <w:t>Indicateurs proxy, alternatifs et supplémentaires : N/A</w:t>
        <w:br/>
        <w:t xml:space="preserve">Cet indicateur peut être ventilé par donateur, par pays (ou région) bénéficiaire, par type de financement, par type d'aide, par sous-secteur, par marqueur politique. </w:t>
        <w:br/>
        <w:t>(par exemple le sexe), etc.</w:t>
        <w:br/>
        <w:t>URL officielle des métadonnées ODD</w:t>
        <w:br/>
        <w:t xml:space="preserve">https://unstats.un.org/sdgs/metadata/files/Metadata-15-0A-01.pdf  </w:t>
        <w:br/>
        <w:t>Méthodologie reconnue au niveau international et URL des lignes directrices</w:t>
        <w:br/>
        <w:t xml:space="preserve">http://www.oecd.org/dac/stats/methodology.htm  </w:t>
        <w:br/>
        <w:t>Autres références</w:t>
        <w:br/>
        <w:t>OCDE. Paris. Site Internet : Normes de financement du développement. http://www.oecd.org/dac/financing-sustainable-development/development-finance-</w:t>
        <w:br/>
        <w:t xml:space="preserve"> normes/</w:t>
        <w:br/>
        <w:t xml:space="preserve">Exemples de pays </w:t>
        <w:br/>
        <w:t>N/D</w:t>
        <w:br/>
        <w:t xml:space="preserve">Ce document a été préparé sur la base des contributions de l'Organisation de coopération et de développement économiques (OCDE), des Nations Unies. </w:t>
        <w:br/>
        <w:t>Programme pour l'environnement (PNUE) et Banque mondiale.</w:t>
        <w:br/>
        <w:t>Pour obtenir des informations sur les points focaux pour cet indicateur, veuillez visiter https://unstats.un.org/sdgs/dataContacts/</w:t>
      </w:r>
    </w:p>
    <w:p>
      <w:pPr>
        <w:pStyle w:val="Heading2"/>
      </w:pPr>
      <w:r>
        <w:t>Page 326</w:t>
      </w:r>
    </w:p>
    <w:p>
      <w:r>
        <w:t>Texte d'en-tête</w:t>
        <w:br/>
        <w:t>Texte de pied de page</w:t>
        <w:br/>
        <w:t>Objectif 16</w:t>
        <w:br/>
        <w:t xml:space="preserve">Promouvoir des sociétés pacifiques et inclusives pour un développement durable </w:t>
        <w:br/>
        <w:t xml:space="preserve">développement, assurer l’accès de tous à la justice et construire des </w:t>
        <w:br/>
        <w:t>des institutions responsables et inclusives à tous les niveaux</w:t>
        <w:br/>
        <w:t>Page d'accueil du manuel électronique</w:t>
        <w:br/>
        <w:t>Dans cet objectif :</w:t>
        <w:br/>
        <w:t xml:space="preserve">La Division de statistique des Nations Unies (DSNU) a travaillé en consultation avec l'agence(s) dépositaire(s) de chaque indicateur pour préparer ces chapitres. Pour </w:t>
        <w:br/>
        <w:t>les indicateurs qui n’ont pas encore de chapitre ici, sont en cours de préparation et seront téléchargés ici dès qu’ils seront disponibles.</w:t>
        <w:br/>
        <w:t>Si vous avez des questions sur le manuel électronique, n'hésitez pas à contacter M. Yuxi Zhang ( yuxi.zhang@un.org) avec copie à M. Ze Yar Min (min@</w:t>
        <w:br/>
        <w:t>.un.org)</w:t>
      </w:r>
    </w:p>
    <w:p>
      <w:pPr>
        <w:pStyle w:val="Heading2"/>
      </w:pPr>
      <w:r>
        <w:t>Page 327</w:t>
      </w:r>
    </w:p>
    <w:p>
      <w:r>
        <w:t>Texte d'en-tête</w:t>
        <w:br/>
        <w:t>Texte de pied de page</w:t>
        <w:br/>
        <w:t>Indicateur 16.2.1</w:t>
        <w:br/>
        <w:t>Page d'accueil du manuel électronique</w:t>
        <w:br/>
        <w:t xml:space="preserve"> </w:t>
        <w:br/>
        <w:t>Nom de l’indicateur, cible et objectif</w:t>
        <w:br/>
        <w:t>Définition et justification</w:t>
        <w:br/>
        <w:t>Sources de données et méthode de collecte</w:t>
        <w:br/>
        <w:t>Méthode de calcul et autres considérations méthodologiques</w:t>
        <w:br/>
        <w:t>Contenu</w:t>
        <w:br/>
        <w:t>Nom de l’indicateur, cible et objectif</w:t>
        <w:br/>
        <w:t>Définition et justification</w:t>
        <w:br/>
        <w:t>Sources de données et méthode de collecte</w:t>
        <w:br/>
        <w:t>Méthode de calcul et autres considérations méthodologiques</w:t>
        <w:br/>
        <w:t>Désagrégation des données</w:t>
        <w:br/>
        <w:t>Références</w:t>
        <w:br/>
        <w:t>Organisation(s) internationale(s) de surveillance mondiale</w:t>
        <w:br/>
        <w:t xml:space="preserve"> Indicateur 16.2.1 : Proportion d'enfants âgés de 1 à 17 ans ayant subi des châtiments corporels et/ou des agressions psychologiques de la part de </w:t>
        <w:br/>
        <w:t>soignants au cours du mois dernier</w:t>
        <w:br/>
        <w:t>Cible 16.2 : Mettre fin aux abus, à l'exploitation, à la traite et à toutes les formes de violence et de torture contre les enfants</w:t>
        <w:br/>
        <w:t xml:space="preserve">Objectif 16 : Promouvoir des sociétés pacifiques et inclusives pour le développement durable, assurer l’accès de tous à la justice et construire des institutions efficaces et responsables. </w:t>
        <w:br/>
        <w:t>et des institutions inclusives à tous les niveaux</w:t>
        <w:br/>
        <w:t>Définition :</w:t>
        <w:br/>
        <w:t xml:space="preserve">Cet indicateur est défini comme le pourcentage d'enfants âgés de 1 à 17 ans qui ont subi des châtiments corporels ou des agressions psychologiques ou </w:t>
        <w:br/>
        <w:t xml:space="preserve">tous deux par les soignants au cours du mois dernier. </w:t>
        <w:br/>
        <w:t>Concepts :</w:t>
        <w:br/>
        <w:t xml:space="preserve">L'agression psychologique fait référence aux actions consistant à crier, à crier ou à crier après un enfant, et à le traiter de noms offensants tels que « idiot » ou « idiot ». </w:t>
        <w:br/>
        <w:t xml:space="preserve">« paresseux ». </w:t>
        <w:br/>
        <w:t xml:space="preserve">Les châtiments physiques ou corporels sont des actions destinées à provoquer une douleur ou un inconfort physique, mais pas des blessures. Ils comprennent : secouer l'enfant, </w:t>
        <w:br/>
        <w:t xml:space="preserve">frapper ou gifler la main/le bras/la jambe, frapper les fesses ou ailleurs sur le corps avec un objet dur, donner la fessée ou frapper les fesses avec </w:t>
        <w:br/>
        <w:t xml:space="preserve">mains nues, coups ou gifles au visage, à la tête ou aux oreilles, et coups violents et répétés.  </w:t>
        <w:br/>
        <w:t>Justification et interprétation :</w:t>
        <w:br/>
        <w:t xml:space="preserve">Le recours à des techniques de discipline violentes (physiques ou verbales) constitue une violation des droits de l’enfant et peut entraîner des effets immédiats et à long terme. </w:t>
        <w:br/>
        <w:t xml:space="preserve">conséquences que les enfants subissent jusqu’à l’âge adulte. Il s’agit du type de violence contre les enfants le plus répandu et socialement accepté.  </w:t>
        <w:br/>
        <w:t xml:space="preserve">Les données pour cet indicateur sont collectées par le biais d'enquêtes auprès des ménages représentatives au niveau national qui comprennent un module sur la violence contre les enfants qui </w:t>
        <w:br/>
        <w:t xml:space="preserve">sont menées par les bureaux nationaux de statistique. Enquêtes auprès des ménages coordonnées au niveau international telles que l'Enquête en grappes à indicateurs multiples (MICS) </w:t>
        <w:br/>
        <w:t>et l'Enquête démographique et de santé (EDS) collecte également ces données dans les pays à revenu faible et intermédiaire.</w:t>
      </w:r>
    </w:p>
    <w:p>
      <w:pPr>
        <w:pStyle w:val="Heading2"/>
      </w:pPr>
      <w:r>
        <w:t>Page 328</w:t>
      </w:r>
    </w:p>
    <w:p>
      <w:r>
        <w:t>Texte d'en-tête</w:t>
        <w:br/>
        <w:t>Texte de pied de page</w:t>
        <w:br/>
        <w:t>Désagrégation des données</w:t>
        <w:br/>
        <w:t>Références</w:t>
        <w:br/>
        <w:t>Organisation(s) internationale(s) de surveillance mondiale</w:t>
        <w:br/>
        <w:t>Méthode de calcul :</w:t>
        <w:br/>
        <w:t xml:space="preserve">Le pourcentage d'enfants âgés de 1 à 17 ans qui ont subi des châtiments corporels ou des agressions psychologiques ou les deux de la part des tuteurs dans le </w:t>
        <w:br/>
        <w:t>le mois dernier est calculé comme : (P )CV</w:t>
        <w:br/>
        <w:t>où,</w:t>
        <w:br/>
        <w:t xml:space="preserve">Nvio est le nombre d'enfants âgés de 1 à 17 ans qui ont subi une agression physique et/ou psychologique de la part des soignants au cours du mois écoulé ; </w:t>
        <w:br/>
        <w:t>et</w:t>
        <w:br/>
        <w:t xml:space="preserve">Ntotal est le nombre total d'enfants âgés de 1 à 17 ans. </w:t>
        <w:br/>
        <w:t>Commentaires et limites :</w:t>
        <w:br/>
        <w:t xml:space="preserve">La version Parent-Enfant de la Conflict Tactics Scale (CTSPC) est un outil de mesure standardisé et validé qui est largement accepté et </w:t>
        <w:br/>
        <w:t xml:space="preserve">mis en œuvre, pour évaluer la violence contre les enfants. </w:t>
        <w:br/>
        <w:t xml:space="preserve">Commentaire général n° L’article 13 de la Convention relative aux droits de l’enfant (CRC) fournit une définition des châtiments « corporels/physiques » ainsi que des </w:t>
        <w:br/>
        <w:t xml:space="preserve">« violences mentales ». </w:t>
        <w:br/>
        <w:t>Indicateurs proxy, alternatifs et complémentaires :</w:t>
        <w:br/>
        <w:t xml:space="preserve">Au niveau mondial, cet indicateur est actuellement mesuré par la proportion d'enfants âgés de 1 à 14 ans ayant subi des problèmes physiques. </w:t>
        <w:br/>
        <w:t>punition et/ou agression psychologique de la part des soignants au cours du mois dernier.</w:t>
        <w:br/>
        <w:t xml:space="preserve">L’indicateur peut être ventilé par sexe, âge, revenu, lieu de résidence (rural/urbain) et situation géographique. En plus de ces normes </w:t>
        <w:br/>
        <w:t xml:space="preserve">niveaux de désagrégation, cet indicateur peut être utilement désagrégé dans certaines enquêtes selon le niveau d’éducation de la mère, l’origine ethnique, la religion, le nombre d’enfants. </w:t>
        <w:br/>
        <w:t>difficulté fonctionnelle et difficultés fonctionnelles de la mère.</w:t>
        <w:br/>
        <w:t>URL officielle des métadonnées ODD</w:t>
        <w:br/>
        <w:t xml:space="preserve">https://unstats.un.org/sdgs/metadata/files/Metadata-16-02-01.pdf  </w:t>
        <w:br/>
        <w:t>Méthodologie reconnue au niveau international et URL des lignes directrices</w:t>
        <w:br/>
        <w:t>Pour plus d'informations sur le calcul de l'indicateur et pour accéder aux modules MICS sur la discipline des enfants, voir : https://data.unicef.org/topic/child-protection</w:t>
        <w:br/>
        <w:t>/violence/discipline-violente/</w:t>
        <w:br/>
        <w:t>Autres références</w:t>
        <w:br/>
        <w:t>Notes d'information de l'UNICEF sur les indicateurs des ODD :</w:t>
        <w:br/>
        <w:t>UNICEF. Disponible sur Notes d’information sur les indicateurs mondiaux des ODD liés aux enfants. https://data.unicef.org/resources/sdg-global-indicators-rated-</w:t>
        <w:br/>
        <w:t>aux-enfants/</w:t>
        <w:br/>
        <w:t>Références supplémentaires :</w:t>
        <w:br/>
        <w:t>UNICEF. Site Internet : Données : Suivi de la situation des enfants et des femmes. https://data.unicef.org/topic/child-protection/violence/violent-</w:t>
        <w:br/>
        <w:t xml:space="preserve"> discipline/</w:t>
        <w:br/>
        <w:t>Exemples de pays</w:t>
        <w:br/>
        <w:t>N/D</w:t>
        <w:br/>
        <w:t>Ce document a été préparé sur la base des contributions du Fonds des Nations Unies pour l’enfance (UNICEF).</w:t>
        <w:br/>
        <w:t>Pour obtenir des informations sur les points focaux pour cet indicateur, veuillez visiter https://unstats.un.org/sdgs/dataContacts/</w:t>
      </w:r>
    </w:p>
    <w:p>
      <w:pPr>
        <w:pStyle w:val="Heading2"/>
      </w:pPr>
      <w:r>
        <w:t>Page 329</w:t>
      </w:r>
    </w:p>
    <w:p>
      <w:r>
        <w:t>Texte d'en-tête</w:t>
        <w:br/>
        <w:t>Texte de pied de page</w:t>
        <w:br/>
        <w:t>Indicateur 16.2.3</w:t>
        <w:br/>
        <w:t>Page d'accueil du manuel électronique</w:t>
        <w:br/>
        <w:t xml:space="preserve"> </w:t>
        <w:br/>
        <w:t>Nom de l’indicateur, cible et objectif</w:t>
        <w:br/>
        <w:t>Définition et justification</w:t>
        <w:br/>
        <w:t>Sources de données et méthode de collecte</w:t>
        <w:br/>
        <w:t>Contenu</w:t>
        <w:br/>
        <w:t>Nom de l’indicateur, cible et objectif</w:t>
        <w:br/>
        <w:t>Définition et justification</w:t>
        <w:br/>
        <w:t>Sources de données et méthode de collecte</w:t>
        <w:br/>
        <w:t>Méthode de calcul et autres considérations méthodologiques</w:t>
        <w:br/>
        <w:t>Désagrégation des données</w:t>
        <w:br/>
        <w:t>Références</w:t>
        <w:br/>
        <w:t>Organisation(s) internationale(s) de surveillance mondiale</w:t>
        <w:br/>
        <w:t xml:space="preserve"> Indicateur 16.2.3 : Proportion de jeunes femmes et hommes âgés de 18 à 29 ans ayant subi des violences sexuelles avant l'âge de 18 ans</w:t>
        <w:br/>
        <w:t xml:space="preserve">Cible 16.2 : Mettre fin aux abus, à l'exploitation, à la traite et à toutes les formes de violence et de torture contre les enfants </w:t>
        <w:br/>
        <w:t xml:space="preserve">Objectif 16 : Promouvoir des sociétés pacifiques et inclusives pour le développement durable, assurer l’accès de tous à la justice et construire des institutions efficaces et responsables. </w:t>
        <w:br/>
        <w:t>et des institutions inclusives à tous les niveaux</w:t>
        <w:br/>
        <w:t>Définition :</w:t>
        <w:br/>
        <w:t xml:space="preserve">Cet indicateur est défini comme le pourcentage de jeunes femmes et hommes (âgés de 18 à 29 ans) qui ont été victimes de violences sexuelles avant l'âge de 18 ans. </w:t>
        <w:br/>
        <w:t xml:space="preserve">L’indicateur est toujours présenté séparément pour les femmes et les hommes. </w:t>
        <w:br/>
        <w:t>Concepts :</w:t>
        <w:br/>
        <w:t>Selon l'Observation générale no. 13 de la Convention relative aux droits de l'enfant (CDE), comprend toute violence sexuelle contre les enfants</w:t>
        <w:br/>
        <w:t>activités sexuelles imposées par un adulte à un enfant contre lesquelles l'enfant a droit à une protection pénale. Cela comprend :</w:t>
        <w:br/>
        <w:t>(1) L’incitation ou la contrainte d’un enfant à se livrer à toute activité sexuelle illégale ou psychologiquement préjudiciable ;</w:t>
        <w:br/>
        <w:t>(2) L’utilisation d’enfants à des fins d’exploitation sexuelle à des fins commerciales ;</w:t>
        <w:br/>
        <w:t>(3) L'utilisation d'enfants dans des images audio ou visuelles d'abus sexuels sur des enfants ; et</w:t>
        <w:br/>
        <w:t xml:space="preserve">(4) Prostitution des enfants, esclavage sexuel, exploitation sexuelle dans le cadre des voyages et du tourisme, traite à des fins d'exploitation sexuelle (au sein et entre </w:t>
        <w:br/>
        <w:t xml:space="preserve">pays), la vente d’enfants à des fins sexuelles et le mariage forcé. </w:t>
        <w:br/>
        <w:t xml:space="preserve">Les activités sexuelles sont également considérées comme des abus lorsqu'elles sont commises sur un enfant par un autre enfant si l'agresseur est nettement plus âgé que la victime. </w:t>
        <w:br/>
        <w:t xml:space="preserve">ou utilise le pouvoir, la menace ou d’autres moyens de pression. Les activités sexuelles consensuelles entre enfants ne sont pas considérées comme des abus sexuels si le </w:t>
        <w:br/>
        <w:t xml:space="preserve">les enfants sont plus âgés que la limite d’âge définie par l’État partie. </w:t>
        <w:br/>
        <w:t xml:space="preserve">La « violence sexuelle » est définie opérationnellement dans l’indicateur comme un rapport sexuel ou tout autre acte sexuel forcé, physiquement ou de quelque manière que ce soit. </w:t>
        <w:br/>
        <w:t xml:space="preserve">d'une autre manière. </w:t>
        <w:br/>
        <w:t>Justification et interprétation :</w:t>
        <w:br/>
        <w:t xml:space="preserve">Les expériences de violence sexuelle pendant l’enfance entravent tous les aspects du développement : physique, psychologique/émotionnel et social. Hormis le </w:t>
        <w:br/>
        <w:t xml:space="preserve">blessures physiques qui peuvent en résulter, les chercheurs ont toujours constaté que les abus sexuels sur les enfants sont associés à un large éventail de troubles mentaux. </w:t>
        <w:br/>
        <w:t xml:space="preserve">conséquences sur la santé et conséquences comportementales indésirables à l’âge adulte. La question est universellement pertinente et l’indicateur reflète l’un des </w:t>
        <w:br/>
        <w:t xml:space="preserve">formes de violence les plus graves contre les enfants. Le droit des enfants à la protection contre toutes les formes de violence est énoncé dans la CDE et ses dispositions facultatives. </w:t>
        <w:br/>
        <w:t>Protocoles.</w:t>
      </w:r>
    </w:p>
    <w:p>
      <w:pPr>
        <w:pStyle w:val="Heading2"/>
      </w:pPr>
      <w:r>
        <w:t>Page 330</w:t>
      </w:r>
    </w:p>
    <w:p>
      <w:r>
        <w:t>Texte d'en-tête</w:t>
        <w:br/>
        <w:t>Texte de pied de page</w:t>
        <w:br/>
        <w:t>Méthode de calcul et autres considérations méthodologiques</w:t>
        <w:br/>
        <w:t>Désagrégation des données</w:t>
        <w:br/>
        <w:t>Références</w:t>
        <w:br/>
        <w:t>Organisation(s) internationale(s) de surveillance mondiale</w:t>
        <w:br/>
        <w:t xml:space="preserve">Les données pour cet indicateur sont collectées par le biais d'enquêtes auprès des ménages représentatives au niveau national qui comprennent un module sur la violence contre les enfants ou </w:t>
        <w:br/>
        <w:t xml:space="preserve">la violence contre les femmes et les hommes qui sont menées par les bureaux nationaux de statistique. Des enquêtes auprès des ménages coordonnées au niveau international telles que </w:t>
        <w:br/>
        <w:t xml:space="preserve">Les enquêtes démographiques et de santé (EDS) collectent également ces données dans les pays à revenu faible et intermédiaire. </w:t>
        <w:br/>
        <w:t xml:space="preserve">Il est crucial que les principes fondamentaux soient suivis pour la collecte éthique de données solides lors de la conduite de recherches sur la violence. Clé </w:t>
        <w:br/>
        <w:t xml:space="preserve">les considérations incluent la garantie que les questions sont posées d’une manière suffisamment délicate ; obtenir un consentement éclairé ; protéger les répondants </w:t>
        <w:br/>
        <w:t xml:space="preserve">d'un danger inutile ou d'un risque de nouveau traumatisme ; maintenir la confidentialité ; et instituer des procédures claires pour fournir un soutien de suivi </w:t>
        <w:br/>
        <w:t xml:space="preserve">pour les répondants. L'UNICEF élabore actuellement un ensemble de directives méthodologiques et éthiques pour la collecte de données sur la violence contre </w:t>
        <w:br/>
        <w:t xml:space="preserve">les enfants. </w:t>
        <w:br/>
        <w:t>Méthode de calcul :</w:t>
        <w:br/>
        <w:t>Le pourcentage de jeunes hommes et femmes (âgés de 18 à 29 ans) ayant subi des violences sexuelles avant l'âge de 18 ans peut être calculé comme : (P ) CSV</w:t>
        <w:br/>
        <w:t>où,</w:t>
        <w:br/>
        <w:t>NCSV est le nombre de jeunes femmes et hommes (âgés de 18 à 29 ans) qui déclarent avoir subi des violences sexuelles avant l'âge de 18 ans ; et</w:t>
        <w:br/>
        <w:t xml:space="preserve">Ntotal est le nombre total de jeunes femmes et hommes âgés de 18 à 29 ans. </w:t>
        <w:br/>
        <w:t>Commentaires et limites :</w:t>
        <w:br/>
        <w:t xml:space="preserve">La comparabilité des données pour cet indicateur reste un défi en raison des différentes méthodologies et conceptions d'étude, des définitions de la violence sexuelle et des différences. </w:t>
        <w:br/>
        <w:t xml:space="preserve">bases de sondage et questionnaires. </w:t>
        <w:br/>
        <w:t xml:space="preserve">Un autre défi est la sous-déclaration des expériences de violence sexuelle dans l'enfance, en particulier lorsqu'il s'agit de rendre compte des expériences de </w:t>
        <w:br/>
        <w:t xml:space="preserve">violence sexuelle chez les garçons et les hommes. </w:t>
        <w:br/>
        <w:t>Indicateurs proxy, alternatifs et supplémentaires N/A</w:t>
        <w:br/>
        <w:t xml:space="preserve">Cet indicateur peut être ventilé par sexe, âge, revenu, lieu de résidence (rural/urbain), situation géographique, état civil et éducation. </w:t>
        <w:br/>
        <w:t>URL officielle des métadonnées ODD</w:t>
        <w:br/>
        <w:t xml:space="preserve">https://unstats.un.org/sdgs/metadata/files/Metadata-16-02-03.pdf  </w:t>
        <w:br/>
        <w:t>Méthodologie reconnue au niveau international et URL des lignes directrices</w:t>
        <w:br/>
        <w:t>Module DHS sur la violence domestique : https://dhsprogram.com/pubs/pdf/DHSQMP/domestic_violence_module.pdf.pdf</w:t>
        <w:br/>
        <w:t>Autres références</w:t>
        <w:br/>
        <w:t>Notes d'information de l'UNICEF sur les indicateurs des ODD :</w:t>
        <w:br/>
        <w:t>UNICEF. Disponible sur Notes d’information sur les indicateurs mondiaux des ODD liés aux enfants. https://data.unicef.org/resources/sdg-global-indicators-rated-</w:t>
        <w:br/>
        <w:t>aux-enfants/</w:t>
        <w:br/>
        <w:t>Références supplémentaires :</w:t>
        <w:br/>
        <w:t>UNICEF. New York. Site Internet : Données : Suivi de la situation des enfants et des femmes. https://data.unicef.org/topic/child-protection/violence</w:t>
        <w:br/>
        <w:t xml:space="preserve"> /violence-sexuelle/</w:t>
        <w:br/>
        <w:t xml:space="preserve">Exemples de pays </w:t>
        <w:br/>
        <w:t>N/D</w:t>
      </w:r>
    </w:p>
    <w:p>
      <w:pPr>
        <w:pStyle w:val="Heading2"/>
      </w:pPr>
      <w:r>
        <w:t>Page 331</w:t>
      </w:r>
    </w:p>
    <w:p>
      <w:r>
        <w:t>Texte d'en-tête</w:t>
        <w:br/>
        <w:t>Texte de pied de page</w:t>
        <w:br/>
        <w:t>Ce document a été préparé sur la base des contributions du Fonds des Nations Unies pour l’enfance (UNICEF).</w:t>
        <w:br/>
        <w:t>Pour obtenir des informations sur les points focaux pour cet indicateur, veuillez visiter https://unstats.un.org/sdgs/dataContacts/</w:t>
      </w:r>
    </w:p>
    <w:p>
      <w:pPr>
        <w:pStyle w:val="Heading2"/>
      </w:pPr>
      <w:r>
        <w:t>Page 332</w:t>
      </w:r>
    </w:p>
    <w:p>
      <w:r>
        <w:t>Texte d'en-tête</w:t>
        <w:br/>
        <w:t>Texte de pied de page</w:t>
        <w:br/>
        <w:t>Indicateur 16.8.1</w:t>
        <w:br/>
        <w:t>Page d'accueil du manuel électronique</w:t>
        <w:br/>
        <w:t xml:space="preserve"> </w:t>
        <w:br/>
        <w:t>Nom de l’indicateur, cible et objectif</w:t>
        <w:br/>
        <w:t>Définition et justification</w:t>
        <w:br/>
        <w:t>Sources de données et méthode de collecte</w:t>
        <w:br/>
        <w:t>Contenu</w:t>
        <w:br/>
        <w:t>Nom de l’indicateur, cible et objectif</w:t>
        <w:br/>
        <w:t>Définition et justification</w:t>
        <w:br/>
        <w:t>Sources de données et méthode de collecte</w:t>
        <w:br/>
        <w:t>Méthode de calcul et autres considérations méthodologiques</w:t>
        <w:br/>
        <w:t>Désagrégation des données</w:t>
        <w:br/>
        <w:t>Références</w:t>
        <w:br/>
        <w:t>Organisation(s) internationale(s) de surveillance mondiale</w:t>
        <w:br/>
        <w:t xml:space="preserve"> Indicateur 16.8.1 : Proportion de membres et droits de vote des pays en développement dans les organisations internationales </w:t>
        <w:br/>
        <w:t>Cible 16.8 : Élargir et renforcer la participation des pays en développement aux institutions de gouvernance mondiale</w:t>
        <w:br/>
        <w:t xml:space="preserve">Objectif 16 : Promouvoir des sociétés pacifiques et inclusives pour le développement durable, assurer l’accès de tous à la justice et construire des institutions efficaces et responsables. </w:t>
        <w:br/>
        <w:t>et des institutions inclusives à tous les niveaux</w:t>
        <w:br/>
        <w:t>Définition :</w:t>
        <w:br/>
        <w:t xml:space="preserve">Cet indicateur global est défini comme le pourcentage de membres (ou de droits de vote) dans des organisations internationales qui sont (ou appartiennent) en développement. </w:t>
        <w:br/>
        <w:t>pays. Pour les institutions dont les membres et les droits de vote sont différents, cet indicateur observe les pourcentages séparément.</w:t>
        <w:br/>
        <w:t>Concepts :</w:t>
        <w:br/>
        <w:t>Les organisations internationales comprennent les onze institutions multilatérales suivantes aux fins de cet indicateur :</w:t>
        <w:br/>
        <w:t>(1)     Assemblée générale des Nations Unies ;</w:t>
        <w:br/>
        <w:t>(2)    Conseil de sécurité de l'ONU ;</w:t>
        <w:br/>
        <w:t>(3)    Conseil économique et social des Nations Unies ;</w:t>
        <w:br/>
        <w:t>(4)    Fonds monétaire international ;</w:t>
        <w:br/>
        <w:t>(5)    Banque internationale pour la reconstruction et le développement ;</w:t>
        <w:br/>
        <w:t>(6)    Société financière internationale ;</w:t>
        <w:br/>
        <w:t>(7)    Banque africaine de développement ;</w:t>
        <w:br/>
        <w:t>(8)    Banque asiatique de développement ;</w:t>
        <w:br/>
        <w:t>(9)    Banque interaméricaine de développement ;</w:t>
        <w:br/>
        <w:t>(10) Organisation mondiale du commerce ; et</w:t>
        <w:br/>
        <w:t xml:space="preserve">(11) Conseil de stabilité financière. </w:t>
        <w:br/>
        <w:t xml:space="preserve">Il n’existe pas de convention établie pour la désignation des dans le système des Nations Unies. Mais, dans la pratique courante, les pays en développement </w:t>
        <w:br/>
        <w:t xml:space="preserve">font référence à tous les autres pays à l'exception du Japon, du Canada, des États-Unis d'Amérique, de l'Australie, de la Nouvelle-Zélande et des pays européens. Le </w:t>
        <w:br/>
        <w:t xml:space="preserve">l'agrégation de toutes les institutions est actuellement effectuée conformément à la norme statistique M.49 des Nations Unies, qui inclut la désignation des </w:t>
        <w:br/>
        <w:t xml:space="preserve">« régions développées » et « régions en développement ». </w:t>
        <w:br/>
        <w:t>Justification et interprétation :</w:t>
        <w:br/>
        <w:t xml:space="preserve">Les Nations Unies reposent sur le principe de l'égalité souveraine de tous ses États membres (article 2 de la Charte des Nations Unies). Cet indicateur vise à mesurer </w:t>
        <w:br/>
        <w:t>le degré auquel les États bénéficient d’une représentation égale dans les différentes organisations internationales.</w:t>
      </w:r>
    </w:p>
    <w:p>
      <w:pPr>
        <w:pStyle w:val="Heading2"/>
      </w:pPr>
      <w:r>
        <w:t>Page 333</w:t>
      </w:r>
    </w:p>
    <w:p>
      <w:r>
        <w:t>Texte d'en-tête</w:t>
        <w:br/>
        <w:t>Texte de pied de page</w:t>
        <w:br/>
        <w:t>Méthode de calcul et autres considérations méthodologiques</w:t>
        <w:br/>
        <w:t>Désagrégation des données</w:t>
        <w:br/>
        <w:t>Références</w:t>
        <w:br/>
        <w:t>Organisation(s) internationale(s) de surveillance mondiale</w:t>
        <w:br/>
        <w:t xml:space="preserve">Les rapports annuels de chacune des organisations internationales sont utilisés comme sources de données. Les informations sur les membres et les droits de vote sont publiées </w:t>
        <w:br/>
        <w:t>chaque année.</w:t>
        <w:br/>
        <w:t>Méthode de calcul :</w:t>
        <w:br/>
        <w:t>La formule suivante est utilisée pour chaque organisation pour calculer le pourcentage de droits de vote des pays en développement : (PV) Dev</w:t>
        <w:br/>
        <w:t xml:space="preserve"> </w:t>
        <w:br/>
        <w:t>La formule suivante est utilisée pour chaque organisation pour calculer le pourcentage de membres issus de pays en développement :(PM )Dev</w:t>
        <w:br/>
        <w:t xml:space="preserve">Les mêmes formules peuvent être utilisées pour calculer le pourcentage de membres pour chaque pays ou le pourcentage de droits de vote pour chaque pays. </w:t>
        <w:br/>
        <w:t xml:space="preserve">pays. </w:t>
        <w:br/>
        <w:t>Commentaires et limites :</w:t>
        <w:br/>
        <w:t xml:space="preserve">En tant qu'indicateur structurel, seuls de légers changements seront observés au fil du temps, reflétant un accord sur l'adhésion de nouveaux États en tant que membres, la suspension </w:t>
        <w:br/>
        <w:t xml:space="preserve">des droits de vote, le retrait des membres et les modifications négociées des droits de vote. Les comparaisons interinstitutionnelles doivent prêter attention aux </w:t>
        <w:br/>
        <w:t xml:space="preserve">différentes appartenances aux intuitions. Les droits de vote et l'adhésion à leurs institutions sont convenus par les États membres eux-mêmes. </w:t>
        <w:br/>
        <w:t>Indicateurs proxy, alternatifs et supplémentaires : N/A</w:t>
        <w:br/>
        <w:t>Comme seuls les États peuvent en être membres, il n’y a pas de ventilation par sexe, genre, âge, handicap, etc.</w:t>
        <w:br/>
        <w:t>URL officielle des métadonnées ODD</w:t>
        <w:br/>
        <w:t xml:space="preserve">https://unstats.un.org/sdgs/metadata/files/Metadata-10-06-01.pdf  </w:t>
        <w:br/>
        <w:t>Autres références</w:t>
        <w:br/>
        <w:t xml:space="preserve">https://developmentfinance.un.org/strengthening-global-governance </w:t>
        <w:br/>
        <w:t>Ce document a été préparé sur la base des contributions du Bureau de financement du développement durable, DESA.</w:t>
        <w:br/>
        <w:t>Pour obtenir des informations sur les points focaux pour cet indicateur, veuillez visiter https://unstats.un.org/sdgs/dataContacts/</w:t>
      </w:r>
    </w:p>
    <w:p>
      <w:pPr>
        <w:pStyle w:val="Heading2"/>
      </w:pPr>
      <w:r>
        <w:t>Page 334</w:t>
      </w:r>
    </w:p>
    <w:p>
      <w:r>
        <w:t>Texte d'en-tête</w:t>
        <w:br/>
        <w:t>Texte de pied de page</w:t>
        <w:br/>
        <w:t>Indicateur 16.9.1</w:t>
        <w:br/>
        <w:t>Page d'accueil du manuel électronique</w:t>
        <w:br/>
        <w:t xml:space="preserve"> </w:t>
        <w:br/>
        <w:t>Nom de l’indicateur, cible et objectif</w:t>
        <w:br/>
        <w:t>Définition et justification</w:t>
        <w:br/>
        <w:t>Sources de données et méthode de collecte</w:t>
        <w:br/>
        <w:t>Méthode de calcul et autres considérations méthodologiques</w:t>
        <w:br/>
        <w:t>Contenu</w:t>
        <w:br/>
        <w:t>Nom de l’indicateur, cible et objectif</w:t>
        <w:br/>
        <w:t>Définition et justification</w:t>
        <w:br/>
        <w:t>Sources de données et méthode de collecte</w:t>
        <w:br/>
        <w:t>Méthode de calcul et autres considérations méthodologiques</w:t>
        <w:br/>
        <w:t>Désagrégation des données</w:t>
        <w:br/>
        <w:t>Références</w:t>
        <w:br/>
        <w:t>Organisation(s) internationale(s) de surveillance mondiale</w:t>
        <w:br/>
        <w:t xml:space="preserve"> Indicateur 16.9.1 : Proportion d'enfants de moins de 5 ans dont la naissance a été enregistrée auprès d'une autorité civile, par âge</w:t>
        <w:br/>
        <w:t>Cible 16.9 : D’ici 2030, garantir à tous une identité juridique, y compris l’enregistrement des naissances</w:t>
        <w:br/>
        <w:t xml:space="preserve">Objectif 16 : Promouvoir des sociétés pacifiques et inclusives pour le développement durable, assurer l’accès de tous à la justice et construire des institutions efficaces et responsables. </w:t>
        <w:br/>
        <w:t>et des institutions inclusives à tous les niveaux</w:t>
        <w:br/>
        <w:t>Définition :</w:t>
        <w:br/>
        <w:t xml:space="preserve">Cet indicateur est défini comme le pourcentage d'enfants de moins de 5 ans dont la naissance a été enregistrée auprès d'une autorité civile. </w:t>
        <w:br/>
        <w:t>Concepts :</w:t>
        <w:br/>
        <w:t xml:space="preserve">Enregistrement des naissances : L’enregistrement des naissances est défini comme « l’enregistrement continu, permanent et universel, au sein de l’état civil, de la survenance </w:t>
        <w:br/>
        <w:t xml:space="preserve">et les caractéristiques des naissances conformément aux exigences légales d’un pays ». </w:t>
        <w:br/>
        <w:t xml:space="preserve">Autorité civile : Fonctionnaire autorisé à enregistrer la survenance d'un fait d'état civil et à enregistrer les détails requis. </w:t>
        <w:br/>
        <w:t>Justification et interprétation :</w:t>
        <w:br/>
        <w:t xml:space="preserve">L'enregistrement des enfants à la naissance est la première étape pour garantir leur reconnaissance devant la loi, sauvegarder leurs droits et garantir toute violation des droits de l'enfant. </w:t>
        <w:br/>
        <w:t xml:space="preserve">leurs droits ne passent pas inaperçus. Le droit des enfants à un nom et à une nationalité est inscrit dans la Convention relative aux droits de l’enfant (CRC). </w:t>
        <w:br/>
        <w:t xml:space="preserve">en vertu de l'article 7. L'enregistrement des naissances est l'un des fondements de l'identité juridique qui garantit l'accès aux services de base tels que les soins de santé et </w:t>
        <w:br/>
        <w:t>l'éducation. Il fournit également une base légale pour l'âge. Cet indicateur est donc une mesure directe des progrès réalisés par rapport à la cible 16.9.</w:t>
        <w:br/>
        <w:t xml:space="preserve">Les systèmes d'état civil qui fonctionnent efficacement compilent des statistiques d'état civil qui sont utilisées pour comparer le nombre total estimé de naissances dans un pays donné. </w:t>
        <w:br/>
        <w:t xml:space="preserve">pays avec le nombre absolu de naissances enregistrées au cours d’une période donnée. Ces données se réfèrent normalement aux naissances vivantes enregistrées dans un </w:t>
        <w:br/>
        <w:t>année ou le délai légal d’immatriculation applicable dans le pays.</w:t>
        <w:br/>
        <w:t xml:space="preserve">Dans les cas où les systèmes d'état civil ne sont pas disponibles ou ne fonctionnent pas efficacement, des enquêtes auprès des ménages représentatives au niveau national qui collectent </w:t>
        <w:br/>
        <w:t xml:space="preserve">les données sur l’enregistrement des naissances peuvent fournir des données sur cet indicateur. Enquêtes auprès des ménages coordonnées au niveau international telles que le Multiple Indicator Cluster </w:t>
        <w:br/>
        <w:t>Les enquêtes démographiques et de santé (MICS) et les enquêtes démographiques et de santé (EDS) collectent également des données sur cet indicateur.</w:t>
      </w:r>
    </w:p>
    <w:p>
      <w:pPr>
        <w:pStyle w:val="Heading2"/>
      </w:pPr>
      <w:r>
        <w:t>Page 335</w:t>
      </w:r>
    </w:p>
    <w:p>
      <w:r>
        <w:t>Texte d'en-tête</w:t>
        <w:br/>
        <w:t>Texte de pied de page</w:t>
        <w:br/>
        <w:t>Désagrégation des données</w:t>
        <w:br/>
        <w:t>Références</w:t>
        <w:br/>
        <w:t>Organisation(s) internationale(s) de surveillance mondiale</w:t>
        <w:br/>
        <w:t>Méthode de calcul :</w:t>
        <w:br/>
        <w:t>Le pourcentage d'enfants de moins de 5 ans dont la naissance a été enregistrée auprès d'une autorité civile peut être calculé comme : (P )reg</w:t>
        <w:br/>
        <w:t xml:space="preserve">Commentaires et limites : </w:t>
        <w:br/>
        <w:t xml:space="preserve">Cet indicateur devrait idéalement être calculé à partir des statistiques de l’état civil obtenues à partir des systèmes d’état civil. Toutefois, cela reste un défi dans </w:t>
        <w:br/>
        <w:t xml:space="preserve">de nombreux pays en raison du manque de systèmes fonctionnels ; en outre, les données obtenues à partir du CRVS diffèrent légèrement de l'indicateur ODD car elles sont généralement </w:t>
        <w:br/>
        <w:t xml:space="preserve">fait référence à la proportion de naissances enregistrées (dans un délai précis). En conséquence, les enquêtes auprès des ménages sont devenues un élément clé </w:t>
        <w:br/>
        <w:t xml:space="preserve">source de données pour surveiller les niveaux et les tendances de l’enregistrement des naissances dans de nombreux pays à revenu faible ou intermédiaire. </w:t>
        <w:br/>
        <w:t>Indicateurs proxy, alternatifs et supplémentaires : N/A</w:t>
        <w:br/>
        <w:t xml:space="preserve">Une ventilation par âge est nécessaire pour cet indicateur. Il peut également être ventilé par sexe, revenu, lieu de résidence (rural/urbain) et zone géographique. </w:t>
        <w:br/>
        <w:t xml:space="preserve">emplacement. En plus de ces niveaux standards de ventilation, cet indicateur peut être utilement désagrégé dans certaines enquêtes selon le niveau d’éducation de la mère. </w:t>
        <w:br/>
        <w:t xml:space="preserve">éducation, origine ethnique, religion, difficultés fonctionnelles de l’enfant et difficultés fonctionnelles de la mère. Il y a généralement plus de possibilités de désagréger l'enquête </w:t>
        <w:br/>
        <w:t>données par opposition aux statistiques dérivées des systèmes d’état civil.</w:t>
        <w:br/>
        <w:t>URL officielle des métadonnées ODD</w:t>
        <w:br/>
        <w:t xml:space="preserve">https://unstats.un.org/sdgs/metadata/files/Metadata-16-09-01.pdf  </w:t>
        <w:br/>
        <w:t>Méthodologie reconnue au niveau international et URL des lignes directrices</w:t>
        <w:br/>
        <w:t>Pour plus d'informations sur le calcul de l'indicateur et pour accéder au module MICS sur l'enregistrement des naissances, voir : https://data.unicef.org/topic/child-protection</w:t>
        <w:br/>
        <w:t xml:space="preserve"> /enregistrement-des-naissances/</w:t>
        <w:br/>
        <w:t>Autres références</w:t>
        <w:br/>
        <w:t>Notes d'information de l'UNICEF sur les indicateurs des ODD :</w:t>
        <w:br/>
        <w:t>UNICEF. Disponible sur Notes d’information sur les indicateurs mondiaux des ODD liés aux enfants. https://data.unicef.org/resources/sdg-global-indicators-rated-</w:t>
        <w:br/>
        <w:t>aux-enfants/</w:t>
        <w:br/>
        <w:t>:Références supplémentaires</w:t>
        <w:br/>
        <w:t>UNICEF. Site Internet : Données : Suivi de la situation des enfants et des femmes. http://data.unicef.org/topic/child-protection/birth-registration/</w:t>
        <w:br/>
        <w:t xml:space="preserve">Exemples de pays </w:t>
        <w:br/>
        <w:t>N/D</w:t>
        <w:br/>
        <w:t>Ce document a été préparé sur la base des contributions du Fonds des Nations Unies pour l’enfance (UNICEF).</w:t>
        <w:br/>
        <w:t>Pour obtenir des informations sur les points focaux pour cet indicateur, veuillez visiter https://unstats.un.org/sdgs/dataContacts/</w:t>
      </w:r>
    </w:p>
    <w:p>
      <w:pPr>
        <w:pStyle w:val="Heading2"/>
      </w:pPr>
      <w:r>
        <w:t>Page 336</w:t>
      </w:r>
    </w:p>
    <w:p>
      <w:r>
        <w:t>Texte d'en-tête</w:t>
        <w:br/>
        <w:t>Texte de pied de page</w:t>
        <w:br/>
        <w:t>Indicateur 16.a.1</w:t>
        <w:br/>
        <w:t>Page d'accueil du manuel électronique</w:t>
        <w:br/>
        <w:t xml:space="preserve"> </w:t>
        <w:br/>
        <w:t>Nom de l’indicateur, cible et objectif</w:t>
        <w:br/>
        <w:t>Définition et justification</w:t>
        <w:br/>
        <w:t>Sources de données et méthode de collecte</w:t>
        <w:br/>
        <w:t>Méthode de calcul et autres considérations méthodologiques</w:t>
        <w:br/>
        <w:t>Contenu</w:t>
        <w:br/>
        <w:t>Nom de l’indicateur, cible et objectif</w:t>
        <w:br/>
        <w:t>Définition et justification</w:t>
        <w:br/>
        <w:t>Sources de données et méthode de collecte</w:t>
        <w:br/>
        <w:t>Méthode de calcul et autres considérations méthodologiques</w:t>
        <w:br/>
        <w:t>Désagrégation des données</w:t>
        <w:br/>
        <w:t>Références</w:t>
        <w:br/>
        <w:t>Organisation(s) internationale(s) de surveillance mondiale</w:t>
        <w:br/>
        <w:t xml:space="preserve"> Indicateur 16.a.1 : Existence d'institutions nationales indépendantes des droits de l'homme, conformes aux Principes de Paris</w:t>
        <w:br/>
        <w:t xml:space="preserve">Cible 16.a : Renforcer les institutions nationales compétentes, notamment grâce à la coopération internationale, pour renforcer les capacités à tous les niveaux, en particulier dans </w:t>
        <w:br/>
        <w:t>pays en développement, pour prévenir la violence et combattre le terrorisme et la criminalité</w:t>
        <w:br/>
        <w:t xml:space="preserve">Objectif 16 : Promouvoir des sociétés pacifiques et inclusives pour le développement durable, assurer l’accès de tous à la justice et construire des institutions efficaces et responsables. </w:t>
        <w:br/>
        <w:t>et des institutions inclusives à tous les niveaux</w:t>
        <w:br/>
        <w:t>Définition :</w:t>
        <w:br/>
        <w:t xml:space="preserve">Cet indicateur évalue l'existence d'institutions nationales indépendantes des droits de l'homme au regard des Principes relatifs au statut des institutions nationales des droits de l'homme. </w:t>
        <w:br/>
        <w:t xml:space="preserve">Institutions (Principes de Paris), qui ont été adoptés par l'Assemblée générale (résolution 48/134) sur la base du règlement intérieur de la </w:t>
        <w:br/>
        <w:t xml:space="preserve">Alliance mondiale des institutions nationales des droits de l'homme (GANHRI, anciennement Comité international de coordination des institutions nationales pour la </w:t>
        <w:br/>
        <w:t xml:space="preserve">Promotion et Protection des Droits de l'Homme ou CPI). </w:t>
        <w:br/>
        <w:t>Concepts :</w:t>
        <w:br/>
        <w:t xml:space="preserve">Une (INDH) est un organe administratif indépendant créé par un pays doté d'un mandat constitutionnel ou législatif. Institution nationale des droits de l'homme.  </w:t>
        <w:br/>
        <w:t xml:space="preserve">promouvoir et protéger les droits de l’homme. Ils font partie de l'administration nationale mais fonctionnent indépendamment du gouvernement. Le général </w:t>
        <w:br/>
        <w:t xml:space="preserve">Le rôle des INDH est de lutter contre la discrimination sous toutes ses formes, ainsi que de promouvoir la protection des droits civils, politiques, économiques, sociaux et culturels. </w:t>
        <w:br/>
        <w:t xml:space="preserve">droits. Les fonctions principales des INDH comprennent le traitement des plaintes, l'éducation aux droits de l'homme et la formulation de recommandations sur la réforme du droit. Un </w:t>
        <w:br/>
        <w:t xml:space="preserve">L’INDH indépendante est accréditée « niveau A » selon les Principes de Paris. </w:t>
        <w:br/>
        <w:t>Les Principes de Paris ont été adoptés par l'Assemblée générale des Nations Unies dans la résolution 48/134 du 20 décembre 1993 et fournissent à la communauté internationale</w:t>
        <w:br/>
        <w:t xml:space="preserve">normes sur le fonctionnement indépendant des INDH. Ces normes servent de base sur laquelle les INDH sont accréditées par l'Alliance mondiale des </w:t>
        <w:br/>
        <w:t>Institutions nationales des droits de l'homme (GANHRI). Pour plus d'informations, voir : http://www.ohchr.org/EN/ProfessionalInterest/Pages</w:t>
        <w:br/>
        <w:t xml:space="preserve"> /StatusOfNationalInstitutions.aspx</w:t>
        <w:br/>
        <w:t xml:space="preserve">GANHRI est l'association internationale des INDH qui promeut et renforce les INDH pour qu'elles soient conformes aux Principes de Paris et </w:t>
        <w:br/>
        <w:t xml:space="preserve">assure un leadership dans la promotion et la protection des droits de l’homme (Statut de la CPI, art. 5). </w:t>
        <w:br/>
        <w:t xml:space="preserve">L'accréditation par la GANHRI implique de déterminer si les INDH sont conformes, tant en droit qu'en pratique, aux principes de Paris. Le processus est </w:t>
        <w:br/>
        <w:t xml:space="preserve">menée par le Sous-comité d’accréditation (SCA) de la GANHRI. </w:t>
        <w:br/>
        <w:t>Justification et interprétation :</w:t>
        <w:br/>
        <w:t xml:space="preserve">L'accréditation des INDH montre que le gouvernement est fermement engagé à réaliser les droits de l'homme dans le pays. Des INDH efficaces sont un </w:t>
        <w:br/>
        <w:t xml:space="preserve">lien important entre le gouvernement et la société civile. Ils contribuent de manière significative à combler le « fossé de protection » entre les droits humains des </w:t>
        <w:br/>
        <w:t xml:space="preserve">les individus et les obligations de l’État en vertu du droit international. Il existe aujourd’hui six modèles d’INDH dans toutes les régions du monde, à savoir : </w:t>
        <w:br/>
        <w:t xml:space="preserve">commissions des droits de l'homme, institutions de médiation pour les droits de l'homme, institutions hybrides, organes consultatifs et consultatifs, instituts et centres et </w:t>
        <w:br/>
        <w:t xml:space="preserve">plusieurs établissements. Cet indicateur indique si l'un de ces modèles existe dans un pays et fonctionne de manière indépendante pour protéger et </w:t>
        <w:br/>
        <w:t xml:space="preserve">promouvoir les droits de l’homme, notamment en prévenant et en réparant leurs violations. </w:t>
        <w:br/>
        <w:t>Les données pour cet indicateur sont collectées à partir des dossiers administratifs de la GANHRI sur le statut d'accréditation de toutes les INDH.</w:t>
      </w:r>
    </w:p>
    <w:p>
      <w:pPr>
        <w:pStyle w:val="Heading2"/>
      </w:pPr>
      <w:r>
        <w:t>Page 337</w:t>
      </w:r>
    </w:p>
    <w:p>
      <w:r>
        <w:t>Texte d'en-tête</w:t>
        <w:br/>
        <w:t>Texte de pied de page</w:t>
        <w:br/>
        <w:t>Désagrégation des données</w:t>
        <w:br/>
        <w:t>Références</w:t>
        <w:br/>
        <w:t>Organisation(s) internationale(s) de surveillance mondiale</w:t>
        <w:br/>
        <w:t>Méthode de calcul :</w:t>
        <w:br/>
        <w:t>Cet indicateur est basé sur le niveau d’accréditation des INDH par le SCA du GAHNRI. Les niveaux d'accréditation sont les suivants :</w:t>
        <w:br/>
        <w:t>(1)    A : Conformité totale aux Principes de Paris ;</w:t>
        <w:br/>
        <w:t>(2)    B : pas entièrement conforme aux Principes de Paris ou informations fournies insuffisantes pour prendre une décision ; et</w:t>
        <w:br/>
        <w:t xml:space="preserve">(3)    C : Non conforme aux Principes de Paris. </w:t>
        <w:br/>
        <w:t>Les décisions sur les classifications des INDH sont prises par le GAHNRI sur la base des documents soumis tels que :</w:t>
        <w:br/>
        <w:t xml:space="preserve">(1)    Copie de la législation ou de tout autre instrument par lequel il est établi et habilité dans son format officiel ou publié (par exemple, une loi et/ou </w:t>
        <w:br/>
        <w:t>dispositions constitutionnelles et/ou décret présidentiel ;</w:t>
        <w:br/>
        <w:t>(2)    Aperçu de la structure organisationnelle, y compris les détails du personnel et du budget annuel ;</w:t>
        <w:br/>
        <w:t>(3)    Copie du rapport annuel récemment publié ; et</w:t>
        <w:br/>
        <w:t xml:space="preserve">(4)    Déclaration détaillée montrant en quoi il est conforme aux Principes de Paris. </w:t>
        <w:br/>
        <w:t xml:space="preserve">Le SCA examine tous les cinq ans les INDH qui détiennent les statuts « A » et « B ». Les organisations de la société civile peuvent également fournir des informations pertinentes </w:t>
        <w:br/>
        <w:t xml:space="preserve">HCDH concernant toute question d'accréditation, qui sont incluses dans les évaluations fournies au SCA. </w:t>
        <w:br/>
        <w:t>Commentaires et limites :</w:t>
        <w:br/>
        <w:t xml:space="preserve">Le rôle important et constructif des institutions nationales pour la promotion et la protection des droits de l'homme a été reconnu dans différents </w:t>
        <w:br/>
        <w:t xml:space="preserve">Les instruments et résolutions des Nations Unies, y compris le Document final et le Programme d'action de la Conférence mondiale sur les droits de l'homme de 1993. </w:t>
        <w:br/>
        <w:t xml:space="preserve">droits humains à Vienne, résolutions de l'Assemblée générale A/RES/63/172 (2008) et A/RES/64/161 (2009) sur les institutions nationales pour la promotion et la protection des </w:t>
        <w:br/>
        <w:t xml:space="preserve">droits de l'homme. En outre, la création et le renforcement des INDH ont également été encouragés. Par exemple, la résolution 48/134 de l’Assemblée générale de 1993 « affirme </w:t>
        <w:br/>
        <w:t xml:space="preserve">la priorité qui devrait être accordée à l'élaboration de dispositions appropriées au niveau national pour garantir la mise en œuvre efficace </w:t>
        <w:br/>
        <w:t xml:space="preserve">des normes internationales en matière de droits de l’homme », tandis que la résolution A/RES/63/169 de l’Assemblée générale de 2008 encourageait les États « à envisager la création ou la </w:t>
        <w:br/>
        <w:t xml:space="preserve">renforcement du médiateur, du médiateur et d’autres institutions nationales des droits de l’homme indépendants et autonomes ». Le Conseil des droits de l'homme en </w:t>
        <w:br/>
        <w:t xml:space="preserve">La résolution 5/1 de 2007 du CDH a également appelé à la participation effective des institutions nationales des droits de l'homme à son programme de renforcement des institutions. </w:t>
        <w:br/>
        <w:t xml:space="preserve"> Bien qu'il s'agisse d'un indicateur mondial, il peut être surveillé aux niveaux national et régional. Les données sur le statut d’accréditation des INDH sont partagées avec </w:t>
        <w:br/>
        <w:t>des INDH individuelles et des réseaux régionaux d'INDH et accessibles au public ( ). National https://www.ohchr.org/Documents/Issues/HRIndicators/NHRI.pdf</w:t>
        <w:br/>
        <w:t xml:space="preserve">les bureaux de statistique peuvent obtenir les données directement auprès de leurs homologues des INDH ou du HCDH/GANHRI. De même, le programme économique régional des Nations Unies </w:t>
        <w:br/>
        <w:t>les commissions peuvent obtenir les données des réseaux régionaux des INDH ou du HCDH/GANHRI.</w:t>
        <w:br/>
        <w:t>Indicateurs proxy, alternatifs et supplémentaires : N/A</w:t>
        <w:br/>
        <w:t xml:space="preserve">Il n’est pas nécessaire de ventiler cet indicateur. </w:t>
        <w:br/>
        <w:t>URL officielle des métadonnées ODD</w:t>
        <w:br/>
        <w:t xml:space="preserve">https://unstats.un.org/sdgs/metadata/files/Metadata-16-0A-01.pdf  </w:t>
        <w:br/>
        <w:t>Méthodologie reconnue au niveau international et URL des lignes directrices</w:t>
        <w:br/>
        <w:t xml:space="preserve">http://www.ohchr.org/Documents/Issues/HRIndicators/Metadata_16.a.1_3_March2016.pdf  </w:t>
        <w:br/>
        <w:t>Autres références</w:t>
        <w:br/>
        <w:t>HCNUDH. Site Internet : Indicateurs des droits de l'homme. http://www.ohchr.org/EN/Issues/Indicators/Pages/HRIndicatorsIndex.aspx</w:t>
        <w:br/>
        <w:t>GANHRI. Site Internet : Alliance mondiale des institutions nationales des droits de l'homme. https://nhri.ohchr.org/EN/Pages/default.aspx</w:t>
        <w:br/>
        <w:t>HCNUDH. Site Internet : Institutions nationales des droits de l'homme. http://ohchr.org/EN/Countries/NHRI/Pages/NHRIMain.aspx</w:t>
        <w:br/>
        <w:t xml:space="preserve">HCNUDH. Résolution 48/134 de l'Assemblée générale du 20 décembre Principes relatifs au statut des institutions nationales (Principes de Paris). </w:t>
        <w:br/>
        <w:t>1993. Disponible sur : http://www.ohchr.org/EN/ProfessionalInterest/Pages/StatusOfNationalInstitutions.aspx</w:t>
        <w:br/>
        <w:t xml:space="preserve">Exemples de pays </w:t>
        <w:br/>
        <w:t>N/D</w:t>
      </w:r>
    </w:p>
    <w:p>
      <w:pPr>
        <w:pStyle w:val="Heading2"/>
      </w:pPr>
      <w:r>
        <w:t>Page 338</w:t>
      </w:r>
    </w:p>
    <w:p>
      <w:r>
        <w:t>Texte d'en-tête</w:t>
        <w:br/>
        <w:t>Texte de pied de page</w:t>
        <w:br/>
        <w:t xml:space="preserve">Ce document a été préparé sur la base des métadonnées des indicateurs approuvées et des contributions du Haut-Commissariat des Nations Unies pour </w:t>
        <w:br/>
        <w:t>Droits de l’homme (HCDH).</w:t>
        <w:br/>
        <w:t>Pour obtenir des informations sur les points focaux pour cet indicateur, veuillez visiter https://unstats.un.org/sdgs/dataContacts/</w:t>
      </w:r>
    </w:p>
    <w:p>
      <w:pPr>
        <w:pStyle w:val="Heading2"/>
      </w:pPr>
      <w:r>
        <w:t>Page 339</w:t>
      </w:r>
    </w:p>
    <w:p>
      <w:r>
        <w:t>Texte d'en-tête</w:t>
        <w:br/>
        <w:t>Texte de pied de page</w:t>
        <w:br/>
        <w:t>Objectif 17</w:t>
        <w:br/>
        <w:t xml:space="preserve">Renforcer les moyens de mise en œuvre et redynamiser le monde </w:t>
        <w:br/>
        <w:t>partenariat pour le développement durable</w:t>
        <w:br/>
        <w:t>Page d'accueil du manuel électronique</w:t>
        <w:br/>
        <w:t>Dans cet objectif :</w:t>
        <w:br/>
        <w:t xml:space="preserve">La Division de statistique des Nations Unies (DSNU) a travaillé en consultation avec l'agence(s) dépositaire(s) de chaque indicateur pour préparer ces chapitres. Pour </w:t>
        <w:br/>
        <w:t>les indicateurs qui n’ont pas encore de chapitre ici, sont en cours de préparation et seront téléchargés ici dès qu’ils seront disponibles.</w:t>
        <w:br/>
        <w:t xml:space="preserve">Si vous avez des questions sur le manuel électronique, n'hésitez pas à contacter M. Yuxi Zhang ( yuxi.zhang@un.org) avec copie à M. Ze. </w:t>
        <w:br/>
        <w:t>.Yar Min (min@un.org)</w:t>
      </w:r>
    </w:p>
    <w:p>
      <w:pPr>
        <w:pStyle w:val="Heading2"/>
      </w:pPr>
      <w:r>
        <w:t>Page 340</w:t>
      </w:r>
    </w:p>
    <w:p>
      <w:r>
        <w:t>Texte d'en-tête</w:t>
        <w:br/>
        <w:t>Texte de pied de page</w:t>
        <w:br/>
        <w:t>Indicateur 17.1.1</w:t>
        <w:br/>
        <w:t>Page d'accueil du manuel électronique</w:t>
        <w:br/>
        <w:t xml:space="preserve"> </w:t>
        <w:br/>
        <w:t>Nom de l’indicateur, cible et objectif</w:t>
        <w:br/>
        <w:t>Définition et justification</w:t>
        <w:br/>
        <w:t>Contenu</w:t>
        <w:br/>
        <w:t>Nom de l’indicateur, cible et objectif</w:t>
        <w:br/>
        <w:t>Définition et justification</w:t>
        <w:br/>
        <w:t>Sources de données et méthode de collecte</w:t>
        <w:br/>
        <w:t>Méthode de calcul et autres considérations méthodologiques</w:t>
        <w:br/>
        <w:t>Désagrégation des données</w:t>
        <w:br/>
        <w:t>Références</w:t>
        <w:br/>
        <w:t>Organisation(s) internationale(s) de surveillance mondiale</w:t>
        <w:br/>
        <w:t xml:space="preserve"> Indicateur 17.1.1 : Recettes publiques totales en proportion du PIB, par source</w:t>
        <w:br/>
        <w:t xml:space="preserve">Cible 17.1 : Renforcer la mobilisation des ressources intérieures, notamment par le biais d’un soutien international aux pays en développement, afin d’améliorer </w:t>
        <w:br/>
        <w:t>capacité de perception des impôts et autres recettes</w:t>
        <w:br/>
        <w:t>Objectif 17 : Renforcer les moyens de mise en œuvre et revitaliser le Partenariat mondial pour le développement durable</w:t>
      </w:r>
    </w:p>
    <w:p>
      <w:pPr>
        <w:pStyle w:val="Heading2"/>
      </w:pPr>
      <w:r>
        <w:t>Page 341</w:t>
      </w:r>
    </w:p>
    <w:p>
      <w:r>
        <w:t>Texte d'en-tête</w:t>
        <w:br/>
        <w:t>Texte de pied de page</w:t>
        <w:br/>
        <w:t>Sources de données et méthode de collecte</w:t>
        <w:br/>
        <w:t>Méthode de calcul et autres considérations méthodologiques</w:t>
        <w:br/>
        <w:t>Définition :</w:t>
        <w:br/>
        <w:t xml:space="preserve">Cet indicateur est défini comme la part des recettes totales du gouvernement central exprimée en proportion du PIB. </w:t>
        <w:br/>
        <w:t>Concepts :</w:t>
        <w:br/>
        <w:t xml:space="preserve">Les recettes sont définies au chapitre 4 (paragraphe 4.23) du Manuel de statistiques de finances publiques (GFSM) 2014 comme une augmentation de la valeur nette résultant </w:t>
        <w:br/>
        <w:t xml:space="preserve">d'une transaction. Il s’agit d’un indicateur budgétaire permettant d’évaluer la durabilité des activités budgétaires. Les unités d'administration publique disposent de quatre types de revenus. </w:t>
        <w:br/>
        <w:t xml:space="preserve">Les principaux types de recettes sont les impôts (code GFS 11), les cotisations sociales (code GFS 12), les subventions (code GFS 13) et les autres recettes (code GFS </w:t>
        <w:br/>
        <w:t xml:space="preserve">14). Parmi ceux-ci, les prélèvements et transferts obligatoires constituent les principales sources de recettes de la plupart des unités d’administration publique. En particulier, les impôts sont </w:t>
        <w:br/>
        <w:t xml:space="preserve">les sommes obligatoires et sans contrepartie que les unités d'administration reçoivent des unités institutionnelles. Les cotisations sociales sont des revenus réels ou imputés </w:t>
        <w:br/>
        <w:t xml:space="preserve">à recevoir des régimes d'assurance sociale pour provisionner les prestations d'assurance sociale payables. Les subventions sont des transferts à recevoir par le gouvernement </w:t>
        <w:br/>
        <w:t xml:space="preserve">unités provenant d'autres unités gouvernementales résidentes ou non résidentes ou d'organisations internationales, et qui ne répondent pas à la définition d'un impôt, d'une subvention ou d'un </w:t>
        <w:br/>
        <w:t xml:space="preserve">contribution sociale. Les autres recettes sont toutes les recettes à recevoir hors impôts, cotisations sociales et subventions. Les autres revenus comprennent : (i) </w:t>
        <w:br/>
        <w:t xml:space="preserve">les revenus de la propriété ; (ii) ventes de biens et services ; (iii) les amendes, pénalités et forfaits ; (iv) les transferts non classés ailleurs ; et (v) les primes, les frais, </w:t>
        <w:br/>
        <w:t xml:space="preserve">et les sinistres liés à l’assurance non-vie et aux régimes de garantie standardisés. </w:t>
        <w:br/>
        <w:t xml:space="preserve">Les transactions et les classifications associées sont détaillées au chapitre 5 du MSFP 2014 et sont structurées de manière à démontrer à quel point </w:t>
        <w:br/>
        <w:t xml:space="preserve">les unités du gouvernement (et du secteur public) génèrent des revenus. Uniquement les impôts et cotisations de sécurité sociale qui sont attestés par des avis d'imposition </w:t>
        <w:br/>
        <w:t xml:space="preserve">et les déclarations, déclarations en douane et documents similaires sont considérés comme créant des revenus pour les unités gouvernementales. Le cadre analytique de </w:t>
        <w:br/>
        <w:t xml:space="preserve">Le MSFP 2014 (comme celui du MSFP 2001) s'appuie sur le cadre du MSFP 1986 et l'étend en incorporant des éléments supplémentaires qui sont </w:t>
        <w:br/>
        <w:t xml:space="preserve">utile pour évaluer la politique budgétaire. </w:t>
        <w:br/>
        <w:t xml:space="preserve">Un exemple important est le traitement des actifs non financiers, où la vente de ces actifs n’est plus incluse dans les revenus. La disposition d'un </w:t>
        <w:br/>
        <w:t xml:space="preserve">un actif non financier vendu ou troqué ne constitue pas un revenu car il n’a aucun effet sur la valeur nette. Cela modifie plutôt la composition du bilan </w:t>
        <w:br/>
        <w:t xml:space="preserve">en échangeant un actif (l'actif non financier) contre un autre (le produit de la vente). De même, les sommes à recevoir au titre des remboursements de prêts et </w:t>
        <w:br/>
        <w:t xml:space="preserve">les décaissements de prêts ne constituent pas des revenus. En général, les transactions qui augmentent la valeur nette résultent des opérations courantes. Les transferts de capitaux sont un </w:t>
        <w:br/>
        <w:t xml:space="preserve">exception. Dans le MSFP 2014, les transferts en capital à recevoir sont classés comme revenus car ils augmentent la valeur nette du bénéficiaire et ils sont </w:t>
        <w:br/>
        <w:t xml:space="preserve">leurs effets sur les opérations gouvernementales sont souvent impossibles à distinguer des transferts courants. </w:t>
        <w:br/>
        <w:t xml:space="preserve">Lors de l'enregistrement des transactions de recettes en comptabilité de caisse, les données représentant les paiements d'impôts reçus par le gouvernement, nets des remboursements versés. </w:t>
        <w:br/>
        <w:t xml:space="preserve">au cours de la période couverte doivent être signalés. Ces données comprendront les taxes payées après l'évaluation initiale, les taxes payées ou les remboursements déduits. </w:t>
        <w:br/>
        <w:t xml:space="preserve">des impôts après liquidations ultérieures, ainsi que des impôts payés ou des remboursements déduits après toute réouverture ultérieure des comptes. Par conséquent, totale </w:t>
        <w:br/>
        <w:t xml:space="preserve">les recettes fiscales peuvent être présentées sur une base brute comme le montant total de tous les impôts accumulés, ou sur une base nette comme le montant brut moins l'impôt. </w:t>
        <w:br/>
        <w:t xml:space="preserve">remboursements. Les catégories de revenus sont présentées brutes des catégories de dépenses pour la même catégorie ou une catégorie connexe. En particulier, les revenus d'intérêts sont </w:t>
        <w:br/>
        <w:t xml:space="preserve">présentés bruts plutôt que comme charges d’intérêts nettes ou produits d’intérêts nets. De même, les prestations sociales et les cotisations sociales, les recettes des subventions et </w:t>
        <w:br/>
        <w:t xml:space="preserve">les charges, et les produits et charges locatifs sont présentés bruts. En outre, les ventes de biens et de services sont p était mécontent des dépenses engagées dans </w:t>
        <w:br/>
        <w:t xml:space="preserve">leur production. En cas de transactions erronées ou non autorisées, les catégories de revenus sont présentées nettes des remboursements des revenus concernés, </w:t>
        <w:br/>
        <w:t xml:space="preserve">et les catégories de dépenses sont présentées nettes des entrées provenant du recouvrement de la dépense. Par exemple, des remboursements d'impôt sur le revenu peuvent être versés lorsque </w:t>
        <w:br/>
        <w:t xml:space="preserve">le montant des impôts retenus ou autrement payés avant la détermination finale dépasse l'impôt réellement dû. Ces remboursements sont enregistrés comme un </w:t>
        <w:br/>
        <w:t xml:space="preserve">réduction des recettes fiscales. Pour cette raison, les recettes fiscales sont présentées nettes des crédits d’impôt non payables (voir MSFP 2014, paragraphes 5.29 à 5.32). </w:t>
        <w:br/>
        <w:t>Justification et interprétation :</w:t>
        <w:br/>
        <w:t xml:space="preserve">La politique budgétaire consiste à utiliser le niveau et la composition des dépenses et des recettes de l’administration générale et du secteur public, ainsi que les </w:t>
        <w:br/>
        <w:t xml:space="preserve">accumulation d’actifs et de passifs publics – pour atteindre des objectifs tels que la stabilisation de l’économie, la réaffectation des ressources et </w:t>
        <w:br/>
        <w:t xml:space="preserve">la redistribution des revenus. En plus de la mobilisation des recettes, les unités gouvernementales peuvent également financer une partie de leurs activités au cours d'une période spécifique. </w:t>
        <w:br/>
        <w:t xml:space="preserve">en empruntant ou en acquérant des fonds provenant de sources autres que les transferts obligatoires – par exemple, les revenus d’intérêts, les ventes accessoires de biens et </w:t>
        <w:br/>
        <w:t xml:space="preserve">services, ou la location d’actifs souterrains. L’indicateur 17.1.1 aide à comprendre la mobilisation des recettes intérieures des pays sous forme d’impôts et de taxes. </w:t>
        <w:br/>
        <w:t xml:space="preserve">sources non fiscales. L’indicateur fournira aux analystes un ensemble de données comparables entre pays qui met en évidence la relation entre les quatre principaux </w:t>
        <w:br/>
        <w:t xml:space="preserve">types de recettes ainsi que la « charge fiscale » relative (recettes sous forme d'impôts) et la « charge fiscale » relative (recettes sous forme d'impôts plus cotisations sociales). </w:t>
        <w:br/>
        <w:t>cotisations).</w:t>
        <w:br/>
        <w:t xml:space="preserve">Les séries annuelles GFS sont normalement compilées à partir des documents comptables, des rapports d’exécution budgétaire et des états financiers. Dans certains cas, </w:t>
        <w:br/>
        <w:t xml:space="preserve">les statisticiens peuvent avoir besoin d'enquêtes et d'autres moyens d'obtenir des données lorsque les documents comptables, les états financiers ou l'exécution du budget sont appropriés. </w:t>
        <w:br/>
        <w:t xml:space="preserve">les rapports ne sont pas disponibles, par exemple, pour les données sur les gouvernements locaux. Les approches utilisant ces sources sont décrites plus en détail dans les chapitres 7 et 8 de </w:t>
        <w:br/>
        <w:t>les « Statistiques de finances publiques : Guide de compilation pour les pays en développement », disponible sur https://www.imf.org/external/pubs/ft/gfs/manual/gfs.</w:t>
        <w:br/>
        <w:t>. Le personnel du Département des statistiques du FMI, Division des finances publiques, peut être contacté pour obtenir des conseils supplémentaires.htm</w:t>
      </w:r>
    </w:p>
    <w:p>
      <w:pPr>
        <w:pStyle w:val="Heading2"/>
      </w:pPr>
      <w:r>
        <w:t>Page 342</w:t>
      </w:r>
    </w:p>
    <w:p>
      <w:r>
        <w:t>Texte d'en-tête</w:t>
        <w:br/>
        <w:t>Texte de pied de page</w:t>
        <w:br/>
        <w:t>Désagrégation des données</w:t>
        <w:br/>
        <w:t>Références</w:t>
        <w:br/>
        <w:t>Organisation(s) internationale(s) de surveillance mondiale</w:t>
        <w:br/>
        <w:t>Méthode de calcul :</w:t>
        <w:br/>
        <w:t xml:space="preserve"> </w:t>
        <w:br/>
        <w:t xml:space="preserve">L’indicateur est exprimé en revenus annuels du GFS en pourcentage du produit intérieur brut (PIB). </w:t>
        <w:br/>
        <w:t>«Classification des données du MSFP 1986 selon le cadre du MSFP 2014», disponible sur https://www.imf.org/external/pubs/ft/gfs/manual/comp.htm</w:t>
        <w:br/>
        <w:t>peuvent être référencés dans le but d’obtenir les principales catégories de revenus du MSFP 2014 :</w:t>
        <w:br/>
        <w:t xml:space="preserve"> </w:t>
        <w:br/>
        <w:t xml:space="preserve">La section B du document (pages 7 à 13) fournit une cartographie détaillée. Expérience acquise au cours de nombreuses années de formation et de formation technique GFS </w:t>
        <w:br/>
        <w:t xml:space="preserve">L'assistance visant à renforcer les capacités des autorités nationales a démontré que toutes les composantes liées aux recettes totales du MSFP 1986 et </w:t>
        <w:br/>
        <w:t xml:space="preserve">les subventions peuvent être classées dans les recettes globales du MSFP 2014, à l'exception des ventes d'actifs à capital fixe, de stocks (stratégiques) et de terrains et </w:t>
        <w:br/>
        <w:t xml:space="preserve">les actifs incorporels, qui sont classés dans l'investissement net en actifs non financiers (cessions/ventes).   </w:t>
        <w:br/>
        <w:t xml:space="preserve">L’indicateur 17.1.1 peut être dérivé à l’aide de séries qui constituent la base du cadre de reporting du GFS. Chaque transaction de revenus est classée selon </w:t>
        <w:br/>
        <w:t xml:space="preserve">qu'il s'agisse d'un impôt ou d'un autre type de revenu. Les agrégats de revenus GFS sont des sommes d'entrées et d'éléments individuels dans cette classe particulière. </w:t>
        <w:br/>
        <w:t xml:space="preserve">des flux et permettre à ces données d'être organisées de manière gérable et analytiquement utile. Par exemple, les recettes fiscales sont la somme de tous les flux </w:t>
        <w:br/>
        <w:t xml:space="preserve">qui sont classés comme impôts. Conceptuellement, la valeur de chaque agrégat principal de revenus est la somme des valeurs de tous les éléments de la zone concernée. </w:t>
        <w:br/>
        <w:t xml:space="preserve">catégorie. </w:t>
        <w:br/>
        <w:t>Commentaires et limites :</w:t>
        <w:br/>
        <w:t xml:space="preserve">En principe, les SFP devraient couvrir toutes les entités qui affectent sensiblement les politiques budgétaires. Les comparaisons entre pays sont idéalement faites en référence aux </w:t>
        <w:br/>
        <w:t xml:space="preserve">secteur public consolidé. Toutefois, pour la plupart des économies de marché en développement et de nombreuses économies de marché émergentes, la compilation de données pour le </w:t>
        <w:br/>
        <w:t xml:space="preserve">La consolidation des administrations publiques et de leurs sous-secteurs pose problème en raison des limites de disponibilité et/ou d’actualité des données sources. Pour </w:t>
        <w:br/>
        <w:t xml:space="preserve">par exemple, un pays peut avoir un gouvernement central ; plusieurs gouvernements d'État, provinciaux ou régionaux ; et de nombreux gouvernements locaux. </w:t>
        <w:br/>
        <w:t xml:space="preserve">Les pays peuvent également disposer de fonds de sécurité sociale. Le MSFP 2014 recommande que des statistiques soient établies pour toutes ces administrations publiques. </w:t>
        <w:br/>
        <w:t xml:space="preserve">unités. </w:t>
        <w:br/>
        <w:t xml:space="preserve">Certains pays déclarent des données pour les administrations publiques consolidées avec un ou plusieurs sous-secteurs qui ne sont pas déclarés séparément. De même, il existe </w:t>
        <w:br/>
        <w:t xml:space="preserve">certains pays qui déclarent « un gouvernement central consolidé » sans nécessairement fournir le sous-secteur budgétaire du gouvernement central </w:t>
        <w:br/>
        <w:t xml:space="preserve">séparément. Pour de nombreux pays émergents et pays à faible revenu dotés de capacités statistiques limitées, le gouvernement central budgétaire est considéré comme le moyen le plus efficace. </w:t>
        <w:br/>
        <w:t xml:space="preserve">niveau de couverture institutionnelle le plus approprié à des fins de comparaison. Gouvernement central budgétaire, tel que décrit dans le MSFP 2014 (paragraphe </w:t>
        <w:br/>
        <w:t xml:space="preserve">2.81), est une unité institutionnelle du secteur des administrations publiques particulièrement importante en termes de taille et de pouvoir, notamment celui d'exercer </w:t>
        <w:br/>
        <w:t xml:space="preserve">contrôle de nombreuses autres unités et entités. Cette composante des administrations publiques est généralement couverte par le budget principal (ou général). Le </w:t>
        <w:br/>
        <w:t xml:space="preserve">les recettes (et les dépenses) budgétaires du gouvernement central sont normalement réglementées et contrôlées par un ministère des Finances, ou son équivalent fonctionnel, </w:t>
        <w:br/>
        <w:t xml:space="preserve">au moyen d'un budget approuvé par le Parlement. </w:t>
        <w:br/>
        <w:t>Indicateurs proxy, alternatifs et supplémentaires : N/A</w:t>
        <w:br/>
        <w:t xml:space="preserve">Les quatre types de revenus : impôts, cotisations sociales, subventions et autres revenus peuvent être ventilés davantage, comme indiqué au chapitre 5 du MSFP. </w:t>
        <w:br/>
        <w:t>2014.</w:t>
        <w:br/>
        <w:t>URL officielle des métadonnées ODD</w:t>
        <w:br/>
        <w:t xml:space="preserve">https://unstats.un.org/sdgs/metadata/files/Metadata-17-01-01.pdf </w:t>
        <w:br/>
        <w:t>Méthodologie reconnue au niveau international et URL des lignes directrices</w:t>
        <w:br/>
        <w:t>Le MSFP 2014. Disponible sur :  http://www.imf.org/external/np/sta/gfsm/</w:t>
        <w:br/>
        <w:t>Autres références</w:t>
        <w:br/>
        <w:t xml:space="preserve">Base de données des Perspectives de l'économie mondiale du FMI. Disponible sur : http://www.imf.org/external/ns/cs.aspx?id=28 </w:t>
        <w:br/>
        <w:t>Exemples de pays</w:t>
        <w:br/>
        <w:t>N/D</w:t>
      </w:r>
    </w:p>
    <w:p>
      <w:pPr>
        <w:pStyle w:val="Heading2"/>
      </w:pPr>
      <w:r>
        <w:t>Page 343</w:t>
      </w:r>
    </w:p>
    <w:p>
      <w:r>
        <w:t>Texte d'en-tête</w:t>
        <w:br/>
        <w:t>Texte de pied de page</w:t>
        <w:br/>
        <w:t>Ce document a été préparé sur la base des contributions du Fonds monétaire international (FMI).</w:t>
        <w:br/>
        <w:t>Pour obtenir des informations sur les points focaux pour cet indicateur, veuillez visiter   https://unstats.un.org/sdgs/dataContacts/</w:t>
      </w:r>
    </w:p>
    <w:p>
      <w:pPr>
        <w:pStyle w:val="Heading2"/>
      </w:pPr>
      <w:r>
        <w:t>Page 344</w:t>
      </w:r>
    </w:p>
    <w:p>
      <w:r>
        <w:t>Texte d'en-tête</w:t>
        <w:br/>
        <w:t>Texte de pied de page</w:t>
        <w:br/>
        <w:t>Indicateur 17.1.2</w:t>
        <w:br/>
        <w:t>Page d'accueil du manuel électronique</w:t>
        <w:br/>
        <w:t xml:space="preserve"> </w:t>
        <w:br/>
        <w:t>Nom de l’indicateur, cible et objectif</w:t>
        <w:br/>
        <w:t>Définition et justification</w:t>
        <w:br/>
        <w:t>Sources de données et méthode de collecte</w:t>
        <w:br/>
        <w:t>Méthode de calcul et autres considérations méthodologiques</w:t>
        <w:br/>
        <w:t>Contenu</w:t>
        <w:br/>
        <w:t>Nom de l’indicateur, cible et objectif</w:t>
        <w:br/>
        <w:t>Définition et justification</w:t>
        <w:br/>
        <w:t>Sources de données et méthode de collecte</w:t>
        <w:br/>
        <w:t>Méthode de calcul et autres considérations méthodologiques</w:t>
        <w:br/>
        <w:t>Désagrégation des données</w:t>
        <w:br/>
        <w:t>Références</w:t>
        <w:br/>
        <w:t>Organisation(s) internationale(s) de surveillance mondiale</w:t>
        <w:br/>
        <w:t xml:space="preserve"> Indicateur 17.1.2 : Proportion du budget national financée par les impôts nationaux</w:t>
        <w:br/>
        <w:t xml:space="preserve">Cible 17.1 : Renforcer la mobilisation des ressources intérieures, notamment par le biais d’un soutien international aux pays en développement, afin d’améliorer </w:t>
        <w:br/>
        <w:t>capacité de perception des impôts et autres recettes</w:t>
        <w:br/>
        <w:t>Objectif 17 : Renforcer les moyens de mise en œuvre et revitaliser le Partenariat mondial pour le développement durable</w:t>
        <w:br/>
        <w:t>Définition :</w:t>
        <w:br/>
        <w:t xml:space="preserve">Cet indicateur est défini comme le pourcentage des dépenses budgétaires intérieures du gouvernement central financées par les recettes fiscales. </w:t>
        <w:br/>
        <w:t>Concepts :</w:t>
        <w:br/>
        <w:t xml:space="preserve">Le gouvernement central budgétaire fait référence au gouvernement central qui englobe les activités fondamentales des pouvoirs exécutif, législatif, </w:t>
        <w:br/>
        <w:t xml:space="preserve">et les pouvoirs judiciaires. </w:t>
        <w:br/>
        <w:t xml:space="preserve">Les dépenses sont la somme de deux agrégats clés : les dépenses et l'investissement net en actifs non financiers ; il est présenté comme un agrégat supplémentaire </w:t>
        <w:br/>
        <w:t xml:space="preserve">dans l’état des résultats du GFS. </w:t>
        <w:br/>
        <w:t xml:space="preserve">Le revenu est une augmentation de la valeur nette résultant d'une transaction. Les principaux types de recettes budgétaires du gouvernement central sont les impôts, </w:t>
        <w:br/>
        <w:t xml:space="preserve">cotisations sociales, subventions et autres revenus. </w:t>
        <w:br/>
        <w:t xml:space="preserve">Les concepts et termes clés associés à l'indicateur sont décrits dans le Manuel de statistiques de finances publiques (GFSM) 2014.  </w:t>
        <w:br/>
        <w:t>Justification et interprétation :</w:t>
        <w:br/>
        <w:t xml:space="preserve">L’indicateur met en évidence la relation entre le budget national exécuté et la capacité du pays à mobiliser les ressources nécessaires à travers </w:t>
        <w:br/>
        <w:t xml:space="preserve">ses recettes/administration fiscale. En se concentrant sur la contribution de la fiscalité plutôt que sur toutes les sources de recettes publiques, l'indicateur peut </w:t>
        <w:br/>
        <w:t xml:space="preserve">représentent la mobilisation de ressources nationales non affectées qui sont sous le contrôle direct des autorités nationales. </w:t>
        <w:br/>
        <w:t xml:space="preserve">En tant que tel, cet indicateur permet de comprendre dans quelle mesure les dépenses récurrentes et en capital (dépenses) des pays sont réellement </w:t>
        <w:br/>
        <w:t xml:space="preserve">couverte par la mobilisation des ressources intérieures sous forme de fiscalité.  C’est également une mesure directe de la capacité de recouvrement des impôts des pays. </w:t>
        <w:br/>
        <w:t xml:space="preserve">Les GFS sont compilés et tenus à jour par des agences du gouvernement central telles que le ministère des Finances, la Banque centrale ou les offices nationaux de statistique. </w:t>
        <w:br/>
        <w:t xml:space="preserve">Les données sur les recettes et les dépenses publiques sont également communiquées au Fonds monétaire international (FMI) par les pays membres qui sont compilés (et </w:t>
        <w:br/>
        <w:t>diffusés) dans une base de données mondiale GFS. Les séries historiques ont été alignées sur les classifications du MSFP 2014.</w:t>
      </w:r>
    </w:p>
    <w:p>
      <w:pPr>
        <w:pStyle w:val="Heading2"/>
      </w:pPr>
      <w:r>
        <w:t>Page 345</w:t>
      </w:r>
    </w:p>
    <w:p>
      <w:r>
        <w:t>Texte d'en-tête</w:t>
        <w:br/>
        <w:t>Texte de pied de page</w:t>
        <w:br/>
        <w:t>Désagrégation des données</w:t>
        <w:br/>
        <w:t>Références</w:t>
        <w:br/>
        <w:t>Organisation(s) internationale(s) de surveillance mondiale</w:t>
        <w:br/>
        <w:t>Méthode de calcul :</w:t>
        <w:br/>
        <w:t>Le pourcentage des dépenses budgétaires intérieures du gouvernement central financées par les recettes fiscales est calculé comme suit :(P )taxe</w:t>
        <w:br/>
        <w:t>Commentaires et limites :</w:t>
        <w:br/>
        <w:t xml:space="preserve">En principe, les statistiques financières publiques (SFP) devraient couvrir toutes les entités (unités d’administration publique) qui affectent sensiblement les politiques budgétaires. </w:t>
        <w:br/>
        <w:t xml:space="preserve">Cependant, pour la plupart des économies de marché en développement et de nombreuses économies de marché émergentes, la compilation de données pour les administrations publiques consolidées et leurs </w:t>
        <w:br/>
        <w:t xml:space="preserve">sous-secteurs est problématique en raison des limites de la disponibilité et/ou de l’actualité des données sources. Un pays peut avoir un gouvernement central ; </w:t>
        <w:br/>
        <w:t xml:space="preserve">plusieurs gouvernements d'État, provinciaux ou régionaux ; et de nombreuses administrations locales ou municipales, et le MSFP 2014 recommande que les statistiques </w:t>
        <w:br/>
        <w:t xml:space="preserve">devraient être établis pour toutes ces unités d’administration publique. Dans la mesure du possible, et en particulier parmi les marchés émergents avancés et clés </w:t>
        <w:br/>
        <w:t>économies, les comparaisons doivent être effectuées à l’aide de séries consolidées des administrations publiques.</w:t>
        <w:br/>
        <w:t>Indicateurs proxy, alternatifs et supplémentaires : N/A</w:t>
        <w:br/>
        <w:t xml:space="preserve">Les données peuvent être ventilées selon les composantes et les agrégats de la structure de classification GFS, par exemple par types de revenus et </w:t>
        <w:br/>
        <w:t xml:space="preserve">types de dépenses publiques. </w:t>
        <w:br/>
        <w:t>URL officielle des métadonnées ODD</w:t>
        <w:br/>
        <w:t xml:space="preserve">https://unstats.un.org/sdgs/metadata/files/Metadata-17-01-02.pdf </w:t>
        <w:br/>
        <w:t>Méthodologie reconnue au niveau international et URL des lignes directrices</w:t>
        <w:br/>
        <w:t xml:space="preserve">http://www.imf.org/external/Pubs/FT/GFS/Manual/2014/gfsfinal.pdf  </w:t>
        <w:br/>
        <w:t>Autres références</w:t>
        <w:br/>
        <w:t>FMI (2014). Washington, D.C. Disponible sur : Manuel de statistiques de finances publiques 2014. http://www.imf.org/external/np/sta/gfsm/</w:t>
        <w:br/>
        <w:t xml:space="preserve">Exemples de pays </w:t>
        <w:br/>
        <w:t>N/D</w:t>
        <w:br/>
        <w:t>Ce document a été préparé sur la base des contributions du Fonds monétaire international (FMI).</w:t>
        <w:br/>
        <w:t>Pour obtenir des informations sur les points focaux pour cet indicateur, veuillez visiter https://unstats.un.org/sdgs/dataContacts/</w:t>
      </w:r>
    </w:p>
    <w:p>
      <w:pPr>
        <w:pStyle w:val="Heading2"/>
      </w:pPr>
      <w:r>
        <w:t>Page 346</w:t>
      </w:r>
    </w:p>
    <w:p>
      <w:r>
        <w:t>Texte d'en-tête</w:t>
        <w:br/>
        <w:t>Texte de pied de page</w:t>
        <w:br/>
        <w:t>Indicateur 17.2.1</w:t>
        <w:br/>
        <w:t>Page d'accueil du manuel électronique</w:t>
        <w:br/>
        <w:t xml:space="preserve"> </w:t>
        <w:br/>
        <w:t>Nom de l’indicateur, cible et objectif</w:t>
        <w:br/>
        <w:t>Définition et justification</w:t>
        <w:br/>
        <w:t>Sources de données et méthode de collecte</w:t>
        <w:br/>
        <w:t>Méthode de calcul et autres considérations méthodologiques</w:t>
        <w:br/>
        <w:t>Contenu</w:t>
        <w:br/>
        <w:t>Nom de l’indicateur, cible et objectif</w:t>
        <w:br/>
        <w:t>Définition et justification</w:t>
        <w:br/>
        <w:t>Sources de données et méthode de collecte</w:t>
        <w:br/>
        <w:t>Méthode de calcul et autres considérations méthodologiques</w:t>
        <w:br/>
        <w:t>Désagrégation des données</w:t>
        <w:br/>
        <w:t>Références</w:t>
        <w:br/>
        <w:t>Organisation(s) internationale(s) de surveillance mondiale</w:t>
        <w:br/>
        <w:t xml:space="preserve"> Indicateur 17.2.1 : Aide publique au développement nette, totale et destinée aux pays les moins avancés, en proportion de l'Organisation pour l'économie mondiale. </w:t>
        <w:br/>
        <w:t>Coopération et développement (OCDE) Comité d'aide au développement Revenu national brut (RNB) des donateurs</w:t>
        <w:br/>
        <w:t xml:space="preserve">Cible 17.2 : Les pays développés doivent pleinement mettre en œuvre leurs engagements en matière d’aide publique au développement, y compris ceux de nombreux pays </w:t>
        <w:br/>
        <w:t xml:space="preserve">pays développés à atteindre l’objectif de 0,7 pour cent de leur revenu national brut pour l’aide publique au développement (APD/RNB) aux pays en développement. </w:t>
        <w:br/>
        <w:t xml:space="preserve">pays et 0,15 à 0,20 pour cent de l’APD/RNB aux pays les moins avancés ; Les fournisseurs d’APD sont encouragés à envisager de fixer un objectif </w:t>
        <w:br/>
        <w:t>fournir au moins 0,20 pour cent de l’APD/RNB aux pays les moins avancés</w:t>
        <w:br/>
        <w:t>Objectif 17 : Renforcer les moyens de mise en œuvre et revitaliser le Partenariat mondial pour le développement durable</w:t>
        <w:br/>
        <w:t>Définition :</w:t>
        <w:br/>
        <w:t xml:space="preserve">Cet indicateur est défini comme le pourcentage du revenu national brut (RNB) du Comité d’aide au développement (CAD) de l’OCDE. </w:t>
        <w:br/>
        <w:t xml:space="preserve">les membres donateurs qui sont décaissés au titre de l’aide publique au développement (APD) à tous les pays en développement et aux pays les moins avancés. </w:t>
        <w:br/>
        <w:t>Concepts :</w:t>
        <w:br/>
        <w:t>Le CAD définit comme les flux vers les pays et territoires figurant sur la liste du CAD des bénéficiaires d'APD et des institutions multilatérales qui sont : APD</w:t>
        <w:br/>
        <w:t>(1)    Fournis par des agences officielles, y compris les gouvernements des États et locaux, ou par leurs agences exécutives ; et</w:t>
        <w:br/>
        <w:t>(2)    Chaque transaction dont :</w:t>
        <w:br/>
        <w:t>une. est administré avec la promotion du développement économique et du bien-être des pays en développement comme objectif principal ; et</w:t>
        <w:br/>
        <w:t xml:space="preserve">b. a un caractère concessionnel et comporte un élément de don d'au moins 25 pour cent (calculé à un taux d'actualisation de 10 pour cent). </w:t>
        <w:br/>
        <w:t xml:space="preserve">Le revenu national brut (RNB) est défini comme la somme du produit intérieur brut d’un pays et des revenus nets reçus de l’étranger. </w:t>
        <w:br/>
        <w:t>Justification et interprétation :</w:t>
        <w:br/>
        <w:t xml:space="preserve">La cible 17.2 mesure l’engagement de nombreux pays développés à atteindre l’objectif de 0,7 pour cent de l’APD/RNB et de 0,15 à 0,20 pour cent du </w:t>
        <w:br/>
        <w:t xml:space="preserve">APD/RNB aux pays les moins avancés. </w:t>
        <w:br/>
        <w:t xml:space="preserve">Le CAD/OCDE a collecté des données sur les flux de ressources publiques et privées depuis 1960 au niveau agrégé et 1973 au niveau des activités. </w:t>
        <w:br/>
        <w:t xml:space="preserve">via le SNPC (les données du SNPC sont considérées comme complètes à partir de 1995 pour les engagements au niveau des activités et de 2002 pour les décaissements). </w:t>
        <w:br/>
        <w:t xml:space="preserve">Un rapporteur statistique est responsable de la collecte des statistiques du CAD dans chaque pays/agence fournisseur. Ce journaliste se trouve généralement dans le </w:t>
        <w:br/>
        <w:t>agence d'aide nationale, ministère des Affaires étrangères ou des Finances, etc.</w:t>
      </w:r>
    </w:p>
    <w:p>
      <w:pPr>
        <w:pStyle w:val="Heading2"/>
      </w:pPr>
      <w:r>
        <w:t>Page 347</w:t>
      </w:r>
    </w:p>
    <w:p>
      <w:r>
        <w:t>Texte d'en-tête</w:t>
        <w:br/>
        <w:t>Texte de pied de page</w:t>
        <w:br/>
        <w:t>Désagrégation des données</w:t>
        <w:br/>
        <w:t>Références</w:t>
        <w:br/>
        <w:t>Organisation(s) internationale(s) de surveillance mondiale</w:t>
        <w:br/>
        <w:t>Méthode de calcul :</w:t>
        <w:br/>
        <w:t>Le pourcentage du RNB décaissé au titre de l'APD est calculé à l'aide de la formule suivante : (P ) APD</w:t>
        <w:br/>
        <w:t xml:space="preserve">où désigne les décaissements nets d’APD. je </w:t>
        <w:br/>
        <w:t xml:space="preserve">Cet indicateur est calculé pour chaque pays donateur membre du CAD ainsi que pour les autres fournisseurs non membres du CAD qui déclarent leur APD à l’OCDE. </w:t>
        <w:br/>
        <w:t>Commentaires et limites :</w:t>
        <w:br/>
        <w:t xml:space="preserve">Les données sont disponibles dans les bases de données agrégées du CAD de l’OCDE à partir de 1960. </w:t>
        <w:br/>
        <w:t>Indicateurs proxy, alternatifs et supplémentaires : N/A</w:t>
        <w:br/>
        <w:t>Cet indicateur peut être désagrégé par donateur, pays bénéficiaire, type de financement, type d'aide, sous-secteur, etc.</w:t>
        <w:br/>
        <w:t>URL officielle des métadonnées ODD</w:t>
        <w:br/>
        <w:t xml:space="preserve">https://unstats.un.org/sdgs/metadata/files/Metadata-17-02-01.pdf  </w:t>
        <w:br/>
        <w:t>Méthodologie reconnue au niveau international et URL des lignes directrices</w:t>
        <w:br/>
        <w:t xml:space="preserve">http://www.oecd.org/dac/stats/methodology.htm </w:t>
        <w:br/>
        <w:t>Autres références</w:t>
        <w:br/>
        <w:t>OCDE. Site Internet : Financement du développement durable. http://www.oecd.org/dac/financing-sustainable-development/</w:t>
        <w:br/>
        <w:t xml:space="preserve">Exemples de pays </w:t>
        <w:br/>
        <w:t>N/D</w:t>
        <w:br/>
        <w:t>Ce document a été préparé sur la base des contributions de l'Organisation de coopération et de développement économiques (OCDE).</w:t>
        <w:br/>
        <w:t>Pour obtenir des informations sur les points focaux pour cet indicateur, veuillez visiter https://unstats.un.org/sdgs/dataContacts/</w:t>
      </w:r>
    </w:p>
    <w:p>
      <w:pPr>
        <w:pStyle w:val="Heading2"/>
      </w:pPr>
      <w:r>
        <w:t>Page 348</w:t>
      </w:r>
    </w:p>
    <w:p>
      <w:r>
        <w:t>Texte d'en-tête</w:t>
        <w:br/>
        <w:t>Texte de pied de page</w:t>
        <w:br/>
        <w:t>Indicateur 17.6.1</w:t>
        <w:br/>
        <w:t>Page d'accueil du manuel électronique</w:t>
        <w:br/>
        <w:t>Nom de l’indicateur, cible et objectif</w:t>
        <w:br/>
        <w:t>Définition et justification</w:t>
        <w:br/>
        <w:t>Sources de données et méthode de collecte</w:t>
        <w:br/>
        <w:t>Méthode de calcul et autres considérations méthodologiques</w:t>
        <w:br/>
        <w:t>Contenu</w:t>
        <w:br/>
        <w:t>Nom de l’indicateur, cible et objectif</w:t>
        <w:br/>
        <w:t>Définition et justification</w:t>
        <w:br/>
        <w:t>Sources de données et méthode de collecte</w:t>
        <w:br/>
        <w:t>Méthode de calcul et autres considérations méthodologiques</w:t>
        <w:br/>
        <w:t>Désagrégation des données</w:t>
        <w:br/>
        <w:t>Références</w:t>
        <w:br/>
        <w:t>Organisation(s) internationale(s) de surveillance mondiale</w:t>
        <w:br/>
        <w:t xml:space="preserve"> Indicateur 17.6.1 : Abonnements à l'internet fixe haut débit pour 100 habitants, par vitesse</w:t>
        <w:br/>
        <w:t xml:space="preserve">Cible 17.6 : Améliorer la coopération régionale et internationale Nord-Sud, Sud-Sud et triangulaire en matière de science, de technologie et d’accès à ces technologies. </w:t>
        <w:br/>
        <w:t xml:space="preserve">l’innovation et renforcer le partage des connaissances selon des conditions mutuellement convenues, notamment grâce à une meilleure coordination entre les mécanismes existants, </w:t>
        <w:br/>
        <w:t>en particulier au niveau des Nations Unies, et par le biais d'un mécanisme mondial de facilitation technologique</w:t>
        <w:br/>
        <w:t>Objectif 17 : Renforcer les moyens de mise en œuvre et revitaliser le Partenariat mondial pour le développement durable</w:t>
        <w:br/>
        <w:t>Définition :</w:t>
        <w:br/>
        <w:t xml:space="preserve">Cet indicateur est défini comme le nombre de connexions/abonnements Internet haut débit fixes de différents niveaux de vitesse pour 100 habitants d'une région. </w:t>
        <w:br/>
        <w:t>pays. Les niveaux de vitesse pris en compte sont les vitesses en aval annoncées :</w:t>
        <w:br/>
        <w:t>(1)    256 kilobits par seconde (Kbps) à 2 mégabits par seconde (Mbps) ;</w:t>
        <w:br/>
        <w:t>(2)    2 Mbit/s à 10 Mbit/s ; et</w:t>
        <w:br/>
        <w:t xml:space="preserve">(3)    Supérieur à 10 Mbit/s. </w:t>
        <w:br/>
        <w:t>Concepts :</w:t>
        <w:br/>
        <w:t xml:space="preserve">L'Internet haut débit fixe fait référence aux abonnements à un accès haut débit à l'Internet public à des vitesses descendantes supérieures à 256 Kbps. Il comprend </w:t>
        <w:br/>
        <w:t xml:space="preserve">Modem câble, DSL, fibre jusqu'au domicile, autre haut débit fixe (filaire), haut débit par satellite et haut débit fixe sans fil terrestre. Ce n'est pas le cas </w:t>
        <w:br/>
        <w:t xml:space="preserve">incluent l'accès à Internet via les réseaux cellulaires mobiles et comprennent à la fois les abonnements résidentiels et organisationnels. </w:t>
        <w:br/>
        <w:t xml:space="preserve">Les vitesses descendantes annoncées font référence à la vitesse annoncée par les fournisseurs de services Internet à laquelle les données (y compris les fichiers, les sites Web, les images, </w:t>
        <w:br/>
        <w:t xml:space="preserve">musique, films, etc.) pourraient être diffusés aux abonnés Internet. La vitesse annoncée peut différer de la vitesse réelle de connexion qu'un utilisateur </w:t>
        <w:br/>
        <w:t xml:space="preserve">peut être ressenti au moment de l’utilisation d’Internet. </w:t>
        <w:br/>
        <w:t>Justification et interprétation :</w:t>
        <w:br/>
        <w:t xml:space="preserve">Internet est devenu un outil de plus en plus important pour fournir un accès à des informations susceptibles de contribuer à favoriser et à améliorer les activités régionales et </w:t>
        <w:br/>
        <w:t xml:space="preserve">la coopération et l’accès internationaux, notamment dans les contextes de la science, de la technologie et des innovations, grâce au partage des connaissances. Limites à </w:t>
        <w:br/>
        <w:t xml:space="preserve">les connexions à haut débit constituent un obstacle à la réalisation de la cible 17.6 et, par conséquent, la mesure du nombre de connexions à haut débit donne un aperçu de </w:t>
        <w:br/>
        <w:t xml:space="preserve">le niveau d’environnement favorable à une telle coopération.  </w:t>
        <w:br/>
        <w:t xml:space="preserve">Les autorités de régulation nationales ou les ministères des Technologies de l'Information et de la Communication (TIC) collectent ces données à partir des systèmes administratifs des </w:t>
        <w:br/>
        <w:t>fournisseurs de services Internet. Ces données sont ensuite agrégées pour obtenir des chiffres au niveau national.</w:t>
      </w:r>
    </w:p>
    <w:p>
      <w:pPr>
        <w:pStyle w:val="Heading2"/>
      </w:pPr>
      <w:r>
        <w:t>Page 349</w:t>
      </w:r>
    </w:p>
    <w:p>
      <w:r>
        <w:t>Texte d'en-tête</w:t>
        <w:br/>
        <w:t>Texte de pied de page</w:t>
        <w:br/>
        <w:t>Désagrégation des données</w:t>
        <w:br/>
        <w:t>Références</w:t>
        <w:br/>
        <w:t>Organisation(s) internationale(s) de surveillance mondiale</w:t>
        <w:br/>
        <w:t>Méthode de calcul :</w:t>
        <w:br/>
        <w:t>Le nombre de connexions/abonnements Internet haut débit fixe pour 100 habitants d'un pays peut être calculé comme : (N ) haut débit</w:t>
        <w:br/>
        <w:t xml:space="preserve">Cet indicateur est à calculer séparément pour les trois tranches de vitesse aval proposées. </w:t>
        <w:br/>
        <w:t>Commentaires et limites :</w:t>
        <w:br/>
        <w:t xml:space="preserve">Étant donné que la plupart des fournisseurs d’accès Internet proposent des forfaits liés à la vitesse de téléchargement, l’indicateur est facile à ventiler par vitesse. Il est possible que le </w:t>
        <w:br/>
        <w:t xml:space="preserve">Les tranches de vitesse utilisées par les pays pour cet indicateur peuvent être différentes de celles proposées ici. Pour ces pays, il est conseillé de </w:t>
        <w:br/>
        <w:t xml:space="preserve">collecter des données pour davantage de catégories de vitesse afin qu'elles puissent être facilement regroupées dans les tranches suggérées. </w:t>
        <w:br/>
        <w:t>Indicateurs proxy, alternatifs et supplémentaires : N/A</w:t>
        <w:br/>
        <w:t>Une ventilation par débit et type d'abonnement est recommandée, ainsi que par situation géographique (urbaine/rurale),</w:t>
        <w:br/>
        <w:t>URL officielle des métadonnées ODD</w:t>
        <w:br/>
        <w:t xml:space="preserve">https://unstats.un.org/sdgs/metadata/files/Metadata-17-06-01.pdf </w:t>
        <w:br/>
        <w:t>Méthodologie reconnue au niveau international et URL des lignes directrices</w:t>
        <w:br/>
        <w:t xml:space="preserve">https://www.itu.int/dms_pub/itu-d/opb/ind/D-IND-ITC_IND_HBK-2011-PDF-E.pdf  </w:t>
        <w:br/>
        <w:t>Autres références</w:t>
        <w:br/>
        <w:t>UIT (2011). Disponible sur : Manuel pour la collecte de données administratives sur les télécommunications/TIC. https://www.itu.int/dms_pub/itu-d/opb</w:t>
        <w:br/>
        <w:t>/ind/D-IND-ITC_IND_HBK-2011-PDF-E.pdf</w:t>
        <w:br/>
        <w:t>UIT. Site Internet : Statistiques TIC. https://www.itu.int/en/ITU-D/Statistics/Pages/default.aspx</w:t>
        <w:br/>
        <w:t xml:space="preserve">Exemples de pays </w:t>
        <w:br/>
        <w:t>N/D</w:t>
        <w:br/>
        <w:t>Ce document a été préparé sur la base des contributions de l'Union internationale des télécommunications (UIT).</w:t>
        <w:br/>
        <w:t>Pour obtenir des informations sur les points focaux pour cet indicateur, veuillez visiter https://unstats.un.org/sdgs/dataContacts/</w:t>
      </w:r>
    </w:p>
    <w:p>
      <w:pPr>
        <w:pStyle w:val="Heading2"/>
      </w:pPr>
      <w:r>
        <w:t>Page 350</w:t>
      </w:r>
    </w:p>
    <w:p>
      <w:r>
        <w:t>Texte d'en-tête</w:t>
        <w:br/>
        <w:t>Texte de pied de page</w:t>
        <w:br/>
        <w:t>Indicateur 17.8.1</w:t>
        <w:br/>
        <w:t>Page d'accueil du manuel électronique</w:t>
        <w:br/>
        <w:t xml:space="preserve"> </w:t>
        <w:br/>
        <w:t>Nom de l’indicateur, cible et objectif</w:t>
        <w:br/>
        <w:t>Définition et justification</w:t>
        <w:br/>
        <w:t>Sources de données et méthode de collecte</w:t>
        <w:br/>
        <w:t>Contenu</w:t>
        <w:br/>
        <w:t>Nom de l’indicateur, cible et objectif</w:t>
        <w:br/>
        <w:t>Définition et justification</w:t>
        <w:br/>
        <w:t>Sources de données et méthode de collecte</w:t>
        <w:br/>
        <w:t>Méthode de calcul et autres considérations méthodologiques</w:t>
        <w:br/>
        <w:t>Désagrégation des données</w:t>
        <w:br/>
        <w:t>Références</w:t>
        <w:br/>
        <w:t>Organisation(s) internationale(s) de surveillance mondiale</w:t>
        <w:br/>
        <w:t xml:space="preserve"> Indicateur 17.8.1 : Proportion d'individus utilisant Internet </w:t>
        <w:br/>
        <w:t xml:space="preserve">Cible 17.8 : Rendre pleinement opérationnels la banque de technologie et le mécanisme de renforcement des capacités en matière de science, de technologie et d'innovation pour les pays les moins avancés </w:t>
        <w:br/>
        <w:t>pays d’ici 2017 et améliorer l’utilisation des technologies génériques, en particulier les technologies de l’information et des communications.</w:t>
        <w:br/>
        <w:t>Objectif 17 : Renforcer les moyens de mise en œuvre et revitaliser le Partenariat mondial pour le développement durable</w:t>
        <w:br/>
        <w:t xml:space="preserve">Définition : </w:t>
        <w:br/>
        <w:t>Cet indicateur est défini comme le pourcentage de personnes qui ont utilisé Internet depuis n'importe quel endroit au cours des trois derniers mois, en utilisant n'importe quel site Internet.</w:t>
        <w:br/>
        <w:t xml:space="preserve">appareil compatible </w:t>
        <w:br/>
        <w:t>Concepts :</w:t>
        <w:br/>
        <w:t xml:space="preserve">L'accès à Internet fait référence à l'utilisation du Web, du courrier électronique, des fichiers d'actualités, de divertissement et de données, ainsi que d'autres services utilisant le réseau mondial. </w:t>
        <w:br/>
        <w:t xml:space="preserve">réseau informatique public utilisant n’importe quel appareil (pas seulement un ordinateur), via un réseau cellulaire fixe ou mobile. </w:t>
        <w:br/>
        <w:t>Justification et interprétation :</w:t>
        <w:br/>
        <w:t xml:space="preserve">La proportion d'individus utilisant Internet est un indicateur établi qui est considéré comme une mesure clé pour les comparaisons internationales des TIC. </w:t>
        <w:br/>
        <w:t xml:space="preserve">développements. Il s'agit d'une mesure directe du niveau d'amélioration de l'utilisation du développement permettant l'information et la communication. </w:t>
        <w:br/>
        <w:t>technologies.</w:t>
      </w:r>
    </w:p>
    <w:p>
      <w:pPr>
        <w:pStyle w:val="Heading2"/>
      </w:pPr>
      <w:r>
        <w:t>Page 351</w:t>
      </w:r>
    </w:p>
    <w:p>
      <w:r>
        <w:t>Texte d'en-tête</w:t>
        <w:br/>
        <w:t>Texte de pied de page</w:t>
        <w:br/>
        <w:t>Méthode de calcul et autres considérations méthodologiques</w:t>
        <w:br/>
        <w:t>Désagrégation des données</w:t>
        <w:br/>
        <w:t>Références</w:t>
        <w:br/>
        <w:t>Organisation(s) internationale(s) de surveillance mondiale</w:t>
        <w:br/>
        <w:t xml:space="preserve">1.  </w:t>
        <w:br/>
        <w:t xml:space="preserve">2.  </w:t>
        <w:br/>
        <w:t xml:space="preserve">Les données de cet Internet sont collectées par le biais d'enquêtes auprès des ménages représentatives au niveau national, menées par les bureaux nationaux de statistique ou </w:t>
        <w:br/>
        <w:t>les ministères des TIC des pays.</w:t>
        <w:br/>
        <w:t xml:space="preserve">Il existe différents types d’enquêtes auprès des ménages qui peuvent être utilisées pour collecter des données sur les individus utilisant Internet.  Deux types principaux peuvent être </w:t>
        <w:br/>
        <w:t>On distingue : les enquêtes autonomes axées sur les TIC et d'autres enquêtes auprès des ménages pouvant contenir des questions sur des sujets liés aux TIC.</w:t>
        <w:br/>
        <w:t xml:space="preserve">Les enquêtes autonomes auprès des ménages traitant de l'accès et de l'utilisation des TIC permettent de collecter plus de détails qu'il n'est habituellement possible de le faire dans une </w:t>
        <w:br/>
        <w:t xml:space="preserve">outil d'enquête existant conçu pour étudier d'autres sujets. Une enquête TIC auprès des ménages peut avoir un plan d'échantillonnage personnalisé, tandis que </w:t>
        <w:br/>
        <w:t xml:space="preserve">les informations recueillies au moyen d’autres enquêtes dépendront de la conception de ces enquêtes. Les avantages et les inconvénients de </w:t>
        <w:br/>
        <w:t>Les enquêtes spécifiques sur les TIC par rapport à l'inclusion de questions sur les TIC dans les outils d'enquête existants sont discutées ci-dessous.</w:t>
        <w:br/>
        <w:t>Les enquêtes non spécifiques aux TIC comprennent notamment :</w:t>
        <w:br/>
        <w:t xml:space="preserve">Enquêtes polyvalentes auprès des ménages qui collectent des données sur plusieurs sujets via une seule enquête auprès des ménages. Comme celui de la Banque mondiale </w:t>
        <w:br/>
        <w:t xml:space="preserve">Enquête sur la mesure du niveau de vie (LSMS). Outre le LSMS, des enquêtes particulières qui sont parfois utilisées pour collecter des informations sur les TIC </w:t>
        <w:br/>
        <w:t xml:space="preserve">les données sur les ménages dans les économies en développement comprennent les enquêtes démographiques et de santé (EDS), l'enquête en grappes à indicateurs multiples (MICS) </w:t>
        <w:br/>
        <w:t>financées par l'UNICEF et d'autres enquêtes multithèmes réalisées par les bureaux nationaux de statistique.</w:t>
        <w:br/>
        <w:t xml:space="preserve">Enquêtes sur le budget des ménages. Les enquêtes sur les dépenses des ménages (budget) sont conçues pour mesurer les dépenses des ménages et sont également </w:t>
        <w:br/>
        <w:t xml:space="preserve">utilisé par un certain nombre de pays pour identifier l’accès des ménages aux équipements et services TIC.  Certains pays incluent des questions sur </w:t>
        <w:br/>
        <w:t>revenus des ménages dans leurs enquêtes sur les dépenses des ménages.</w:t>
        <w:br/>
        <w:t xml:space="preserve">Recensements de population. Les recensements de population peuvent être utilisés pour collecter un petit nombre d’éléments de données sur l’accès et/ou l’utilisation des TIC. Bien que ce soit habituellement </w:t>
        <w:br/>
        <w:t xml:space="preserve">une option coûteuse et les recensements de la population sont rares (généralement une fois tous les dix ans), cela reste une bonne alternative dans les pays qui ont </w:t>
        <w:br/>
        <w:t xml:space="preserve">n’a jamais collecté de données sur les ménages TIC et n’envisage pas de le faire dans un avenir proche. De plus, les recensements de population fournissent de très bons résultats </w:t>
        <w:br/>
        <w:t>des détails sur les variables collectées et peuvent servir de base à la conception d’échantillons pour de futures enquêtes spécifiques aux TIC.</w:t>
        <w:br/>
        <w:t xml:space="preserve">L'Union internationale des télécommunications (UIT) rassemble ces données auprès des points focaux nationaux des pays et estime également les valeurs pour les pays. </w:t>
        <w:br/>
        <w:t xml:space="preserve">qui n'ont pas mené d'enquêtes, employant des méthodes telles que les prévisions de séries chronologiques, l'imputation hot-deck et les modèles de régression, en utilisant </w:t>
        <w:br/>
        <w:t xml:space="preserve">des indicateurs socio-économiques comme le nombre d'abonnements Internet, le revenu national brut par habitant, etc. </w:t>
        <w:br/>
        <w:t>Méthode de calcul :</w:t>
        <w:br/>
        <w:t>Le pourcentage de personnes ayant accédé à Internet depuis n'importe quel endroit au cours des trois derniers mois peut être calculé comme : (P ) Internet</w:t>
        <w:br/>
        <w:t>Commentaires et limites :</w:t>
        <w:br/>
        <w:t xml:space="preserve">Cet indicateur est actuellement estimé pour les pays qui ne collectent pas encore ces données par le biais d'enquêtes auprès des ménages. L'UIT encourage tous les pays à </w:t>
        <w:br/>
        <w:t xml:space="preserve">collecter des données sur cet indicateur à travers des enquêtes officielles. </w:t>
        <w:br/>
        <w:t>Indicateurs proxy, alternatifs et supplémentaires : N/A</w:t>
        <w:br/>
        <w:t xml:space="preserve">Cet indicateur peut être ventilé par situation géographique (rurale/urbaine), sexe, groupe d’âge, niveau d’éducation, situation d’activité et profession. </w:t>
        <w:br/>
        <w:t>URL officielle des métadonnées ODD</w:t>
        <w:br/>
        <w:t xml:space="preserve">https://unstats.un.org/sdgs/metadata/files/Metadata-17-08-01.pdf  </w:t>
        <w:br/>
        <w:t>Méthodologie reconnue au niveau international et URL des lignes directrices</w:t>
        <w:br/>
        <w:t xml:space="preserve">https://www.itu.int/pub/D-IND-ITCMEAS-2014  </w:t>
        <w:br/>
        <w:t>Autres références</w:t>
        <w:br/>
        <w:t>UIT. Disponible sur : Manuel pour mesurer l'accès et l'utilisation des TIC par les ménages et les individus. https://www.itu.int/pub/D-IND-ITCMEAS-2014</w:t>
        <w:br/>
        <w:t xml:space="preserve">Exemples de pays </w:t>
        <w:br/>
        <w:t>N/D</w:t>
      </w:r>
    </w:p>
    <w:p>
      <w:pPr>
        <w:pStyle w:val="Heading2"/>
      </w:pPr>
      <w:r>
        <w:t>Page 352</w:t>
      </w:r>
    </w:p>
    <w:p>
      <w:r>
        <w:t>Texte d'en-tête</w:t>
        <w:br/>
        <w:t>Texte de pied de page</w:t>
        <w:br/>
        <w:t>Ce document a été préparé sur la base des contributions de l'Union internationale des télécommunications (UIT).</w:t>
        <w:br/>
        <w:t>Pour obtenir des informations sur les points focaux pour cet indicateur, veuillez visiter https://unstats.un.org/sdgs/dataContacts/</w:t>
      </w:r>
    </w:p>
    <w:p>
      <w:pPr>
        <w:pStyle w:val="Heading2"/>
      </w:pPr>
      <w:r>
        <w:t>Page 353</w:t>
      </w:r>
    </w:p>
    <w:p>
      <w:r>
        <w:t>Texte d'en-tête</w:t>
        <w:br/>
        <w:t>Texte de pied de page</w:t>
        <w:br/>
        <w:t>Indicateur 17.15.1</w:t>
        <w:br/>
        <w:t>Page d'accueil du manuel électronique</w:t>
        <w:br/>
        <w:t xml:space="preserve"> </w:t>
        <w:br/>
        <w:t>Nom de l’indicateur, cible et objectif</w:t>
        <w:br/>
        <w:t>Définition et justification</w:t>
        <w:br/>
        <w:t>Sources de données et méthode de collecte</w:t>
        <w:br/>
        <w:t>Méthode de calcul et autres considérations méthodologiques</w:t>
        <w:br/>
        <w:t>Contenu</w:t>
        <w:br/>
        <w:t>Nom de l’indicateur, cible et objectif</w:t>
        <w:br/>
        <w:t>Définition et justification</w:t>
        <w:br/>
        <w:t>Sources de données et méthode de collecte</w:t>
        <w:br/>
        <w:t>Méthode de calcul et autres considérations méthodologiques</w:t>
        <w:br/>
        <w:t>Désagrégation des données</w:t>
        <w:br/>
        <w:t>Références</w:t>
        <w:br/>
        <w:t>Organisation(s) internationale(s) de surveillance mondiale</w:t>
        <w:br/>
        <w:t xml:space="preserve"> Indicateur 17.15.1 : degré d'utilisation des cadres de résultats et des outils de planification nationaux par les prestataires de coopération au développement </w:t>
        <w:br/>
        <w:t xml:space="preserve">Cible 17.15 : Respecter l'espace politique et le leadership de chaque pays pour établir et mettre en œuvre des politiques d'éradication de la pauvreté et de développement durable. </w:t>
        <w:br/>
        <w:t>développement</w:t>
        <w:br/>
        <w:t>Objectif 17 : Renforcer les moyens de mise en œuvre et revitaliser le Partenariat mondial pour le développement durable</w:t>
        <w:br/>
        <w:t>Définition :</w:t>
        <w:br/>
        <w:t xml:space="preserve">Cet indicateur mesure dans quelle mesure et comment tous les partenaires de développement concernés utilisent les cadres de résultats pilotés par les pays. </w:t>
        <w:br/>
        <w:t xml:space="preserve">(CRF) pour planifier les efforts de coopération au développement et évaluer leurs performances. </w:t>
        <w:br/>
        <w:t>Concepts :</w:t>
        <w:br/>
        <w:t xml:space="preserve">Les CRC définissent l’approche d’un pays en matière de résultats et les systèmes de suivi et d’évaluation associés, axés sur la performance et la réalisation des objectifs. </w:t>
        <w:br/>
        <w:t xml:space="preserve">résultats de développement. Utilisant une définition minimale, ces cadres de résultats comprennent des objectifs et des indicateurs de résultats convenus. Ils fixent également des objectifs </w:t>
        <w:br/>
        <w:t xml:space="preserve">mesurer les progrès réalisés dans l’atteinte des objectifs définis dans les documents de planification du gouvernement. Quelques exemples de CRF sont une vision à long terme </w:t>
        <w:br/>
        <w:t xml:space="preserve">plans; stratégies nationales de développement; des plans conjoints gouvernement-multidonateurs ; les stratégies, politiques et plans sectoriels du gouvernement ; infranational </w:t>
        <w:br/>
        <w:t xml:space="preserve">instruments de planification, ainsi que d’autres cadres (par exemple, matrices de performance de l’appui budgétaire, approches sectorielles). En revanche, la planification </w:t>
        <w:br/>
        <w:t xml:space="preserve">et les documents de définition des priorités produits en dehors du gouvernement, tels que les stratégies nationales préparées par les prestataires, ne sont pas considérés comme des CRF. </w:t>
        <w:br/>
        <w:t xml:space="preserve">La définition du cadre de résultats piloté par les pays utilisée ici permet d'utiliser des mécanismes équivalents de définition des priorités au niveau national. </w:t>
        <w:br/>
        <w:t xml:space="preserve">car tous les pays n’articulent pas leurs priorités à travers des CCR cohérents et intégrés. </w:t>
        <w:br/>
        <w:t>Justification et interprétation :</w:t>
        <w:br/>
        <w:t xml:space="preserve">Mesurer l’alignement du soutien des partenaires de développement sur les priorités du pays en termes de conception d’intervention et de type de rapport sur les résultats </w:t>
        <w:br/>
        <w:t xml:space="preserve">Ces mécanismes fournissent une évaluation pertinente du degré de « respect de l’espace politique et du leadership de chaque pays pour établir et </w:t>
        <w:br/>
        <w:t>mettre en œuvre des politiques nationales d’éradication de la pauvreté et de développement durable ».</w:t>
        <w:br/>
        <w:t xml:space="preserve">Au niveau national, les données sont communiquées par les entités gouvernementales compétentes (par exemple le ministère des Finances/le département du budget chargé du budget national). </w:t>
        <w:br/>
        <w:t xml:space="preserve">informations) et par les partenaires de développement et les parties prenantes. Plus de détails sur le processus de collecte de données peuvent être trouvés dans le suivi correspondant. </w:t>
        <w:br/>
        <w:t>conseils à . http://effectivecooperation.org/pdf/2018_Monitoring_Guide_National_Coordinator.pdf</w:t>
        <w:br/>
        <w:t xml:space="preserve">L'OCDE et le PNUD aident les pays à collecter des données pertinentes sur une base biennale grâce au cadre de suivi du Partenariat mondial, </w:t>
        <w:br/>
        <w:t xml:space="preserve">et ces organisations dirigent l’agrégation des données et l’assurance qualité au niveau mondial. Données et preuves générées par le biais du programme mené par le pays </w:t>
        <w:br/>
        <w:t>le processus de suivi sont diffusés via le tableau de bord de suivi du Partenariat mondial en ligne.</w:t>
        <w:br/>
        <w:t>Méthode de calcul :</w:t>
        <w:br/>
        <w:t xml:space="preserve">Pour fournir une mesure complète de l'utilisation des cadres de résultats appartenant aux pays et d'autres outils de planification dirigés par le gouvernement, l'indicateur </w:t>
        <w:br/>
        <w:t xml:space="preserve">calcule la mesure dans laquelle les objectifs, les indicateurs de résultats et les cadres de suivi associés aux nouvelles interventions de développement ($ US) </w:t>
        <w:br/>
        <w:t>100 000 et plus) proviennent de sources gouvernementales – notamment d’outils de planification nationaux, sectoriels et infranationaux.</w:t>
        <w:br/>
        <w:t>Le tableau suivant présente les trois dimensions sur lesquelles cela est évalué, ainsi que leur unité d'évaluation :</w:t>
      </w:r>
    </w:p>
    <w:p>
      <w:pPr>
        <w:pStyle w:val="Heading2"/>
      </w:pPr>
      <w:r>
        <w:t>Page 354</w:t>
      </w:r>
    </w:p>
    <w:p>
      <w:r>
        <w:t>Texte d'en-tête</w:t>
        <w:br/>
        <w:t>Texte de pied de page</w:t>
        <w:br/>
        <w:t>Pour chaque intervention de développement de taille significative</w:t>
        <w:br/>
        <w:t>(1 million de dollars EU et plus) approuvés au cours de l'année de référence</w:t>
        <w:br/>
        <w:t>Q1 Sont-ils tirés des cadres de résultats, des plans et des objectifs stratégiques dirigés par le gouvernement 0</w:t>
        <w:br/>
        <w:t>/1</w:t>
        <w:br/>
        <w:t>T2 La part de cette somme provient des cadres de résultats, des plans et des stratégies dirigés par le gouvernement. Indicateurs de résultats (résultats) %</w:t>
        <w:br/>
        <w:t xml:space="preserve">Q3 Part des indicateurs de résultats (effets directs) sur lesquels s'appuieront les systèmes de suivi existants dirigés par les pays ou les sources nationales de données </w:t>
        <w:br/>
        <w:t>services statistiques pour suivre l’avancement du projet</w:t>
        <w:br/>
        <w:t>%</w:t>
        <w:br/>
        <w:t>Étape 1 :</w:t>
        <w:br/>
        <w:t>Vous trouverez ci-dessous les formules pour le calcul des valeurs pour chacune des trois dimensions :</w:t>
        <w:br/>
        <w:t xml:space="preserve">Q1 est un indicateur binaire qui prend la valeur de 0 ou 1 en fonction des critères ci-dessus. </w:t>
        <w:br/>
        <w:t>Q2 et sont calculés comme ci-dessous : Q3</w:t>
        <w:br/>
        <w:t>où est le nombre d’indicateurs de résultats tirés des cadres de résultats gouvernementaux existants et/ou d’autres documents de planification ;  est le numéro ns</w:t>
        <w:br/>
        <w:t xml:space="preserve">nombre d'indicateurs de résultats à suivre à l'aide de statistiques gouvernementales continues, de sources de données ou de systèmes de S&amp;E (c'est-à-dire non spécifiques au projet) </w:t>
        <w:br/>
        <w:t>sources);  est le nombre total d'indicateurs de résultats inclus dans le cadre de résultats du projet. n</w:t>
        <w:br/>
        <w:t>Étape 2 :</w:t>
        <w:br/>
        <w:t>Pour cette étape, , désigne respectivement les valeurs pour et pour le projet.Q1</w:t>
        <w:br/>
        <w:t>j Q2</w:t>
        <w:br/>
        <w:t>j, Q3</w:t>
        <w:br/>
        <w:t>j Q , Q , 1 2 Q3 j</w:t>
        <w:br/>
        <w:t>Pour l'année de référence :</w:t>
        <w:br/>
        <w:t>(1)    Les moyennes agrégées fournissent une évaluation de l’espace politique disponible et du leadership du pays. Pour un pays en développement (I )c</w:t>
        <w:br/>
        <w:t xml:space="preserve">pays, l'indicateur prend la valeur :c I </w:t>
        <w:br/>
        <w:t xml:space="preserve"> </w:t>
        <w:br/>
        <w:t xml:space="preserve">où est le nombre de nouveaux projets de coopération au développement signalés pour le pays. Dans la formule ci-dessus, l'indicateur est obtenu en prenant n c c. </w:t>
        <w:br/>
        <w:t xml:space="preserve">la moyenne des trois dimensions d’alignement avec les priorités et les objectifs du pays, puis agrégée à tous les nouveaux développements </w:t>
        <w:br/>
        <w:t>projets de coopération dans le pays.</w:t>
        <w:br/>
        <w:t xml:space="preserve">(2)     Les moyennes agrégées indiqueront le pourcentage d'alignement avec les priorités définies par les pays par fournisseur de coopération au développement. </w:t>
        <w:br/>
        <w:t>mécanismes . Pour un prestataire, l'indicateur prend la valeur :(I )p p (I)</w:t>
        <w:br/>
        <w:t xml:space="preserve"> </w:t>
        <w:br/>
        <w:t xml:space="preserve">où est le nombre de nouveaux projets de coopération au développement signalés pour le fournisseur. Similaire à la formule précédente, l'indicateur est n p p. </w:t>
        <w:br/>
        <w:t xml:space="preserve">obtenu en prenant la moyenne des trois dimensions d’alignement avec les priorités et les objectifs du pays, puis en agrégeant toutes les nouvelles dimensions. </w:t>
        <w:br/>
        <w:t xml:space="preserve">projets de coopération au développement pour le fournisseur. </w:t>
        <w:br/>
        <w:t>Étape 3 :</w:t>
        <w:br/>
        <w:t xml:space="preserve">Un agrégat global pour l’indicateur est obtenu en faisant la moyenne des trois dimensions d’alignement avec les priorités et les objectifs du pays dans toutes les nouvelles dimensions. </w:t>
        <w:br/>
        <w:t xml:space="preserve">interventions pour l’année de référence : </w:t>
        <w:br/>
        <w:t>Commentaires et limites :</w:t>
      </w:r>
    </w:p>
    <w:p>
      <w:pPr>
        <w:pStyle w:val="Heading2"/>
      </w:pPr>
      <w:r>
        <w:t>Page 355</w:t>
      </w:r>
    </w:p>
    <w:p>
      <w:r>
        <w:t>Texte d'en-tête</w:t>
        <w:br/>
        <w:t>Texte de pied de page</w:t>
        <w:br/>
        <w:t>Désagrégation des données</w:t>
        <w:br/>
        <w:t>Références</w:t>
        <w:br/>
        <w:t>Organisation(s) internationale(s) de surveillance mondiale</w:t>
        <w:br/>
        <w:t xml:space="preserve">Lors de l'agrégation, la taille du projet/intervention de coopération au développement n'est pas considérée comme un facteur de pondération afin de donner le même niveau de </w:t>
        <w:br/>
        <w:t xml:space="preserve">l’importance de l’utilisation des cadres de résultats et des outils de planification appartenant aux pays dans les projets de taille moyenne ou de grande envergure. C'est parce que ceci </w:t>
        <w:br/>
        <w:t xml:space="preserve">L’indicateur tente de capturer le comportement global des prestataires dans la conception de nouvelles interventions dans un pays donné. Une pondération selon la taille du projet </w:t>
        <w:br/>
        <w:t xml:space="preserve">autrement, ils surreprésentent les projets d’infrastructure et sous-représentent les interventions visant à influencer les politiques et les arrangements institutionnels. </w:t>
        <w:br/>
        <w:t xml:space="preserve">Néanmoins, des données sur la taille des projets sont disponibles. </w:t>
        <w:br/>
        <w:t xml:space="preserve">Les exercices de suivi actuels collectent des données au-delà de la portée de l'indicateur proposé, y compris des aspects tels que le gouvernement prestataire. </w:t>
        <w:br/>
        <w:t xml:space="preserve">participation à la planification de projets et à l’évaluation de programmes. Cela peut être affiné davantage. </w:t>
        <w:br/>
        <w:t>Indicateurs proxy, alternatifs et supplémentaires : N/A</w:t>
        <w:br/>
        <w:t>Cet indicateur peut être ventilé au niveau du pays, du fournisseur, du secteur et du projet de développement.</w:t>
        <w:br/>
        <w:t>URL officielle des métadonnées ODD</w:t>
        <w:br/>
        <w:t xml:space="preserve">https://unstats.un.org/sdgs/metadata/files/Metadata-17-15-01.pdf  </w:t>
        <w:br/>
        <w:t>Méthodologie reconnue au niveau international et URL des lignes directrices</w:t>
        <w:br/>
        <w:t xml:space="preserve">http://effectivecooperation.org/pdf/2018_Monitoring_Guide_National_Coordinator.pdf  </w:t>
        <w:br/>
        <w:t>Autres références</w:t>
        <w:br/>
        <w:t>Ocampo, José Antonio (2015). . UNDESA : Document de référence du CDP n° 27. ST/ESA/2015A Cadre de suivi et de responsabilisation post-2015</w:t>
        <w:br/>
        <w:t>/CDP/27 Disponible sur : https://www.un.org/development/desa/dpad/wp-content/uploads/sites/45/publication/CDP-bp-2015-27.pdf</w:t>
        <w:br/>
        <w:t>Espey, Jessica; K. Walecik et M. Kühner (2015).  Suivi du développement durable et révision des ODD : respecter nos engagements.</w:t>
        <w:br/>
        <w:t>Réseau de solutions. New York. Disponible sur : http://unsdsn.org/wp-content/uploads/2015/12/151130-SDSN-Follow-up-and-Review-Paper-FINAL-</w:t>
        <w:br/>
        <w:t>WEB.pdf</w:t>
        <w:br/>
        <w:t xml:space="preserve">Coppard, D. et C. Culey (2015). La contribution du Partenariat mondial pour une coopération efficace au développement au Programme 2030 pour le développement </w:t>
        <w:br/>
        <w:t>. Document d'information de la séance plénière 1. Forum de partenariat mondial de Busan, Corée. Disponible sur : Développement durable http://effectivecooperatio</w:t>
        <w:br/>
        <w:t>n.org/wp-content/uploads/2015/11/Plenary-1_Contribution-to-the-2030-Agenda-for-Sustainable-Development_FULL.pdf</w:t>
        <w:br/>
        <w:t>GPEDC (2018). 2018 . /Paris/New York. Disponible sur : Guide de suivi http://effectivecooperation.org/pdf</w:t>
        <w:br/>
        <w:t xml:space="preserve"> /2018_Monitoring_Guide_National_Coordinator.pdf</w:t>
        <w:br/>
        <w:t xml:space="preserve">Ce document a été préparé sur la base des contributions de l'Organisation de coopération et de développement économiques (OCDE) et des Nations Unies. </w:t>
        <w:br/>
        <w:t>Programme de Développement (PNUD).</w:t>
        <w:br/>
        <w:t>Pour obtenir des informations sur les points focaux pour cet indicateur, veuillez visiter https://unstats.un.org/sdgs/dataContacts/</w:t>
      </w:r>
    </w:p>
    <w:p>
      <w:pPr>
        <w:pStyle w:val="Heading2"/>
      </w:pPr>
      <w:r>
        <w:t>Page 356</w:t>
      </w:r>
    </w:p>
    <w:p>
      <w:r>
        <w:t>Texte d'en-tête</w:t>
        <w:br/>
        <w:t>Texte de pied de page</w:t>
        <w:br/>
        <w:t>Indicateur 17.16.1</w:t>
        <w:br/>
        <w:t>Page d'accueil du manuel électronique</w:t>
        <w:br/>
        <w:t xml:space="preserve"> </w:t>
        <w:br/>
        <w:t>Nom de l’indicateur, cible et objectif</w:t>
        <w:br/>
        <w:t>Définition et justification</w:t>
        <w:br/>
        <w:t>Sources de données et méthode de collecte</w:t>
        <w:br/>
        <w:t>Contenu</w:t>
        <w:br/>
        <w:t>Nom de l’indicateur, cible et objectif</w:t>
        <w:br/>
        <w:t>Définition et justification</w:t>
        <w:br/>
        <w:t>Sources de données et méthode de collecte</w:t>
        <w:br/>
        <w:t>Méthode de calcul et autres considérations méthodologiques</w:t>
        <w:br/>
        <w:t>Désagrégation des données</w:t>
        <w:br/>
        <w:t>Références</w:t>
        <w:br/>
        <w:t>Organisation(s) internationale(s) de surveillance mondiale</w:t>
        <w:br/>
        <w:t xml:space="preserve"> Indicateur 17.16.1 : Nombre de pays signalant des progrès dans les cadres multipartites de suivi de l’efficacité du développement qui soutiennent </w:t>
        <w:br/>
        <w:t xml:space="preserve">la réalisation des objectifs de développement durable </w:t>
        <w:br/>
        <w:t xml:space="preserve">Cible 17.16 : Renforcer le Partenariat mondial pour le développement durable, complété par des partenariats multipartites qui mobilisent et </w:t>
        <w:br/>
        <w:t xml:space="preserve">partager des connaissances, des expertises, des technologies et des ressources financières pour soutenir la réalisation des objectifs de développement durable dans tous les domaines. </w:t>
        <w:br/>
        <w:t>pays, en particulier les pays en développement</w:t>
        <w:br/>
        <w:t>Objectif 17 : Renforcer les moyens de mise en œuvre et revitaliser le Partenariat mondial pour le développement durable</w:t>
        <w:br/>
        <w:t>Définition :</w:t>
        <w:br/>
        <w:t xml:space="preserve">Cet indicateur suit le nombre de pays signalant des progrès dans les cadres de suivi multipartites qui suivent la mise en œuvre des </w:t>
        <w:br/>
        <w:t xml:space="preserve">engagements en matière d’efficacité du développement soutenant la réalisation des objectifs de développement durable (ODD). </w:t>
        <w:br/>
        <w:t>Concepts :</w:t>
        <w:br/>
        <w:t>Les « cadres multipartites de suivi de l’efficacité du développement » qui suivent l’efficacité de la coopération au développement sont des cadres de suivi :</w:t>
        <w:br/>
        <w:t xml:space="preserve">-          dont les indicateurs ont été convenus sur une base volontaire ; dont les indicateurs mesurent la force de la relation entre le développement </w:t>
        <w:br/>
        <w:t>acteurs;</w:t>
        <w:br/>
        <w:t xml:space="preserve">-          où la collecte et l'examen des données sont dirigés par les pays eux-mêmes ; et lorsque la participation à la collecte et à l'examen des données implique </w:t>
        <w:br/>
        <w:t xml:space="preserve">multipartite pertinent représentant, au minimum, le secteur public, le secteur privé et les organisations de la société civile. </w:t>
        <w:br/>
        <w:t xml:space="preserve">Le Partenariat mondial pour une coopération efficace au développement (Partenariat mondial) est un exemple de suivi de l’efficacité du développement. </w:t>
        <w:br/>
        <w:t xml:space="preserve">cadres. </w:t>
        <w:br/>
        <w:t>Justification et interprétation :</w:t>
        <w:br/>
        <w:t xml:space="preserve">La réalisation des objectifs de développement durable nécessite la mobilisation et le renforcement de partenariats multipartites qui peuvent apporter et efficacement </w:t>
        <w:br/>
        <w:t xml:space="preserve">utiliser toutes les connaissances, expertises, technologies et ressources financières disponibles pour le développement durable. La qualité de la relation </w:t>
        <w:br/>
        <w:t>entre tous les partenaires concernés définit la force du partenariat mondial pour le développement durable.</w:t>
        <w:br/>
        <w:t xml:space="preserve">Cet indicateur fournit une mesure des efforts déployés par les pays pour renforcer ces partenariats multipartites et, par extension, le Partenariat mondial. </w:t>
        <w:br/>
        <w:t xml:space="preserve">pour le développement durable, en examinant les progrès réalisés sur un ensemble d'indicateurs qui permettent de suivre dans quelle mesure les pays fournisseurs et bénéficiaires de </w:t>
        <w:br/>
        <w:t>la coopération au développement travaillent ensemble en faveur du développement durable.</w:t>
        <w:br/>
        <w:t xml:space="preserve">Reflétant l'esprit du partenariat mondial pour le développement durable et la nature universelle des ODD, l'indicateur surveille la </w:t>
        <w:br/>
        <w:t xml:space="preserve">contribution et comportement des pays fournisseurs et bénéficiaires dans l’établissement de partenariats multipartites plus efficaces et plus inclusifs pour </w:t>
        <w:br/>
        <w:t xml:space="preserve">soutenir et pérenniser la mise en œuvre de l’Agenda 2030. Pour ce faire, il mesure leurs engagements respectifs mais différenciés en faveur </w:t>
        <w:br/>
        <w:t>renforcer la qualité de leurs partenariats de développement.</w:t>
      </w:r>
    </w:p>
    <w:p>
      <w:pPr>
        <w:pStyle w:val="Heading2"/>
      </w:pPr>
      <w:r>
        <w:t>Page 357</w:t>
      </w:r>
    </w:p>
    <w:p>
      <w:r>
        <w:t>Texte d'en-tête</w:t>
        <w:br/>
        <w:t>Texte de pied de page</w:t>
        <w:br/>
        <w:t>Méthode de calcul et autres considérations méthodologiques</w:t>
        <w:br/>
        <w:t>Désagrégation des données</w:t>
        <w:br/>
        <w:t xml:space="preserve">Les gouvernements des pays bénéficiaires de la coopération pour le développement dirigent et coordonnent la collecte et la validation des données. Au niveau des pays, les données sont rapportées </w:t>
        <w:br/>
        <w:t xml:space="preserve">par les entités gouvernementales compétentes (par exemple le ministère des Finances/département du budget pour l'information sur le budget national) et par les partenaires de développement et </w:t>
        <w:br/>
        <w:t xml:space="preserve">parties prenantes. L'OCDE et le PNUD aident les pays à collecter des données pertinentes sur une base biennale grâce au suivi du Partenariat mondial. </w:t>
        <w:br/>
        <w:t xml:space="preserve">cadre, et ces organisations dirigent l’agrégation des données et l’assurance qualité au niveau mondial. Plus de détails sur le processus de collecte de données </w:t>
        <w:br/>
        <w:t>peut être consulté dans le Guide de suivi à l'adresse http://effectivecooperation.org/pdf/2018_Monitoring_Guide_National_Coordinator.pdf</w:t>
        <w:br/>
        <w:t xml:space="preserve">En complément, le Département des affaires économiques et sociales des Nations Unies mène régulièrement des enquêtes pour le développement </w:t>
        <w:br/>
        <w:t xml:space="preserve">Forum de coopération en partenariat avec le PNUD pour identifier les progrès nationaux en matière de responsabilité mutuelle et de transparence. Des synergies avec le </w:t>
        <w:br/>
        <w:t>Les mesures de l’indicateur 7 du cadre de suivi du Partenariat mondial sont utilisées.</w:t>
        <w:br/>
        <w:t xml:space="preserve">1.  </w:t>
        <w:br/>
        <w:t xml:space="preserve">2.  </w:t>
        <w:br/>
        <w:t xml:space="preserve">3.  </w:t>
        <w:br/>
        <w:t xml:space="preserve">4.  </w:t>
        <w:br/>
        <w:t xml:space="preserve">5.  </w:t>
        <w:br/>
        <w:t xml:space="preserve">6.  </w:t>
        <w:br/>
        <w:t xml:space="preserve">7.  </w:t>
        <w:br/>
        <w:t xml:space="preserve">8.  </w:t>
        <w:br/>
        <w:t xml:space="preserve">9.  </w:t>
        <w:br/>
        <w:t xml:space="preserve">10.  </w:t>
        <w:br/>
        <w:t xml:space="preserve">1.  </w:t>
        <w:br/>
        <w:t xml:space="preserve">2.  </w:t>
        <w:br/>
        <w:t xml:space="preserve">3.  </w:t>
        <w:br/>
        <w:t xml:space="preserve">4.  </w:t>
        <w:br/>
        <w:t xml:space="preserve">5.  </w:t>
        <w:br/>
        <w:t xml:space="preserve">6.  </w:t>
        <w:br/>
        <w:t>Méthode de calcul :</w:t>
        <w:br/>
        <w:t xml:space="preserve">Pour refléter la nature universelle de la cible 17.16, cet indicateur est présenté comme le nombre global global de pays signalant des progrès. Pour tout </w:t>
        <w:br/>
        <w:t xml:space="preserve">pays déclarant vers un (ou plusieurs) cadre(s) multipartite(s) d'efficacité du développement, le pays est considéré comme déclarant </w:t>
        <w:br/>
        <w:t xml:space="preserve">progrès lorsque, pour l’année de référence, le nombre d’indicateurs du ou des cadres qui montrent une tendance positive est supérieur au nombre </w:t>
        <w:br/>
        <w:t>d’indicateurs qui montrent une tendance négative.</w:t>
        <w:br/>
        <w:t xml:space="preserve">Les pays qui financent la coopération pour le développement et qui rendent compte dans les cadres multipartites de suivi de l’efficacité du développement sont </w:t>
        <w:br/>
        <w:t>évalué par rapport aux éléments suivants :</w:t>
        <w:br/>
        <w:t xml:space="preserve">Alignement sur les objectifs de développement définis par le pays : Pourcentage de nouvelles interventions de développement dont les objectifs sont tirés de </w:t>
        <w:br/>
        <w:t>cadres de résultats pilotés par les pays.</w:t>
        <w:br/>
        <w:t xml:space="preserve">Utilisation de cadres de résultats pilotés par les pays : Pourcentage d'indicateurs de résultats contenus dans les nouvelles interventions de développement, qui sont tirés </w:t>
        <w:br/>
        <w:t>à partir des cadres de résultats pilotés par les pays.</w:t>
        <w:br/>
        <w:t xml:space="preserve">Utilisation des systèmes nationaux de suivi et de statistiques : Pourcentage d'indicateurs de résultats qui seront suivis à l'aide de sources gouvernementales </w:t>
        <w:br/>
        <w:t>et les systèmes de surveillance.</w:t>
        <w:br/>
        <w:t>Utilisation de systèmes d'évaluation nationaux : pourcentage de nouvelles interventions qui prévoient une évaluation finale avec la participation du gouvernement du pays.</w:t>
        <w:br/>
        <w:t xml:space="preserve">Transparence de la coopération pour le développement : Disponibilité publique des informations sur la coopération pour le développement selon les normes internationales. </w:t>
        <w:br/>
        <w:t>normes de reporting ;</w:t>
        <w:br/>
        <w:t xml:space="preserve">Prévisibilité annuelle de la coopération pour le développement : proportion de la coopération pour le développement décaissée comme les partenaires du développement l'avaient fait </w:t>
        <w:br/>
        <w:t>prévu en début d'année.</w:t>
        <w:br/>
        <w:t xml:space="preserve">Prévisibilité à moyen terme de la coopération pour le développement : plans de dépenses prospectifs mis à la disposition du gouvernement partenaire </w:t>
        <w:br/>
        <w:t>(montants annuels indicatifs de l’aide à la coopération pour le développement à fournir sur une période d’un à trois ans)</w:t>
        <w:br/>
        <w:t xml:space="preserve">Coopération au développement sur les budgets soumis au contrôle parlementaire : part des fonds de coopération au développement prévue pour/pour le </w:t>
        <w:br/>
        <w:t>secteur public du pays qui sont enregistrés dans le budget annuel soumis à l'approbation législative.</w:t>
        <w:br/>
        <w:t xml:space="preserve">Coopération pour le développement assurée par le biais des systèmes nationaux : proportion de la coopération pour le développement versée à un pays donné </w:t>
        <w:br/>
        <w:t xml:space="preserve">conformément aux réglementations et systèmes nationaux de gestion des finances publiques (c'est-à-dire budgétisation, rapports financiers, audit) et </w:t>
        <w:br/>
        <w:t>approvisionnement.</w:t>
        <w:br/>
        <w:t xml:space="preserve">Aide déliée : Proportion de la coopération pour le développement qui n’est pas liée. </w:t>
        <w:br/>
        <w:t xml:space="preserve">Les pays qui reçoivent un financement de la coopération pour le développement et qui rendent compte dans les cadres multipartites de suivi de l’efficacité du développement sont </w:t>
        <w:br/>
        <w:t>évalué par rapport aux éléments suivants :</w:t>
        <w:br/>
        <w:t>Chef de file dans l’établissement de priorités nationales : les pays renforcent leurs cadres nationaux de résultats.</w:t>
        <w:br/>
        <w:t xml:space="preserve">Créer un environnement favorable pour r organisations de la société civile : les organisations de la société civile opèrent dans un environnement </w:t>
        <w:br/>
        <w:t>maximise leur engagement et leur contribution au développement.</w:t>
        <w:br/>
        <w:t>Promouvoir l'engagement et la contribution du secteur privé au développement : qualité du dialogue public-privé.</w:t>
        <w:br/>
        <w:t>Comptabilisation de la coopération au développement dans les budgets soumis au contrôle parlementaire : part des fonds de coopération au développement prévue pour</w:t>
        <w:br/>
        <w:t>/pour le secteur public du pays qui sont enregistrés dans le budget annuel soumis à l’approbation législative.</w:t>
        <w:br/>
        <w:t>Renforcer la responsabilité mutuelle : la responsabilité mutuelle entre les acteurs du développement est renforcée grâce à des examens inclusifs.</w:t>
        <w:br/>
        <w:t xml:space="preserve"> Les pays disposent de systèmes pour suivre et allouer des allocations publiques en faveur de l’égalité des sexes, favorisant l’égalité des sexes et l’autonomisation des femmes :</w:t>
        <w:br/>
        <w:t>et l’autonomisation des femmes.</w:t>
        <w:br/>
        <w:t xml:space="preserve">Renforcement des institutions nationales : qualité des systèmes de gestion des finances publiques du pays </w:t>
        <w:br/>
        <w:t xml:space="preserve">Pays fournissant et recevant des fonds de coopération pour le développement et rendant compte du suivi multipartite de l’efficacité du développement </w:t>
        <w:br/>
        <w:t>cadres.</w:t>
        <w:br/>
        <w:t xml:space="preserve">Pour les pays déclarant à la fois comme fournisseurs et bénéficiaires de coopération pour le développement, les progrès sont calculés séparément sur la base des </w:t>
        <w:br/>
        <w:t xml:space="preserve">ensemble d’indicateurs décrits ci-dessus. Les résultats désagrégés montreront les performances détaillées dans chaque catégorie. Pour le décompte final du </w:t>
        <w:br/>
        <w:t>nombre de pays faisant des progrès, les pays doubles sont considérés comme faisant des progrès si des progrès sont réalisés en tant que bénéficiaire, fournisseur ou</w:t>
        <w:br/>
        <w:t xml:space="preserve">coopération au développement.  </w:t>
        <w:br/>
        <w:t>Commentaires et limites :</w:t>
        <w:br/>
        <w:t xml:space="preserve">La collecte de données pour le cadre de suivi du Partenariat mondial est dirigée par les pays à revenu faible et intermédiaire bénéficiant de la coopération pour le développement. </w:t>
        <w:br/>
        <w:t xml:space="preserve">Les progrès des pays fournissant une coopération pour le développement dans la mise en œuvre des engagements en matière d’efficacité du développement sont mesurés à travers leurs </w:t>
        <w:br/>
        <w:t xml:space="preserve">comportement de partenariat dans ces pays à revenu faible ou intermédiaire. Selon les cas, les pays à revenu intermédiaire qui sont actuellement à la fois </w:t>
        <w:br/>
        <w:t>le bénéficiaire et les prestataires de coopération au développement choisissent de rendre compte en leur qualité de bénéficiaires et/ou de prestataires de coopération au développement.</w:t>
      </w:r>
    </w:p>
    <w:p>
      <w:pPr>
        <w:pStyle w:val="Heading2"/>
      </w:pPr>
      <w:r>
        <w:t>Page 358</w:t>
      </w:r>
    </w:p>
    <w:p>
      <w:r>
        <w:t>Texte d'en-tête</w:t>
        <w:br/>
        <w:t>Texte de pied de page</w:t>
        <w:br/>
        <w:t>Références</w:t>
        <w:br/>
        <w:t>Organisation(s) internationale(s) de surveillance mondiale</w:t>
        <w:br/>
        <w:t xml:space="preserve">L'indicateur présenté comme un agrégat mondial est généré grâce à une approche ascendante dans laquelle les données sont collectées au niveau national et peuvent </w:t>
        <w:br/>
        <w:t xml:space="preserve">doit donc être désagrégé au niveau des pays (tant pour les fournisseurs que pour les bénéficiaires de la coopération au développement) pour une analyse et une analyse nationales. </w:t>
        <w:br/>
        <w:t xml:space="preserve">dialogue mutuel. Les données peuvent également être ventilées selon des indicateurs individuels (c'est-à-dire des dimensions spécifiques d'un développement efficace). </w:t>
        <w:br/>
        <w:t>coopération) qui sont inclus dans les cadres multipartites.</w:t>
        <w:br/>
        <w:t>URL officielle des métadonnées ODD</w:t>
        <w:br/>
        <w:t xml:space="preserve">https://unstats.un.org/sdgs/metadata/files/Metadata-17-16-01.pdf  </w:t>
        <w:br/>
        <w:t>Méthodologie reconnue au niveau international et URL des lignes directrices</w:t>
        <w:br/>
        <w:t xml:space="preserve">http://effectivecooperation.org/pdf/2018_Monitoring_Guide_National_Coordinator.pdf  </w:t>
        <w:br/>
        <w:t>Autres références</w:t>
        <w:br/>
        <w:t xml:space="preserve">Coppard, D. et C. Culey (2015). La contribution du Partenariat mondial pour une coopération efficace au développement au Programme 2030 pour le développement </w:t>
        <w:br/>
        <w:t>. Document d'information de la séance plénière 1. Forum de partenariat mondial de Busan, Corée. Disponible sur : Développement durable http://effectivecooperatio</w:t>
        <w:br/>
        <w:t>n.org/wp-content/uploads/2015/11/Plenary-1_Contribution-to-the-2030-Agenda-for-Sustainable-Development_FULL.pdf</w:t>
        <w:br/>
        <w:t>Espey, Jessica; K. Walecik et M. Kühner (2015).  Suivi du développement durable et révision des ODD : respecter nos engagements.</w:t>
        <w:br/>
        <w:t>Réseau de solutions. New York. Disponible sur : http://unsdsn.org/wp-content/uploads/2015/12/151130-SDSN-Follow-up-and-Review-Paper-FINAL-</w:t>
        <w:br/>
        <w:t>WEB.pdf</w:t>
        <w:br/>
        <w:t>GPEDC (2018). 2018 . /Paris/New York. Disponible sur : Guide de suivi http://effectivecooperation.org/pdf</w:t>
        <w:br/>
        <w:t>/2018_Monitoring_Guide_National_Coordinator.pdf</w:t>
        <w:br/>
        <w:t xml:space="preserve">Hazlewood, P. (2015). Recherche indépendante Partenariats multipartites mondiaux : accroître l'impact collectif public-privé pour les ODD. </w:t>
        <w:br/>
        <w:t>Forum, document de référence 4 : IRF2015. Disponible sur : https://sustainabledevelopment.un.org/content/documents/1738Global%20Multistakeholder.</w:t>
        <w:br/>
        <w:t>pdf</w:t>
        <w:br/>
        <w:t>Ocampo, J.A. et Gómez, N. (2014). . Étude de fond 3 : Coopération au développement responsable et efficace dans l’ère post-2015</w:t>
        <w:br/>
        <w:t>Responsabilité pour la coopération au développement. ECOSOC : Symposium de haut niveau du DCG Allemagne. Disponible sur : http://www.un.org/en/ecosoc</w:t>
        <w:br/>
        <w:t>/newfunct/pdf13/dcf_germany_bkgd_study_3_global_accountability.pdf</w:t>
        <w:br/>
        <w:t xml:space="preserve">Ce document a été préparé sur la base des contributions de l'Organisation de coopération et de développement économiques (OCDE) et des Nations Unies. </w:t>
        <w:br/>
        <w:t>Programme de Développement (PNUD).</w:t>
        <w:br/>
        <w:t>Pour obtenir des informations sur les points focaux pour cet indicateur, veuillez visiter https://unstats.un.org/sdgs/dataContacts/</w:t>
      </w:r>
    </w:p>
    <w:p>
      <w:pPr>
        <w:pStyle w:val="Heading2"/>
      </w:pPr>
      <w:r>
        <w:t>Page 359</w:t>
      </w:r>
    </w:p>
    <w:p>
      <w:r>
        <w:t>Texte d'en-tête</w:t>
        <w:br/>
        <w:t>Texte de pied de page</w:t>
        <w:br/>
        <w:t>Indicateur 17.18.3</w:t>
        <w:br/>
        <w:t>Page d'accueil du manuel électronique</w:t>
        <w:br/>
        <w:t xml:space="preserve"> </w:t>
        <w:br/>
        <w:t>Nom de l’indicateur, cible et objectif</w:t>
        <w:br/>
        <w:t>Définition et justification</w:t>
        <w:br/>
        <w:t>Sources de données et méthode de collecte</w:t>
        <w:br/>
        <w:t>Méthode de calcul et autres considérations méthodologiques</w:t>
        <w:br/>
        <w:t>Contenu</w:t>
        <w:br/>
        <w:t>Nom de l’indicateur, cible et objectif</w:t>
        <w:br/>
        <w:t>Définition et justification</w:t>
        <w:br/>
        <w:t>Sources de données et méthode de collecte</w:t>
        <w:br/>
        <w:t>Méthode de calcul et autres considérations méthodologiques</w:t>
        <w:br/>
        <w:t>Désagrégation des données</w:t>
        <w:br/>
        <w:t>Références</w:t>
        <w:br/>
        <w:t>Organisation(s) internationale(s) de surveillance mondiale</w:t>
        <w:br/>
        <w:t xml:space="preserve"> Indicateur 17.18.3 : Nombre de pays dotés d'un plan statistique national entièrement financé et en cours de mise en œuvre, par source de financement </w:t>
        <w:br/>
        <w:t xml:space="preserve">Cible 17.18 : D’ici 2020, renforcer l’appui au renforcement des capacités des pays en développement, notamment des pays les moins avancés et des petits pays insulaires. </w:t>
        <w:br/>
        <w:t xml:space="preserve">pays en développement, pour accroître considérablement la disponibilité de données de haute qualité, actuelles et fiables, ventilées par revenu, sexe, âge, race, </w:t>
        <w:br/>
        <w:t>origine ethnique, statut migratoire, handicap, situation géographique et autres caractéristiques pertinentes dans les contextes nationaux</w:t>
        <w:br/>
        <w:t>Objectif 17 : Renforcer les moyens de mise en œuvre et revitaliser le Partenariat mondial pour le développement durable</w:t>
        <w:br/>
        <w:t>Définition :</w:t>
        <w:br/>
        <w:t xml:space="preserve">L'indicateur est défini comme le nombre de pays dotés d'un plan statistique national entièrement financé et en cours de mise en œuvre, comme indiqué dans le rapport. </w:t>
        <w:br/>
        <w:t xml:space="preserve">rapports de situation annuels sur les stratégies nationales de développement des statistiques.  </w:t>
        <w:br/>
        <w:t>Concepts :</w:t>
        <w:br/>
        <w:t xml:space="preserve">Entièrement financé signifie… que le montant total du budget du Plan statistique national a été sécurisé (engagé ou décaissé) et qu’il n’y a aucun </w:t>
        <w:br/>
        <w:t xml:space="preserve">déficit de financement restant. </w:t>
        <w:br/>
        <w:t xml:space="preserve">Le plan statistique national est défini comme une SNDS ou un document de politique nationale similaire qui couvre le développement et la propriété des statistiques dans un </w:t>
        <w:br/>
        <w:t xml:space="preserve">pays. </w:t>
        <w:br/>
        <w:t xml:space="preserve">Une Stratégie Nationale pour le Développement des Statistiques (SNDS) est un cadre, un processus et un produit national pour le développement des statistiques visant à </w:t>
        <w:br/>
        <w:t xml:space="preserve">intégrer les statistiques dans le processus de politique et de planification nationale ; produire des informations répondant aux besoins des différents utilisateurs ; </w:t>
        <w:br/>
        <w:t xml:space="preserve">intégrer les secteurs et autres acteurs dans le système statistique national (SNS) ; coordonner l'ensemble du SNS ; répondre aux défis liés aux données ; </w:t>
        <w:br/>
        <w:t xml:space="preserve">réaliser une révolution des données dirigée par le pays ; et le renforcement des capacités statistiques tout au long de « la chaîne de valeur statistique ». La SNDS s'étend sur cinq à dix </w:t>
        <w:br/>
        <w:t xml:space="preserve">période de mise en œuvre d’un an. </w:t>
        <w:br/>
        <w:t>Justification et interprétation :</w:t>
        <w:br/>
        <w:t xml:space="preserve">Cet indicateur est une mesure directe du nombre de pays qui s'efforcent de renforcer leurs capacités statistiques afin qu'un niveau élevé de </w:t>
        <w:br/>
        <w:t xml:space="preserve">des données de qualité, actuelles et fiables sont disponibles pour suivre les progrès réalisés dans la réalisation des ODD. </w:t>
        <w:br/>
        <w:t xml:space="preserve">Les données pour cet indicateur peuvent provenir des points focaux nationaux basés dans les bureaux nationaux de statistique (NSO) du pays. Les informations sont collectées chaque année. </w:t>
        <w:br/>
        <w:t>PARIS21 collecte également ces données, en liaison directe avec les points focaux nationaux.</w:t>
      </w:r>
    </w:p>
    <w:p>
      <w:pPr>
        <w:pStyle w:val="Heading2"/>
      </w:pPr>
      <w:r>
        <w:t>Page 360</w:t>
      </w:r>
    </w:p>
    <w:p>
      <w:r>
        <w:t>Texte d'en-tête</w:t>
        <w:br/>
        <w:t>Texte de pied de page</w:t>
        <w:br/>
        <w:t>Désagrégation des données</w:t>
        <w:br/>
        <w:t>Références</w:t>
        <w:br/>
        <w:t>Organisation(s) internationale(s) de surveillance mondiale</w:t>
        <w:br/>
        <w:t>Méthode de calcul :</w:t>
        <w:br/>
        <w:t xml:space="preserve">Cet indicateur est calculé comme un agrégat mondial par simple addition des pays qui (1) mettent en œuvre une stratégie, (2) conçoivent une </w:t>
        <w:br/>
        <w:t xml:space="preserve">stratégie, ou (3) en attente de l’adoption d’une stratégie au cours de l’année en cours.  Le niveau de financement du régime est mesuré en agrégeant le financement </w:t>
        <w:br/>
        <w:t xml:space="preserve">engagés par les différents bailleurs de fonds. Si le total engagé est égal au fonds total requis pour le plan, alors celui-ci est entièrement capitalisé, sinon il est partiellement financé. </w:t>
        <w:br/>
        <w:t xml:space="preserve">financé. </w:t>
        <w:br/>
        <w:t xml:space="preserve">Commentaires et limites : N/A </w:t>
        <w:br/>
        <w:t>Indicateurs proxy, alternatifs et supplémentaires : N/A</w:t>
        <w:br/>
        <w:t>Cet indicateur peut être désagrégé par zone géographique.</w:t>
        <w:br/>
        <w:t>URL officielle des métadonnées ODD</w:t>
        <w:br/>
        <w:t xml:space="preserve">https://unstats.un.org/sdgs/metadata/files/Metadata-17-18-03.pdf  </w:t>
        <w:br/>
        <w:t>Méthodologie reconnue au niveau international et URL des lignes directrices</w:t>
        <w:br/>
        <w:t xml:space="preserve">http://nsdsguidelines.paris21.org/  </w:t>
        <w:br/>
        <w:t>Autres références</w:t>
        <w:br/>
        <w:t>Paris21. Site Internet : Processus de mise à jour des lignes directrices de la SNDS et lignes directrices 2.3. http://nsdsguidelines.paris21.org/</w:t>
        <w:br/>
        <w:t>Paris21. Site Internet : Rapports d'état NSDS. http://www.paris21.org/nsds-status</w:t>
        <w:br/>
        <w:t xml:space="preserve">Exemples de pays </w:t>
        <w:br/>
        <w:t>N/D</w:t>
        <w:br/>
        <w:t>Ce document a été préparé sur la base des contributions du Partenariat statistique pour le développement au 21e siècle (Paris 21).</w:t>
        <w:br/>
        <w:t>Pour obtenir des informations sur les points focaux pour cet indicateur, veuillez visiter https://unstats.un.org/sdgs/dataContacts/</w:t>
      </w:r>
    </w:p>
    <w:p>
      <w:pPr>
        <w:pStyle w:val="Heading2"/>
      </w:pPr>
      <w:r>
        <w:t>Page 361</w:t>
      </w:r>
    </w:p>
    <w:p>
      <w:r>
        <w:t>Texte d'en-tête</w:t>
        <w:br/>
        <w:t>Texte de pied de page</w:t>
        <w:br/>
        <w:t>Indicateur 17.19.1</w:t>
        <w:br/>
        <w:t>Page d'accueil du manuel électronique</w:t>
        <w:br/>
        <w:t xml:space="preserve"> </w:t>
        <w:br/>
        <w:t>Nom de l’indicateur, cible et objectif</w:t>
        <w:br/>
        <w:t>Définition et justification</w:t>
        <w:br/>
        <w:t>Sources de données et méthode de collecte</w:t>
        <w:br/>
        <w:t>Méthode de calcul et autres considérations méthodologiques</w:t>
        <w:br/>
        <w:t>Contenu</w:t>
        <w:br/>
        <w:t>Nom de l’indicateur, cible et objectif</w:t>
        <w:br/>
        <w:t>Définition et justification</w:t>
        <w:br/>
        <w:t>Sources de données et méthode de collecte</w:t>
        <w:br/>
        <w:t>Méthode de calcul et autres considérations méthodologiques</w:t>
        <w:br/>
        <w:t>Désagrégation des données</w:t>
        <w:br/>
        <w:t>Références</w:t>
        <w:br/>
        <w:t>Organisation(s) internationale(s) de surveillance mondiale</w:t>
        <w:br/>
        <w:t xml:space="preserve"> Indicateur 17.19.1 : Valeur monétaire de toutes les ressources mises à disposition pour renforcer les capacités statistiques dans les pays en développement</w:t>
        <w:br/>
        <w:t xml:space="preserve">Cible 17.19 : D’ici 2030, s’appuyer sur les initiatives existantes pour élaborer des mesures des progrès en matière de développement durable qui complètent les </w:t>
        <w:br/>
        <w:t>produit intérieur et soutenir le renforcement des capacités statistiques dans les pays en développement</w:t>
        <w:br/>
        <w:t>Objectif 17 : Renforcer les moyens de mise en œuvre et revitaliser le Partenariat mondial pour le développement durable</w:t>
        <w:br/>
        <w:t>Définition :</w:t>
        <w:br/>
        <w:t xml:space="preserve">Cet indicateur est défini comme la valeur totale en dollars américains de toutes les ressources mises à disposition pour renforcer les capacités statistiques en matière de développement. </w:t>
        <w:br/>
        <w:t xml:space="preserve">pays. Il s'appuie sur le Rapport Partenaire d'Appui aux Statistiques (PRESS) conçu et administré par PARIS21. </w:t>
        <w:br/>
        <w:t xml:space="preserve">Concepts : </w:t>
        <w:br/>
        <w:t xml:space="preserve">Les ressources sont définies comme tous les financements alloués aux projets/programmes définis par le système de rapport sur les créanciers (CRS) en tant que capacité statistique. </w:t>
        <w:br/>
        <w:t xml:space="preserve">bâtiment ainsi que l'assistance technique, la formation, les biens et équipements, les installations, etc. dans le cadre de ces projets. ([1] Code-objet CRS 16062 : </w:t>
        <w:br/>
        <w:t xml:space="preserve">Renforcement des capacités statistiques : tant dans les bureaux nationaux de statistique que dans tout autre ministère gouvernemental. ) </w:t>
        <w:br/>
        <w:t xml:space="preserve">Le renforcement des capacités statistiques est le processus par lequel le système statistique national d’un pays, ses organisations et ses individus obtiennent : </w:t>
        <w:br/>
        <w:t>renforcer et maintenir leurs capacités à collecter, produire, analyser et diffuser des données fiables et de haute qualité pour répondre aux besoins des utilisateurs.</w:t>
        <w:br/>
        <w:t xml:space="preserve">PRESSE est l'une des publications phares de PARIS21. Il présente des données sur le soutien technique et financier au développement statistique dans le monde et est </w:t>
        <w:br/>
        <w:t xml:space="preserve">donc un outil précieux de collaboration. </w:t>
        <w:br/>
        <w:t>Justification et interprétation :</w:t>
        <w:br/>
        <w:t>Cet indicateur est une mesure directe de l’effort mondial visant à soutenir le renforcement des capacités statistiques dans les pays en développement.</w:t>
        <w:br/>
        <w:t>Cet indicateur s’appuie sur trois sources de données :</w:t>
        <w:br/>
        <w:t xml:space="preserve">(1)    Le SNPC de l'OCDE, qui enregistre les données sur l'APD et les autres flux publics (OOF) des membres du Comité d'aide au développement (CAD). </w:t>
        <w:br/>
        <w:t xml:space="preserve">et certains non-membres, et fournit une comptabilité complète de l’APD. Toute APD et OOF déclarée par les donateurs pour la capacité statistique </w:t>
        <w:br/>
        <w:t>Le bâtiment (SCB) est désigné par le code 16062 ;</w:t>
        <w:br/>
        <w:t xml:space="preserve">(2)    Dans les cas où SCB fait partie d'un projet plus vaste et n'est pas directement capturé par le CRS sous le code 16062, le projet PARIS21recherche </w:t>
        <w:br/>
        <w:t>descriptions d'une composante SCB et l'ajoute au total des décaissements pour la SCB ; et</w:t>
        <w:br/>
        <w:t xml:space="preserve">(3)    Un questionnaire en ligne volontaire rempli par un réseau mondial de journalistes. Les déclarants sont des pays qui ne rendent pas compte au </w:t>
        <w:br/>
        <w:t>CRS, ainsi que les institutions multilatérales qui disposent d’un large portefeuille de projets statistiques.</w:t>
        <w:br/>
        <w:t xml:space="preserve">Les pays bénéficiaires ne sont pas tenus de fournir des données aux trois sources. Les donateurs sont encouragés à fournir des informations sur l'allocation budgétaire à </w:t>
        <w:br/>
        <w:t xml:space="preserve">niveau sectoriel. Les donateurs multilatéraux travaillent en étroite collaboration avec PARIS21 pour remplir le questionnaire en ligne afin de fournir des données de meilleure qualité et plus complètes à </w:t>
        <w:br/>
        <w:t>source (3).</w:t>
      </w:r>
    </w:p>
    <w:p>
      <w:pPr>
        <w:pStyle w:val="Heading2"/>
      </w:pPr>
      <w:r>
        <w:t>Page 362</w:t>
      </w:r>
    </w:p>
    <w:p>
      <w:r>
        <w:t>Texte d'en-tête</w:t>
        <w:br/>
        <w:t>Texte de pied de page</w:t>
        <w:br/>
        <w:t>Désagrégation des données</w:t>
        <w:br/>
        <w:t>Références</w:t>
        <w:br/>
        <w:t>Organisation(s) internationale(s) de surveillance mondiale</w:t>
        <w:br/>
        <w:t>Méthode de calcul :</w:t>
        <w:br/>
        <w:t xml:space="preserve">Cet indicateur est calculé comme la somme de tous les décaissements de projets/programmes pour le renforcement des capacités statistiques dans les pays en développement dans une période donnée. </w:t>
        <w:br/>
        <w:t xml:space="preserve">année. Toutes les valeurs sont converties en dollars américains en utilisant le taux de conversion moyen de la période (année donnée) pour laquelle l'indicateur est </w:t>
        <w:br/>
        <w:t xml:space="preserve">en cours de calcul. </w:t>
        <w:br/>
        <w:t>Commentaires et limites :</w:t>
        <w:br/>
        <w:t xml:space="preserve">Les chiffres financiers présentés dans la PRESSE sont tirés du Système de notification des créanciers (CRS) de l’OCDE pour l’aide publique au développement. </w:t>
        <w:br/>
        <w:t xml:space="preserve">(APD), complétés par des rapports volontaires d’autres donateurs. Par conséquent, la couverture complète de tous les programmes est incertaine. </w:t>
        <w:br/>
        <w:t xml:space="preserve">Les commentaires rapportés constituent également une limite supérieure au soutien réel aux statistiques. Cela est dû à trois raisons : (1) double comptage des </w:t>
        <w:br/>
        <w:t xml:space="preserve">des projets peuvent survenir lorsque le donateur et l'exécutant du projet rendent compte du même projet ou lorsque tous les cofinanceurs du projet déclarent les totaux du projet ; (2) </w:t>
        <w:br/>
        <w:t xml:space="preserve">les chiffres déclarés peuvent être gonflés en travaillant avec les totaux des projets multisectoriels qui ont une petite composante statistique ; et (3) le </w:t>
        <w:br/>
        <w:t xml:space="preserve">PRESS fait état d'engagements des donateurs qui ne se traduisent pas toujours par des décaissements réels en faveur des pays bénéficiaires. </w:t>
        <w:br/>
        <w:t xml:space="preserve">L’indicateur ne rend compte que du soutien international aux statistiques et ne tient pas compte des ressources nationales. </w:t>
        <w:br/>
        <w:t xml:space="preserve">En raison des différents calendriers fiscaux entre les donateurs, les données présentent un décalage de 2 ans. </w:t>
        <w:br/>
        <w:t>Indicateurs proxy, alternatifs et supplémentaires : N/A</w:t>
        <w:br/>
        <w:t xml:space="preserve">Cet indicateur peut être ventilé par zone géographique, secteurs d’APD, domaine de statistiques et méthode de financement (par exemple subvention, prêt, etc.). </w:t>
        <w:br/>
        <w:t>URL officielle des métadonnées ODD</w:t>
        <w:br/>
        <w:t xml:space="preserve">https://unstats.un.org/sdgs/metadata/files/Metadata-17-19-01.pdf  </w:t>
        <w:br/>
        <w:t>Méthodologie reconnue au niveau international et URL des lignes directrices</w:t>
        <w:br/>
        <w:t xml:space="preserve">http://www.paris21.org/news-center/news/press-partner-report-support-statistics  </w:t>
        <w:br/>
        <w:t>Autres références</w:t>
        <w:br/>
        <w:t>PARIS21 (2016). Paris. Disponible sur : Rapport partenaire sur le soutien aux statistiques PRESS 2016. http://www.paris21.org/news-center/news/press-</w:t>
        <w:br/>
        <w:t>partenaire-rapport-support-statistiques</w:t>
        <w:br/>
        <w:t>OCDE (2007). Paris. Disponible à l'adresse : Directives de déclaration pour le système de déclaration des créanciers. http://www.oecd.org/dac/stats/1948102.pdf</w:t>
        <w:br/>
        <w:t>Ce document a été préparé sur la base des contributions du Partenariat statistique pour le développement au 21e siècle (Paris 21).</w:t>
        <w:br/>
        <w:t>Pour obtenir des informations sur les points focaux pour cet indicateur, veuillez visiter https://unstats.un.org/sdgs/dataContacts/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