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4E78"/>
          <w:sz w:val="40"/>
        </w:rPr>
        <w:t>ATELIER D'ANALYSE DU QUATRIÈME RECENSEMENT GÉNÉRAL DE LA POPULATION ET DE L'HABITATION (RGPH-4)</w:t>
      </w:r>
    </w:p>
    <w:p>
      <w:pPr>
        <w:spacing w:after="480"/>
        <w:jc w:val="center"/>
      </w:pPr>
      <w:r>
        <w:rPr>
          <w:rFonts w:ascii="Calibri" w:hAnsi="Calibri"/>
          <w:i/>
          <w:color w:val="595959"/>
          <w:sz w:val="26"/>
        </w:rPr>
        <w:t>Feuille de Route pour l'Obtention de Résultats Valides, Incontestables et Acceptés de Tous</w:t>
      </w:r>
    </w:p>
    <w:p>
      <w:pPr>
        <w:spacing w:before="320" w:after="120"/>
      </w:pPr>
      <w:r>
        <w:rPr>
          <w:rFonts w:ascii="Calibri" w:hAnsi="Calibri"/>
          <w:b/>
          <w:color w:val="1F4E78"/>
          <w:sz w:val="30"/>
        </w:rPr>
        <w:t>INTRODUCTION</w:t>
      </w:r>
    </w:p>
    <w:p>
      <w:pPr>
        <w:spacing w:after="120" w:line="276" w:lineRule="auto"/>
      </w:pPr>
      <w:r>
        <w:t>Pour garantir que les résultats issus du RGPH-4 soient scientifiquement irréprochables, crédibles et adoptés par l'ensemble des parties prenantes (Gouvernement, Partenaires au Développement, Communauté Scientifique, Société Civile), le processus d'analyse doit respecter une méthodologie rigoureuse conforme aux standards internationaux (Nations Unies / UNFPA).</w:t>
      </w:r>
    </w:p>
    <w:p>
      <w:pPr>
        <w:spacing w:before="320" w:after="120"/>
      </w:pPr>
      <w:r>
        <w:rPr>
          <w:rFonts w:ascii="Calibri" w:hAnsi="Calibri"/>
          <w:b/>
          <w:color w:val="1F4E78"/>
          <w:sz w:val="30"/>
        </w:rPr>
        <w:t>1. CADRE MÉTHODOLOGIQUE ET ÉVALUATION DE LA QUALITÉ DES DONNÉES</w:t>
      </w:r>
    </w:p>
    <w:p>
      <w:pPr>
        <w:spacing w:after="120" w:line="276" w:lineRule="auto"/>
      </w:pPr>
      <w:r>
        <w:t>Avant toute analyse thématique, la validation de la qualité de la base de données brutes est une étape obligatoire.</w:t>
      </w:r>
    </w:p>
    <w:p>
      <w:pPr>
        <w:pStyle w:val="ListBullet"/>
        <w:spacing w:after="80" w:line="276" w:lineRule="auto"/>
      </w:pPr>
      <w:r>
        <w:rPr>
          <w:b/>
        </w:rPr>
        <w:t>Analyse de la couverture et du contenu :</w:t>
      </w:r>
      <w:r>
        <w:t xml:space="preserve"> Évaluation de l'exhaustivité du dénombrement (mesure du taux d'omission via l'Enquête Post-Censitaires - EPC) et application des méthodes indirectes d'évaluation de la qualité des données (indices de Whipple, de Myers, de Bachi pour mesurer l'attraction des âges).</w:t>
      </w:r>
    </w:p>
    <w:p>
      <w:pPr>
        <w:pStyle w:val="ListBullet"/>
        <w:spacing w:after="80" w:line="276" w:lineRule="auto"/>
      </w:pPr>
      <w:r>
        <w:rPr>
          <w:b/>
        </w:rPr>
        <w:t>Ajustement et lissage des structures :</w:t>
      </w:r>
      <w:r>
        <w:t xml:space="preserve"> Correction des erreurs de déclaration d'âge et lissage de la pyramide des âges si nécessaire. Traitement systématique, logique et documenté des valeurs manquantes et des incohérences.</w:t>
      </w:r>
    </w:p>
    <w:p>
      <w:pPr>
        <w:spacing w:before="320" w:after="120"/>
      </w:pPr>
      <w:r>
        <w:rPr>
          <w:rFonts w:ascii="Calibri" w:hAnsi="Calibri"/>
          <w:b/>
          <w:color w:val="1F4E78"/>
          <w:sz w:val="30"/>
        </w:rPr>
        <w:t>2. ORGANISATION STRATÉGIQUE DES TRAVAUX D'ANALYSE</w:t>
      </w:r>
    </w:p>
    <w:p>
      <w:pPr>
        <w:spacing w:before="240" w:after="80"/>
      </w:pPr>
      <w:r>
        <w:rPr>
          <w:rFonts w:ascii="Calibri" w:hAnsi="Calibri"/>
          <w:b/>
          <w:color w:val="2E75B6"/>
          <w:sz w:val="25"/>
        </w:rPr>
        <w:t>A. Groupes Thématiques d'Analyse</w:t>
      </w:r>
    </w:p>
    <w:p>
      <w:pPr>
        <w:spacing w:after="120" w:line="276" w:lineRule="auto"/>
      </w:pPr>
      <w:r>
        <w:t>Les analystes sont répartis en commissions spécialisées :</w:t>
      </w:r>
    </w:p>
    <w:p>
      <w:pPr>
        <w:pStyle w:val="ListBullet"/>
        <w:spacing w:after="80" w:line="276" w:lineRule="auto"/>
      </w:pPr>
      <w:r>
        <w:rPr>
          <w:b/>
        </w:rPr>
        <w:t>1. État et structure de la population :</w:t>
      </w:r>
      <w:r>
        <w:t xml:space="preserve"> Âge, sexe, répartition spatiale, urbanisation.</w:t>
      </w:r>
    </w:p>
    <w:p>
      <w:pPr>
        <w:pStyle w:val="ListBullet"/>
        <w:spacing w:after="80" w:line="276" w:lineRule="auto"/>
      </w:pPr>
      <w:r>
        <w:rPr>
          <w:b/>
        </w:rPr>
        <w:t>2. Mouvements de la population :</w:t>
      </w:r>
      <w:r>
        <w:t xml:space="preserve"> Fécondité, mortalité, migrations internes et internationales.</w:t>
      </w:r>
    </w:p>
    <w:p>
      <w:pPr>
        <w:pStyle w:val="ListBullet"/>
        <w:spacing w:after="80" w:line="276" w:lineRule="auto"/>
      </w:pPr>
      <w:r>
        <w:rPr>
          <w:b/>
        </w:rPr>
        <w:t>3. Caractéristiques sociodémographiques :</w:t>
      </w:r>
      <w:r>
        <w:t xml:space="preserve"> Éducation, alphabétisation, état matrimonial.</w:t>
      </w:r>
    </w:p>
    <w:p>
      <w:pPr>
        <w:pStyle w:val="ListBullet"/>
        <w:spacing w:after="80" w:line="276" w:lineRule="auto"/>
      </w:pPr>
      <w:r>
        <w:rPr>
          <w:b/>
        </w:rPr>
        <w:t>4. Caractéristiques économiques :</w:t>
      </w:r>
      <w:r>
        <w:t xml:space="preserve"> Activité, emploi, secteur d'activité, statut dans l'emploi.</w:t>
      </w:r>
    </w:p>
    <w:p>
      <w:pPr>
        <w:pStyle w:val="ListBullet"/>
        <w:spacing w:after="80" w:line="276" w:lineRule="auto"/>
      </w:pPr>
      <w:r>
        <w:rPr>
          <w:b/>
        </w:rPr>
        <w:t>5. Caractéristiques de l'habitat et conditions de vie :</w:t>
      </w:r>
      <w:r>
        <w:t xml:space="preserve"> Type de logement, accès à l'eau potable, énergie, assainissement.</w:t>
      </w:r>
    </w:p>
    <w:p>
      <w:pPr>
        <w:pStyle w:val="ListBullet"/>
        <w:spacing w:after="80" w:line="276" w:lineRule="auto"/>
      </w:pPr>
      <w:r>
        <w:rPr>
          <w:b/>
        </w:rPr>
        <w:t>6. Thématiques transversales :</w:t>
      </w:r>
      <w:r>
        <w:t xml:space="preserve"> Genre, handicap, personnes âgées, jeunesse, vulnérabilités.</w:t>
      </w:r>
    </w:p>
    <w:p>
      <w:pPr>
        <w:spacing w:before="240" w:after="80"/>
      </w:pPr>
      <w:r>
        <w:rPr>
          <w:rFonts w:ascii="Calibri" w:hAnsi="Calibri"/>
          <w:b/>
          <w:color w:val="2E75B6"/>
          <w:sz w:val="25"/>
        </w:rPr>
        <w:t>B. Outils et Protocoles d'Analyse</w:t>
      </w:r>
    </w:p>
    <w:p>
      <w:pPr>
        <w:pStyle w:val="ListBullet"/>
        <w:spacing w:after="80" w:line="276" w:lineRule="auto"/>
      </w:pPr>
      <w:r>
        <w:rPr>
          <w:b/>
        </w:rPr>
        <w:t>Plan d'analyse standardisé :</w:t>
      </w:r>
      <w:r>
        <w:t xml:space="preserve"> Définition d'un canevas unique de rédaction pour l'ensemble des groupes d'analyse.</w:t>
      </w:r>
    </w:p>
    <w:p>
      <w:pPr>
        <w:pStyle w:val="ListBullet"/>
        <w:spacing w:after="80" w:line="276" w:lineRule="auto"/>
      </w:pPr>
      <w:r>
        <w:rPr>
          <w:b/>
        </w:rPr>
        <w:t>Tabulations croisées avancées :</w:t>
      </w:r>
      <w:r>
        <w:t xml:space="preserve"> Utilisation de scripts de traitement validés (CSPro, R, SPSS, Stata) basés sur le plan de tabulation officiel.</w:t>
      </w:r>
    </w:p>
    <w:p>
      <w:pPr>
        <w:pStyle w:val="ListBullet"/>
        <w:spacing w:after="80" w:line="276" w:lineRule="auto"/>
      </w:pPr>
      <w:r>
        <w:rPr>
          <w:b/>
        </w:rPr>
        <w:t>Analyse spatiale :</w:t>
      </w:r>
      <w:r>
        <w:t xml:space="preserve"> Intégration du Système d'Information Géographique (SIG) pour la cartographie des indicateurs aux niveaux administratifs fins.</w:t>
      </w:r>
    </w:p>
    <w:p>
      <w:pPr>
        <w:spacing w:before="320" w:after="120"/>
      </w:pPr>
      <w:r>
        <w:rPr>
          <w:rFonts w:ascii="Calibri" w:hAnsi="Calibri"/>
          <w:b/>
          <w:color w:val="1F4E78"/>
          <w:sz w:val="30"/>
        </w:rPr>
        <w:t>3. MÉCANISME DE VALIDATION ET DE CONSENSUS</w:t>
      </w:r>
    </w:p>
    <w:p>
      <w:pPr>
        <w:spacing w:after="120" w:line="276" w:lineRule="auto"/>
      </w:pPr>
      <w:r>
        <w:t>La légitimité des résultats repose sur un processus de validation transparent et à plusieurs niveaux :</w:t>
      </w:r>
    </w:p>
    <w:tbl>
      <w:tblPr>
        <w:tblW w:type="auto" w:w="0"/>
        <w:jc w:val="center"/>
        <w:tblLook w:firstColumn="1" w:firstRow="1" w:lastColumn="0" w:lastRow="0" w:noHBand="0" w:noVBand="1" w:val="04A0"/>
      </w:tblPr>
      <w:tblGrid>
        <w:gridCol w:w="9360"/>
      </w:tblGrid>
      <w:tr>
        <w:tc>
          <w:tcPr>
            <w:tcW w:type="dxa" w:w="9360"/>
            <w:shd w:val="clear" w:color="auto" w:fill="F2F4F7"/>
          </w:tcPr>
          <w:p>
            <w:pPr>
              <w:spacing w:before="120" w:after="120"/>
            </w:pPr>
            <w:r>
              <w:rPr>
                <w:rFonts w:ascii="Calibri" w:hAnsi="Calibri"/>
                <w:b/>
                <w:color w:val="1F4E78"/>
                <w:sz w:val="20"/>
              </w:rPr>
              <w:t>SCHÉMA DU PROCESSUS DE VALIDATION :</w:t>
              <w:br/>
              <w:br/>
              <w:t>[ Travaux des Groupes d'Analystes ]</w:t>
              <w:br/>
              <w:t xml:space="preserve">       └──► [ Revue par le Comité Technique ] (Séniors &amp; Experts thématiques)</w:t>
              <w:br/>
              <w:t xml:space="preserve">                 └──► [ Peer-Review Interne ] (Présentation croisée entre équipes)</w:t>
              <w:br/>
              <w:t xml:space="preserve">                           └──► [ Atelier National de Validation ] (Ministères, Partenaires, Chercheurs)</w:t>
            </w:r>
          </w:p>
        </w:tc>
      </w:tr>
    </w:tbl>
    <w:p>
      <w:pPr>
        <w:spacing w:after="120"/>
      </w:pPr>
    </w:p>
    <w:p>
      <w:pPr>
        <w:pStyle w:val="ListBullet"/>
        <w:spacing w:after="80" w:line="276" w:lineRule="auto"/>
      </w:pPr>
      <w:r>
        <w:rPr>
          <w:b/>
        </w:rPr>
        <w:t>1. Contrôle Qualité Interne (Peer-Review) :</w:t>
      </w:r>
      <w:r>
        <w:t xml:space="preserve"> Relecture critique de chaque rapport de groupe par une équipe tierce ou des experts séniors.</w:t>
      </w:r>
    </w:p>
    <w:p>
      <w:pPr>
        <w:pStyle w:val="ListBullet"/>
        <w:spacing w:after="80" w:line="276" w:lineRule="auto"/>
      </w:pPr>
      <w:r>
        <w:rPr>
          <w:b/>
        </w:rPr>
        <w:t>2. Cohérence Inter-thématique :</w:t>
      </w:r>
      <w:r>
        <w:t xml:space="preserve"> Contrôle de la concordance des données transversales (ex: adéquation entre le niveau d'instruction et la fécondité, ou le statut d'activité et les conditions de vie).</w:t>
      </w:r>
    </w:p>
    <w:p>
      <w:pPr>
        <w:pStyle w:val="ListBullet"/>
        <w:spacing w:after="80" w:line="276" w:lineRule="auto"/>
      </w:pPr>
      <w:r>
        <w:rPr>
          <w:b/>
        </w:rPr>
        <w:t>3. Consensus Technique :</w:t>
      </w:r>
      <w:r>
        <w:t xml:space="preserve"> Présentation en séance plénière de chaque chapitre pour débat, amendement et adoption formelle.</w:t>
      </w:r>
    </w:p>
    <w:p>
      <w:pPr>
        <w:spacing w:before="320" w:after="120"/>
      </w:pPr>
      <w:r>
        <w:rPr>
          <w:rFonts w:ascii="Calibri" w:hAnsi="Calibri"/>
          <w:b/>
          <w:color w:val="1F4E78"/>
          <w:sz w:val="30"/>
        </w:rPr>
        <w:t>4. LIVRABLES REQUIS POUR ACCEPTATION FINALE</w:t>
      </w:r>
    </w:p>
    <w:p>
      <w:pPr>
        <w:spacing w:after="120" w:line="276" w:lineRule="auto"/>
      </w:pPr>
      <w:r>
        <w:t>L'atelier doit déboucher sur la production des documents officiels suivants :</w:t>
      </w:r>
    </w:p>
    <w:p>
      <w:pPr>
        <w:pStyle w:val="ListBullet"/>
        <w:spacing w:after="80" w:line="276" w:lineRule="auto"/>
      </w:pPr>
      <w:r>
        <w:rPr>
          <w:b/>
        </w:rPr>
        <w:t>Le Rapport de Synthèse National :</w:t>
      </w:r>
      <w:r>
        <w:t xml:space="preserve"> Vue d'ensemble stratégique destinée aux décideurs politiques.</w:t>
      </w:r>
    </w:p>
    <w:p>
      <w:pPr>
        <w:pStyle w:val="ListBullet"/>
        <w:spacing w:after="80" w:line="276" w:lineRule="auto"/>
      </w:pPr>
      <w:r>
        <w:rPr>
          <w:b/>
        </w:rPr>
        <w:t>Les Rapports Thématiques Détaillés :</w:t>
      </w:r>
      <w:r>
        <w:t xml:space="preserve"> Volumes d'analyse approfondie pour les techniciens et chercheurs.</w:t>
      </w:r>
    </w:p>
    <w:p>
      <w:pPr>
        <w:pStyle w:val="ListBullet"/>
        <w:spacing w:after="80" w:line="276" w:lineRule="auto"/>
      </w:pPr>
      <w:r>
        <w:rPr>
          <w:b/>
        </w:rPr>
        <w:t>L'Atlas Démographique :</w:t>
      </w:r>
      <w:r>
        <w:t xml:space="preserve"> Cartographie illustrée des indicateurs clés.</w:t>
      </w:r>
    </w:p>
    <w:p>
      <w:pPr>
        <w:pStyle w:val="ListBullet"/>
        <w:spacing w:after="80" w:line="276" w:lineRule="auto"/>
      </w:pPr>
      <w:r>
        <w:rPr>
          <w:b/>
        </w:rPr>
        <w:t>Le Fichier de Microdonnées Anonymisées :</w:t>
      </w:r>
      <w:r>
        <w:t xml:space="preserve"> Base de données nettoyée et sécurisée pour la recherche, garantissant l'anonymat des répondants.</w:t>
      </w:r>
    </w:p>
    <w:p>
      <w:pPr>
        <w:pStyle w:val="ListBullet"/>
        <w:spacing w:after="80" w:line="276" w:lineRule="auto"/>
      </w:pPr>
      <w:r>
        <w:rPr>
          <w:b/>
        </w:rPr>
        <w:t>Les Notes d'Orientation Politique (Policy Briefs) :</w:t>
      </w:r>
      <w:r>
        <w:t xml:space="preserve"> Documents synthétiques faisant le lien entre les résultats du RGPH-4, le plan national de développement et les Objectifs de Développement Durable (ODD).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