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8"/>
          <w:sz w:val="36"/>
        </w:rPr>
        <w:t>ATELIER D'ANALYSE DU RGPH-4 : GUIDE TECHNIQUE &amp; OUTILS DE VALIDATION</w:t>
      </w:r>
    </w:p>
    <w:p>
      <w:pPr>
        <w:spacing w:after="400"/>
        <w:jc w:val="center"/>
      </w:pPr>
      <w:r>
        <w:rPr>
          <w:rFonts w:ascii="Calibri" w:hAnsi="Calibri"/>
          <w:i/>
          <w:color w:val="595959"/>
          <w:sz w:val="24"/>
        </w:rPr>
        <w:t>Outils d'Évaluation de la Qualité des Données et Plan d'Analyse Type pour Groupe Thématique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PARTIE 1 : GRILLE D'ÉVALUATION ET DE CONTRÔLE QUALITÉ DES DONNÉES</w:t>
      </w:r>
    </w:p>
    <w:p>
      <w:pPr>
        <w:spacing w:after="120" w:line="276" w:lineRule="auto"/>
      </w:pPr>
      <w:r>
        <w:t>Avant d'entamer la rédaction des chapitres d'analyse, chaque groupe doit valider les données de sa thématique selon les trois dimensions ci-dessous.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1.1 Évaluation de la Couverture et de l'Exhaustivité</w:t>
      </w:r>
    </w:p>
    <w:p>
      <w:pPr>
        <w:pStyle w:val="ListBullet"/>
        <w:spacing w:after="80" w:line="276" w:lineRule="auto"/>
      </w:pPr>
      <w:r>
        <w:rPr>
          <w:b/>
        </w:rPr>
        <w:t>Taux d'omission :</w:t>
      </w:r>
      <w:r>
        <w:t xml:space="preserve"> Confrontation des effectifs dénombrés avec les résultats de l'Enquête Post-Censitaires (EPC) pour établir le taux d'omission net.</w:t>
      </w:r>
    </w:p>
    <w:p>
      <w:pPr>
        <w:pStyle w:val="ListBullet"/>
        <w:spacing w:after="80" w:line="276" w:lineRule="auto"/>
      </w:pPr>
      <w:r>
        <w:rPr>
          <w:b/>
        </w:rPr>
        <w:t>Taux de complétude :</w:t>
      </w:r>
      <w:r>
        <w:t xml:space="preserve"> Vérification du taux de réponse aux questions obligatoires du questionnaire individuel et ménage.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1.2 Évaluation de la Qualité des Déclarations d'Âge</w:t>
      </w:r>
    </w:p>
    <w:p>
      <w:pPr>
        <w:pStyle w:val="ListBullet"/>
        <w:spacing w:after="80" w:line="276" w:lineRule="auto"/>
      </w:pPr>
      <w:r>
        <w:rPr>
          <w:b/>
        </w:rPr>
        <w:t>Indice de Whipple :</w:t>
      </w:r>
      <w:r>
        <w:t xml:space="preserve"> Calcul de l'indice pour mesurer la préférence pour les âges terminés par 0 et 5 (Seuil acceptable : &lt; 105).</w:t>
      </w:r>
    </w:p>
    <w:p>
      <w:pPr>
        <w:pStyle w:val="ListBullet"/>
        <w:spacing w:after="80" w:line="276" w:lineRule="auto"/>
      </w:pPr>
      <w:r>
        <w:rPr>
          <w:b/>
        </w:rPr>
        <w:t>Indice de Myers :</w:t>
      </w:r>
      <w:r>
        <w:t xml:space="preserve"> Évaluation du niveau de concentration des âges de 0 à 99 ans (Seuil acceptable : &lt; 10).</w:t>
      </w:r>
    </w:p>
    <w:p>
      <w:pPr>
        <w:pStyle w:val="ListBullet"/>
        <w:spacing w:after="80" w:line="276" w:lineRule="auto"/>
      </w:pPr>
      <w:r>
        <w:rPr>
          <w:b/>
        </w:rPr>
        <w:t>Ratio de masculinité par âge :</w:t>
      </w:r>
      <w:r>
        <w:t xml:space="preserve"> Analyse des rapports de masculinité par tranche d'âge décennale pour détecter les sur-évictions ou sous-déclarations.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1.3 Contrôles de Cohérence Logique et Inter-variables</w:t>
      </w:r>
    </w:p>
    <w:p>
      <w:pPr>
        <w:pStyle w:val="ListBullet"/>
        <w:spacing w:after="80" w:line="276" w:lineRule="auto"/>
      </w:pPr>
      <w:r>
        <w:rPr>
          <w:b/>
        </w:rPr>
        <w:t>Fécondité vs Âge :</w:t>
      </w:r>
      <w:r>
        <w:t xml:space="preserve"> Incohérences entre l'âge de la mère et le nombre d'enfants nés vivants (ex. mère de 12 ans avec 5 enfants).</w:t>
      </w:r>
    </w:p>
    <w:p>
      <w:pPr>
        <w:pStyle w:val="ListBullet"/>
        <w:spacing w:after="80" w:line="276" w:lineRule="auto"/>
      </w:pPr>
      <w:r>
        <w:rPr>
          <w:b/>
        </w:rPr>
        <w:t>Éducation vs Emploi :</w:t>
      </w:r>
      <w:r>
        <w:t xml:space="preserve"> Incohérences entre le niveau d'instruction et la profession déclarée (ex. médecin sans diplôme supérieur).</w:t>
      </w:r>
    </w:p>
    <w:p>
      <w:pPr>
        <w:pStyle w:val="ListBullet"/>
        <w:spacing w:after="80" w:line="276" w:lineRule="auto"/>
      </w:pPr>
      <w:r>
        <w:rPr>
          <w:b/>
        </w:rPr>
        <w:t>Habitat vs Équipements :</w:t>
      </w:r>
      <w:r>
        <w:t xml:space="preserve"> Incohérences entre le statut d'occupation du logement et les équipements possédés.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PARTIE 2 : PLAN D'ANALYSE TYPE D'UN GROUPE THÉMATIQUE</w:t>
      </w:r>
    </w:p>
    <w:p>
      <w:pPr>
        <w:spacing w:after="120" w:line="276" w:lineRule="auto"/>
      </w:pPr>
      <w:r>
        <w:t>Canevas standardisé à appliquer par chaque commission thématique (Exemple : Commission Démographie / État et Structure).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I. Introduction et Cadre Conceptuel</w:t>
      </w:r>
    </w:p>
    <w:p>
      <w:pPr>
        <w:pStyle w:val="ListBullet"/>
        <w:spacing w:after="80" w:line="276" w:lineRule="auto"/>
      </w:pPr>
      <w:r>
        <w:rPr>
          <w:b/>
        </w:rPr>
        <w:t>1.1 Contextualisation :</w:t>
      </w:r>
      <w:r>
        <w:t xml:space="preserve"> Contexte, objectifs de l'analyse thématique et alignement avec les indicateurs nationaux (PNDS) et internationaux (ODD).</w:t>
      </w:r>
    </w:p>
    <w:p>
      <w:pPr>
        <w:pStyle w:val="ListBullet"/>
        <w:spacing w:after="80" w:line="276" w:lineRule="auto"/>
      </w:pPr>
      <w:r>
        <w:rPr>
          <w:b/>
        </w:rPr>
        <w:t>1.2 Concepts et Définitions :</w:t>
      </w:r>
      <w:r>
        <w:t xml:space="preserve"> Définition opérationnelle des concepts clés et variables utilisées.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II. Méthodologie et Sources de Données</w:t>
      </w:r>
    </w:p>
    <w:p>
      <w:pPr>
        <w:pStyle w:val="ListBullet"/>
        <w:spacing w:after="80" w:line="276" w:lineRule="auto"/>
      </w:pPr>
      <w:r>
        <w:rPr>
          <w:b/>
        </w:rPr>
        <w:t>2.1 Source des données :</w:t>
      </w:r>
      <w:r>
        <w:t xml:space="preserve"> Variables extraites de la base du RGPH-4 et rappel des limites éventuelles des données.</w:t>
      </w:r>
    </w:p>
    <w:p>
      <w:pPr>
        <w:pStyle w:val="ListBullet"/>
        <w:spacing w:after="80" w:line="276" w:lineRule="auto"/>
      </w:pPr>
      <w:r>
        <w:rPr>
          <w:b/>
        </w:rPr>
        <w:t>2.2 Méthodes d'analyse :</w:t>
      </w:r>
      <w:r>
        <w:t xml:space="preserve"> Méthodes d'estimation (directes et indirectes) et logiciels de traitement appliqués (CSPro, R, Stata).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III. Résultats Principaux et Analyse Descriptive</w:t>
      </w:r>
    </w:p>
    <w:p>
      <w:pPr>
        <w:pStyle w:val="ListBullet"/>
        <w:spacing w:after="80" w:line="276" w:lineRule="auto"/>
      </w:pPr>
      <w:r>
        <w:rPr>
          <w:b/>
        </w:rPr>
        <w:t>3.1 Analyse Globale Nationale :</w:t>
      </w:r>
      <w:r>
        <w:t xml:space="preserve"> Présentation des distributions de fréquences, moyennes, ratios et taux.</w:t>
      </w:r>
    </w:p>
    <w:p>
      <w:pPr>
        <w:pStyle w:val="ListBullet"/>
        <w:spacing w:after="80" w:line="276" w:lineRule="auto"/>
      </w:pPr>
      <w:r>
        <w:rPr>
          <w:b/>
        </w:rPr>
        <w:t>3.2 Disparités Spatiales :</w:t>
      </w:r>
      <w:r>
        <w:t xml:space="preserve"> Croisement des indicateurs selon les zones de résidence (Urbain/Rural), les régions et provinces.</w:t>
      </w:r>
    </w:p>
    <w:p>
      <w:pPr>
        <w:pStyle w:val="ListBullet"/>
        <w:spacing w:after="80" w:line="276" w:lineRule="auto"/>
      </w:pPr>
      <w:r>
        <w:rPr>
          <w:b/>
        </w:rPr>
        <w:t>3.3 Différenciations Sociodémographiques :</w:t>
      </w:r>
      <w:r>
        <w:t xml:space="preserve"> Analyse comparative selon le genre, la tranche d'âge et le niveau socio-économique.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IV. Analyse Comparative et Tendances</w:t>
      </w:r>
    </w:p>
    <w:p>
      <w:pPr>
        <w:pStyle w:val="ListBullet"/>
        <w:spacing w:after="80" w:line="276" w:lineRule="auto"/>
      </w:pPr>
      <w:r>
        <w:rPr>
          <w:b/>
        </w:rPr>
        <w:t>4.1 Évolution Temporelle :</w:t>
      </w:r>
      <w:r>
        <w:t xml:space="preserve"> Comparaison des résultats avec les recensements précédents (RGPH-1, RGPH-2, RGPH-3) pour dégager les tendances évolutives.</w:t>
      </w:r>
    </w:p>
    <w:p>
      <w:pPr>
        <w:pStyle w:val="ListBullet"/>
        <w:spacing w:after="80" w:line="276" w:lineRule="auto"/>
      </w:pPr>
      <w:r>
        <w:rPr>
          <w:b/>
        </w:rPr>
        <w:t>4.2 Benchmark International :</w:t>
      </w:r>
      <w:r>
        <w:t xml:space="preserve"> Positionnement des indicateurs par rapport aux moyennes sous-régionales et internationales.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4"/>
        </w:rPr>
        <w:t>V. Discussion, Implications Politiques et Recommandations</w:t>
      </w:r>
    </w:p>
    <w:p>
      <w:pPr>
        <w:pStyle w:val="ListBullet"/>
        <w:spacing w:after="80" w:line="276" w:lineRule="auto"/>
      </w:pPr>
      <w:r>
        <w:rPr>
          <w:b/>
        </w:rPr>
        <w:t>5.1 Synthèse critique :</w:t>
      </w:r>
      <w:r>
        <w:t xml:space="preserve"> Interprétation des déterminants majeurs des phénoèmnes observés.</w:t>
      </w:r>
    </w:p>
    <w:p>
      <w:pPr>
        <w:pStyle w:val="ListBullet"/>
        <w:spacing w:after="80" w:line="276" w:lineRule="auto"/>
      </w:pPr>
      <w:r>
        <w:rPr>
          <w:b/>
        </w:rPr>
        <w:t>5.2 Implication pour la planification :</w:t>
      </w:r>
      <w:r>
        <w:t xml:space="preserve"> Formulation de recommandations opérationnelles pour les décideurs politiques et planification des investissements publics.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