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1F4E78"/>
          <w:sz w:val="36"/>
        </w:rPr>
        <w:t>NOTE D'ORIENTATION POLITIQUE (POLICY BRIEF) — RGPH-4</w:t>
      </w:r>
    </w:p>
    <w:p>
      <w:pPr>
        <w:spacing w:after="400"/>
        <w:jc w:val="center"/>
      </w:pPr>
      <w:r>
        <w:rPr>
          <w:rFonts w:ascii="Calibri" w:hAnsi="Calibri"/>
          <w:i/>
          <w:color w:val="595959"/>
          <w:sz w:val="24"/>
        </w:rPr>
        <w:t>Modèle Standardisé pour Décideurs et Partenaires au Développement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4F7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1F4E78"/>
                <w:sz w:val="20"/>
              </w:rPr>
              <w:t>TITRE DE LA NOTE : [Insérer le titre percutant de la thématique, ex. 'Investir dans le Dividende Démographique']</w:t>
              <w:br/>
              <w:t>THÉMATIQUE RGPH-4 : [ex. Structure de la Population / Éducation / Santé]</w:t>
              <w:br/>
              <w:t>CIBLE : Ministères sectoriels, Parlementaires, Bailleurs de fonds, Collectivités locales</w:t>
              <w:br/>
              <w:t>DATE DE PUBLICATION : [Mois / Année]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Calibri" w:hAnsi="Calibri"/>
          <w:b/>
          <w:color w:val="1F4E78"/>
          <w:sz w:val="28"/>
        </w:rPr>
        <w:t>1. MESSAGES CLÉS (EXECUTIVE SUMMARY)</w:t>
      </w:r>
    </w:p>
    <w:p>
      <w:pPr>
        <w:spacing w:after="120" w:line="276" w:lineRule="auto"/>
      </w:pPr>
      <w:r>
        <w:t>Synthèse en 3 à 4 points majeurs à l'attention exclusive des autorités publiques :</w:t>
      </w:r>
    </w:p>
    <w:p>
      <w:pPr>
        <w:pStyle w:val="ListBullet"/>
        <w:spacing w:after="80" w:line="276" w:lineRule="auto"/>
      </w:pPr>
      <w:r>
        <w:rPr>
          <w:b/>
        </w:rPr>
        <w:t>Constat majeur :</w:t>
      </w:r>
      <w:r>
        <w:t xml:space="preserve"> Présentation de la statistique phare issue du RGPH-4 qui caractérise le problème.</w:t>
      </w:r>
    </w:p>
    <w:p>
      <w:pPr>
        <w:pStyle w:val="ListBullet"/>
        <w:spacing w:after="80" w:line="276" w:lineRule="auto"/>
      </w:pPr>
      <w:r>
        <w:rPr>
          <w:b/>
        </w:rPr>
        <w:t>Enjeu stratégique :</w:t>
      </w:r>
      <w:r>
        <w:t xml:space="preserve"> Explication synthétique des conséquences socio-économiques si aucune mesure n'est prise.</w:t>
      </w:r>
    </w:p>
    <w:p>
      <w:pPr>
        <w:pStyle w:val="ListBullet"/>
        <w:spacing w:after="80" w:line="276" w:lineRule="auto"/>
      </w:pPr>
      <w:r>
        <w:rPr>
          <w:b/>
        </w:rPr>
        <w:t>Recommandation clé :</w:t>
      </w:r>
      <w:r>
        <w:t xml:space="preserve"> Proposition de l'action prioritaire à intégrer d'urgence dans le Plan National de Développement.</w:t>
      </w:r>
    </w:p>
    <w:p>
      <w:pPr>
        <w:spacing w:before="280" w:after="120"/>
      </w:pPr>
      <w:r>
        <w:rPr>
          <w:rFonts w:ascii="Calibri" w:hAnsi="Calibri"/>
          <w:b/>
          <w:color w:val="1F4E78"/>
          <w:sz w:val="28"/>
        </w:rPr>
        <w:t>2. CONTEXTE ET CONSTAT EMPIRIQUE (DONNÉES DU RGPH-4)</w:t>
      </w:r>
    </w:p>
    <w:p>
      <w:pPr>
        <w:spacing w:after="120" w:line="276" w:lineRule="auto"/>
      </w:pPr>
      <w:r>
        <w:t>Présentation concise des faits marquants étayés par les chiffres du recensement :</w:t>
      </w:r>
    </w:p>
    <w:p>
      <w:pPr>
        <w:pStyle w:val="ListBullet"/>
        <w:spacing w:after="80" w:line="276" w:lineRule="auto"/>
      </w:pPr>
      <w:r>
        <w:rPr>
          <w:b/>
        </w:rPr>
        <w:t>Données chiffrées :</w:t>
      </w:r>
      <w:r>
        <w:t xml:space="preserve"> Présentation des volumes, proportions et taux calculés sur la base nationale.</w:t>
      </w:r>
    </w:p>
    <w:p>
      <w:pPr>
        <w:pStyle w:val="ListBullet"/>
        <w:spacing w:after="80" w:line="276" w:lineRule="auto"/>
      </w:pPr>
      <w:r>
        <w:rPr>
          <w:b/>
        </w:rPr>
        <w:t>Disparités territoriales et de genre :</w:t>
      </w:r>
      <w:r>
        <w:t xml:space="preserve"> Mise en évidence des écarts entre régions, milieux de résidence (urbain/rural) et groupes vulnérables.</w:t>
      </w:r>
    </w:p>
    <w:p>
      <w:pPr>
        <w:pStyle w:val="ListBullet"/>
        <w:spacing w:after="80" w:line="276" w:lineRule="auto"/>
      </w:pPr>
      <w:r>
        <w:rPr>
          <w:b/>
        </w:rPr>
        <w:t>Évolution temporelle :</w:t>
      </w:r>
      <w:r>
        <w:t xml:space="preserve"> Comparaison avec les données des recensements précédents pour illustrer la dynamique empirique.</w:t>
      </w:r>
    </w:p>
    <w:p>
      <w:pPr>
        <w:spacing w:before="280" w:after="120"/>
      </w:pPr>
      <w:r>
        <w:rPr>
          <w:rFonts w:ascii="Calibri" w:hAnsi="Calibri"/>
          <w:b/>
          <w:color w:val="1F4E78"/>
          <w:sz w:val="28"/>
        </w:rPr>
        <w:t>3. IMPLICATIONS DÉCISIONNELLES ET RISQUES</w:t>
      </w:r>
    </w:p>
    <w:p>
      <w:pPr>
        <w:spacing w:after="120" w:line="276" w:lineRule="auto"/>
      </w:pPr>
      <w:r>
        <w:t>Analyse de l'impact des données actuelles sur la planification nationale :</w:t>
      </w:r>
    </w:p>
    <w:p>
      <w:pPr>
        <w:pStyle w:val="ListBullet"/>
        <w:spacing w:after="80" w:line="276" w:lineRule="auto"/>
      </w:pPr>
      <w:r>
        <w:rPr>
          <w:b/>
        </w:rPr>
        <w:t>Impact sur les services sociaux :</w:t>
      </w:r>
      <w:r>
        <w:t xml:space="preserve"> Pression sur les infrastructures publiques (écoles, hôpitaux, réseaux d'eau/électricité).</w:t>
      </w:r>
    </w:p>
    <w:p>
      <w:pPr>
        <w:pStyle w:val="ListBullet"/>
        <w:spacing w:after="80" w:line="276" w:lineRule="auto"/>
      </w:pPr>
      <w:r>
        <w:rPr>
          <w:b/>
        </w:rPr>
        <w:t>Impact sur l'économie et l'emploi :</w:t>
      </w:r>
      <w:r>
        <w:t xml:space="preserve"> Besoins en création d'emplois et défis liés à l'insertion socio-économique des jeunes.</w:t>
      </w:r>
    </w:p>
    <w:p>
      <w:pPr>
        <w:pStyle w:val="ListBullet"/>
        <w:spacing w:after="80" w:line="276" w:lineRule="auto"/>
      </w:pPr>
      <w:r>
        <w:rPr>
          <w:b/>
        </w:rPr>
        <w:t>Coût de l'inaction :</w:t>
      </w:r>
      <w:r>
        <w:t xml:space="preserve"> Analyse des facteurs de risque en cas d'inaction des pouvoirs publics.</w:t>
      </w:r>
    </w:p>
    <w:p>
      <w:pPr>
        <w:spacing w:before="280" w:after="120"/>
      </w:pPr>
      <w:r>
        <w:rPr>
          <w:rFonts w:ascii="Calibri" w:hAnsi="Calibri"/>
          <w:b/>
          <w:color w:val="1F4E78"/>
          <w:sz w:val="28"/>
        </w:rPr>
        <w:t>4. RECOMMANDATIONS STRATÉGIQUES ET RECOMMANDATIONS OPÉRATIONNELLES</w:t>
      </w:r>
    </w:p>
    <w:p>
      <w:pPr>
        <w:spacing w:after="120" w:line="276" w:lineRule="auto"/>
      </w:pPr>
      <w:r>
        <w:t>Recommandations formulées par ordre de priorité et accompagnées des responsabilités institutionnelles :</w:t>
      </w:r>
    </w:p>
    <w:p>
      <w:pPr>
        <w:pStyle w:val="ListBullet"/>
        <w:spacing w:after="80" w:line="276" w:lineRule="auto"/>
      </w:pPr>
      <w:r>
        <w:rPr>
          <w:b/>
        </w:rPr>
        <w:t>À court terme (1-2 ans) :</w:t>
      </w:r>
      <w:r>
        <w:t xml:space="preserve"> Orientations stratégiques à intégrer dans les politiques sectorielles à long terme.</w:t>
      </w:r>
    </w:p>
    <w:p>
      <w:pPr>
        <w:pStyle w:val="ListBullet"/>
        <w:spacing w:after="80" w:line="276" w:lineRule="auto"/>
      </w:pPr>
      <w:r>
        <w:rPr>
          <w:b/>
        </w:rPr>
        <w:t>À moyen/long terme (3-5 ans) :</w:t>
      </w:r>
      <w:r>
        <w:t xml:space="preserve"> Projets structurants et réformes budgétaires à engager.</w:t>
      </w:r>
    </w:p>
    <w:p>
      <w:pPr>
        <w:pStyle w:val="ListBullet"/>
        <w:spacing w:after="80" w:line="276" w:lineRule="auto"/>
      </w:pPr>
      <w:r>
        <w:rPr>
          <w:b/>
        </w:rPr>
        <w:t>Acteurs responsables :</w:t>
      </w:r>
      <w:r>
        <w:t xml:space="preserve"> Identification des ministères leaders et des partenaires techniques et financiers associés.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