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8"/>
          <w:sz w:val="36"/>
        </w:rPr>
        <w:t>ATELIER D'ANALYSE DU RGPH-4 : TERMES DE RÉFÉRENCE &amp; CANEVAS DÉTAILLÉ</w:t>
      </w:r>
    </w:p>
    <w:p>
      <w:pPr>
        <w:spacing w:after="400"/>
        <w:jc w:val="center"/>
      </w:pPr>
      <w:r>
        <w:rPr>
          <w:rFonts w:ascii="Calibri" w:hAnsi="Calibri"/>
          <w:i/>
          <w:color w:val="595959"/>
          <w:sz w:val="24"/>
        </w:rPr>
        <w:t>Guide d'Exécution pour les Groupes Thématiques d'Analyse</w:t>
      </w:r>
    </w:p>
    <w:p>
      <w:pPr>
        <w:spacing w:before="280" w:after="120"/>
      </w:pPr>
      <w:r>
        <w:rPr>
          <w:rFonts w:ascii="Calibri" w:hAnsi="Calibri"/>
          <w:b/>
          <w:color w:val="1F4E78"/>
          <w:sz w:val="28"/>
        </w:rPr>
        <w:t>1. TERMES DE RÉFÉRENCE (TDR) DES GROUPES THÉMATIQUES</w:t>
      </w:r>
    </w:p>
    <w:p>
      <w:pPr>
        <w:spacing w:before="200" w:after="80"/>
      </w:pPr>
      <w:r>
        <w:rPr>
          <w:rFonts w:ascii="Calibri" w:hAnsi="Calibri"/>
          <w:b/>
          <w:color w:val="2E75B6"/>
          <w:sz w:val="24"/>
        </w:rPr>
        <w:t>1.1 Contexte et Justification</w:t>
      </w:r>
    </w:p>
    <w:p>
      <w:pPr>
        <w:spacing w:after="120" w:line="276" w:lineRule="auto"/>
      </w:pPr>
      <w:r>
        <w:t>Dans le cadre du RGPH-4, la production de rapports d'analyse thématiques de haute qualité nécessite la mise en place de commissions techniques spécialisées. Chaque groupe thématique est chargé de transformer les données brutes censitaires en indicateurs sociodémographiques pertinents, fiables et exploitables pour la planification nationale.</w:t>
      </w:r>
    </w:p>
    <w:p>
      <w:pPr>
        <w:spacing w:before="200" w:after="80"/>
      </w:pPr>
      <w:r>
        <w:rPr>
          <w:rFonts w:ascii="Calibri" w:hAnsi="Calibri"/>
          <w:b/>
          <w:color w:val="2E75B6"/>
          <w:sz w:val="24"/>
        </w:rPr>
        <w:t>1.2 Objectifs des Groupes d'Analyse</w:t>
      </w:r>
    </w:p>
    <w:p>
      <w:pPr>
        <w:pStyle w:val="ListBullet"/>
        <w:spacing w:after="80" w:line="276" w:lineRule="auto"/>
      </w:pPr>
      <w:r>
        <w:rPr>
          <w:b/>
        </w:rPr>
        <w:t>Objectif général :</w:t>
      </w:r>
      <w:r>
        <w:t xml:space="preserve"> Produire le chapitre/rapport thématique sous la supervision du Comité Technique.</w:t>
      </w:r>
    </w:p>
    <w:p>
      <w:pPr>
        <w:pStyle w:val="ListBullet"/>
        <w:spacing w:after="80" w:line="276" w:lineRule="auto"/>
      </w:pPr>
      <w:r>
        <w:rPr>
          <w:b/>
        </w:rPr>
        <w:t>Objectif spécifique 1 :</w:t>
      </w:r>
      <w:r>
        <w:t xml:space="preserve"> Évaluer et valider la cohérence des variables propres à la thématique.</w:t>
      </w:r>
    </w:p>
    <w:p>
      <w:pPr>
        <w:pStyle w:val="ListBullet"/>
        <w:spacing w:after="80" w:line="276" w:lineRule="auto"/>
      </w:pPr>
      <w:r>
        <w:rPr>
          <w:b/>
        </w:rPr>
        <w:t>Objectif spécifique 2 :</w:t>
      </w:r>
      <w:r>
        <w:t xml:space="preserve"> Exécuter le plan de tabulation et générer les tableaux croisés et graphiques requis.</w:t>
      </w:r>
    </w:p>
    <w:p>
      <w:pPr>
        <w:pStyle w:val="ListBullet"/>
        <w:spacing w:after="80" w:line="276" w:lineRule="auto"/>
      </w:pPr>
      <w:r>
        <w:rPr>
          <w:b/>
        </w:rPr>
        <w:t>Objectif spécifique 3 :</w:t>
      </w:r>
      <w:r>
        <w:t xml:space="preserve"> Interpréter les résultats en intégrant les perspectives socio-économiques et spatiales.</w:t>
      </w:r>
    </w:p>
    <w:p>
      <w:pPr>
        <w:pStyle w:val="ListBullet"/>
        <w:spacing w:after="80" w:line="276" w:lineRule="auto"/>
      </w:pPr>
      <w:r>
        <w:rPr>
          <w:b/>
        </w:rPr>
        <w:t>Objectif spécifique 4 :</w:t>
      </w:r>
      <w:r>
        <w:t xml:space="preserve"> Formuler des recommandations politiques basées sur les preuves empiriques.</w:t>
      </w:r>
    </w:p>
    <w:p>
      <w:pPr>
        <w:spacing w:before="200" w:after="80"/>
      </w:pPr>
      <w:r>
        <w:rPr>
          <w:rFonts w:ascii="Calibri" w:hAnsi="Calibri"/>
          <w:b/>
          <w:color w:val="2E75B6"/>
          <w:sz w:val="24"/>
        </w:rPr>
        <w:t>1.3 Composition et Rôles au sein des Groupes</w:t>
      </w:r>
    </w:p>
    <w:p>
      <w:pPr>
        <w:pStyle w:val="ListBullet"/>
        <w:spacing w:after="80" w:line="276" w:lineRule="auto"/>
      </w:pPr>
      <w:r>
        <w:rPr>
          <w:b/>
        </w:rPr>
        <w:t>Chef de groupe (Expert Sénior) :</w:t>
      </w:r>
      <w:r>
        <w:t xml:space="preserve"> Coordonne les travaux, veille au respect du calendrier et valide les versions intermédiaires.</w:t>
      </w:r>
    </w:p>
    <w:p>
      <w:pPr>
        <w:pStyle w:val="ListBullet"/>
        <w:spacing w:after="80" w:line="276" w:lineRule="auto"/>
      </w:pPr>
      <w:r>
        <w:rPr>
          <w:b/>
        </w:rPr>
        <w:t>Rédacteurs / Analysts :</w:t>
      </w:r>
      <w:r>
        <w:t xml:space="preserve"> Rédigent les sections du rapport, procèdent à la revue de la littérature et interprètent les résultats.</w:t>
      </w:r>
    </w:p>
    <w:p>
      <w:pPr>
        <w:pStyle w:val="ListBullet"/>
        <w:spacing w:after="80" w:line="276" w:lineRule="auto"/>
      </w:pPr>
      <w:r>
        <w:rPr>
          <w:b/>
        </w:rPr>
        <w:t>Statisticiens / Cartographes :</w:t>
      </w:r>
      <w:r>
        <w:t xml:space="preserve"> Réalisent la programmation (CSPro, R, Stata, SPSS) et génèrent les figures cartographiques (SIG).</w:t>
      </w:r>
    </w:p>
    <w:p>
      <w:pPr>
        <w:pStyle w:val="ListBullet"/>
        <w:spacing w:after="80" w:line="276" w:lineRule="auto"/>
      </w:pPr>
      <w:r>
        <w:rPr>
          <w:b/>
        </w:rPr>
        <w:t>Rapporteur / Pair-Réviseur :</w:t>
      </w:r>
      <w:r>
        <w:t xml:space="preserve"> Relit le document à mi-parcours et propose des corrections sur la cohérence d'ensemble.</w:t>
      </w:r>
    </w:p>
    <w:p>
      <w:pPr>
        <w:spacing w:before="200" w:after="80"/>
      </w:pPr>
      <w:r>
        <w:rPr>
          <w:rFonts w:ascii="Calibri" w:hAnsi="Calibri"/>
          <w:b/>
          <w:color w:val="2E75B6"/>
          <w:sz w:val="24"/>
        </w:rPr>
        <w:t>1.4 Calendrier et Livrables Attendus</w:t>
      </w:r>
    </w:p>
    <w:p>
      <w:pPr>
        <w:pStyle w:val="ListBullet"/>
        <w:spacing w:after="80" w:line="276" w:lineRule="auto"/>
      </w:pPr>
      <w:r>
        <w:rPr>
          <w:b/>
        </w:rPr>
        <w:t>Semaine 1 :</w:t>
      </w:r>
      <w:r>
        <w:t xml:space="preserve"> Nettoyage final des variables thématiques et validation du plan de tabulation croisée.</w:t>
      </w:r>
    </w:p>
    <w:p>
      <w:pPr>
        <w:pStyle w:val="ListBullet"/>
        <w:spacing w:after="80" w:line="276" w:lineRule="auto"/>
      </w:pPr>
      <w:r>
        <w:rPr>
          <w:b/>
        </w:rPr>
        <w:t>Semaine 2 :</w:t>
      </w:r>
      <w:r>
        <w:t xml:space="preserve"> Rédaction du premier jet du rapport thématique et présentations en peer-review interne.</w:t>
      </w:r>
    </w:p>
    <w:p>
      <w:pPr>
        <w:pStyle w:val="ListBullet"/>
        <w:spacing w:after="80" w:line="276" w:lineRule="auto"/>
      </w:pPr>
      <w:r>
        <w:rPr>
          <w:b/>
        </w:rPr>
        <w:t>Semaine 3 :</w:t>
      </w:r>
      <w:r>
        <w:t xml:space="preserve"> Intégration des amendements, finalisation du rapport thématique et rédaction du Policy Brief associé.</w:t>
      </w:r>
    </w:p>
    <w:p>
      <w:pPr>
        <w:spacing w:before="280" w:after="120"/>
      </w:pPr>
      <w:r>
        <w:rPr>
          <w:rFonts w:ascii="Calibri" w:hAnsi="Calibri"/>
          <w:b/>
          <w:color w:val="1F4E78"/>
          <w:sz w:val="28"/>
        </w:rPr>
        <w:t>2. CANEVAS DÉTAILLÉ DE RÉDACTION D'UN RAPPORT THÉMATIQUE</w:t>
      </w:r>
    </w:p>
    <w:p>
      <w:pPr>
        <w:spacing w:before="200" w:after="80"/>
      </w:pPr>
      <w:r>
        <w:rPr>
          <w:rFonts w:ascii="Calibri" w:hAnsi="Calibri"/>
          <w:b/>
          <w:color w:val="2E75B6"/>
          <w:sz w:val="24"/>
        </w:rPr>
        <w:t>Chapitre I : Contexte et Cadre Conceptuel</w:t>
      </w:r>
    </w:p>
    <w:p>
      <w:pPr>
        <w:pStyle w:val="ListBullet"/>
        <w:spacing w:after="80" w:line="276" w:lineRule="auto"/>
      </w:pPr>
      <w:r>
        <w:rPr>
          <w:b/>
        </w:rPr>
        <w:t>1.1 Importance stratégique de la thématique :</w:t>
      </w:r>
      <w:r>
        <w:t xml:space="preserve"> Alignement avec les priorités nationales (Vision prospective, PNDS) et engagements internationaux (ODD, Agenda 2063).</w:t>
      </w:r>
    </w:p>
    <w:p>
      <w:pPr>
        <w:pStyle w:val="ListBullet"/>
        <w:spacing w:after="80" w:line="276" w:lineRule="auto"/>
      </w:pPr>
      <w:r>
        <w:rPr>
          <w:b/>
        </w:rPr>
        <w:t>1.2 Cadre conceptuel et définitions :</w:t>
      </w:r>
      <w:r>
        <w:t xml:space="preserve"> Clarification des variables clés, indicateurs de mesure et typologies adoptées.</w:t>
      </w:r>
    </w:p>
    <w:p>
      <w:pPr>
        <w:spacing w:before="200" w:after="80"/>
      </w:pPr>
      <w:r>
        <w:rPr>
          <w:rFonts w:ascii="Calibri" w:hAnsi="Calibri"/>
          <w:b/>
          <w:color w:val="2E75B6"/>
          <w:sz w:val="24"/>
        </w:rPr>
        <w:t>Chapitre II : Sources de Données et Méthodologie</w:t>
      </w:r>
    </w:p>
    <w:p>
      <w:pPr>
        <w:pStyle w:val="ListBullet"/>
        <w:spacing w:after="80" w:line="276" w:lineRule="auto"/>
      </w:pPr>
      <w:r>
        <w:rPr>
          <w:b/>
        </w:rPr>
        <w:t>2.1 Origine des données :</w:t>
      </w:r>
      <w:r>
        <w:t xml:space="preserve"> Description des modules du questionnaire du RGPH-4 exploités et limites éventuelles.</w:t>
      </w:r>
    </w:p>
    <w:p>
      <w:pPr>
        <w:pStyle w:val="ListBullet"/>
        <w:spacing w:after="80" w:line="276" w:lineRule="auto"/>
      </w:pPr>
      <w:r>
        <w:rPr>
          <w:b/>
        </w:rPr>
        <w:t>2.2 Méthodes statistiques :</w:t>
      </w:r>
      <w:r>
        <w:t xml:space="preserve"> Explication des taux, ratios, indices ou modèles de régression appliqués.</w:t>
      </w:r>
    </w:p>
    <w:p>
      <w:pPr>
        <w:spacing w:before="200" w:after="80"/>
      </w:pPr>
      <w:r>
        <w:rPr>
          <w:rFonts w:ascii="Calibri" w:hAnsi="Calibri"/>
          <w:b/>
          <w:color w:val="2E75B6"/>
          <w:sz w:val="24"/>
        </w:rPr>
        <w:t>Chapitre III : Analyse Descriptive et Disparités Spatial/Genre</w:t>
      </w:r>
    </w:p>
    <w:p>
      <w:pPr>
        <w:pStyle w:val="ListBullet"/>
        <w:spacing w:after="80" w:line="276" w:lineRule="auto"/>
      </w:pPr>
      <w:r>
        <w:rPr>
          <w:b/>
        </w:rPr>
        <w:t>3.1 Vue d'ensemble nationale :</w:t>
      </w:r>
      <w:r>
        <w:t xml:space="preserve"> Analyse des tendances nationales globales.</w:t>
      </w:r>
    </w:p>
    <w:p>
      <w:pPr>
        <w:pStyle w:val="ListBullet"/>
        <w:spacing w:after="80" w:line="276" w:lineRule="auto"/>
      </w:pPr>
      <w:r>
        <w:rPr>
          <w:b/>
        </w:rPr>
        <w:t>3.2 Disparités régionales et locales :</w:t>
      </w:r>
      <w:r>
        <w:t xml:space="preserve"> Analyse selon le milieu de résidence (Urbain/Rural) et le découpage administratif (Régions, Préfectures, Communes).</w:t>
      </w:r>
    </w:p>
    <w:p>
      <w:pPr>
        <w:pStyle w:val="ListBullet"/>
        <w:spacing w:after="80" w:line="276" w:lineRule="auto"/>
      </w:pPr>
      <w:r>
        <w:rPr>
          <w:b/>
        </w:rPr>
        <w:t>3.3 Différenciations catégorielles :</w:t>
      </w:r>
      <w:r>
        <w:t xml:space="preserve"> Comparaison selon le sexe, la tranche d'âge et le niveau d'instruction.</w:t>
      </w:r>
    </w:p>
    <w:p>
      <w:pPr>
        <w:spacing w:before="200" w:after="80"/>
      </w:pPr>
      <w:r>
        <w:rPr>
          <w:rFonts w:ascii="Calibri" w:hAnsi="Calibri"/>
          <w:b/>
          <w:color w:val="2E75B6"/>
          <w:sz w:val="24"/>
        </w:rPr>
        <w:t>Chapitre IV : Évolution Temporelle et Analyse Comparative</w:t>
      </w:r>
    </w:p>
    <w:p>
      <w:pPr>
        <w:pStyle w:val="ListBullet"/>
        <w:spacing w:after="80" w:line="276" w:lineRule="auto"/>
      </w:pPr>
      <w:r>
        <w:rPr>
          <w:b/>
        </w:rPr>
        <w:t>4.1 Analyse des tendances :</w:t>
      </w:r>
      <w:r>
        <w:t xml:space="preserve"> Comparaison avec les données des recensements passés (RGPH-1, 2, 3).</w:t>
      </w:r>
    </w:p>
    <w:p>
      <w:pPr>
        <w:pStyle w:val="ListBullet"/>
        <w:spacing w:after="80" w:line="276" w:lineRule="auto"/>
      </w:pPr>
      <w:r>
        <w:rPr>
          <w:b/>
        </w:rPr>
        <w:t>4.2 Benchmark international :</w:t>
      </w:r>
      <w:r>
        <w:t xml:space="preserve"> Comparaison avec les indicateurs de la sous-région et les standards internationaux.</w:t>
      </w:r>
    </w:p>
    <w:p>
      <w:pPr>
        <w:spacing w:before="200" w:after="80"/>
      </w:pPr>
      <w:r>
        <w:rPr>
          <w:rFonts w:ascii="Calibri" w:hAnsi="Calibri"/>
          <w:b/>
          <w:color w:val="2E75B6"/>
          <w:sz w:val="24"/>
        </w:rPr>
        <w:t>Chapitre V : Implications Stratégiques et Recommandations</w:t>
      </w:r>
    </w:p>
    <w:p>
      <w:pPr>
        <w:pStyle w:val="ListBullet"/>
        <w:spacing w:after="80" w:line="276" w:lineRule="auto"/>
      </w:pPr>
      <w:r>
        <w:rPr>
          <w:b/>
        </w:rPr>
        <w:t>5.1 Synthèse décisionnelle :</w:t>
      </w:r>
      <w:r>
        <w:t xml:space="preserve"> Enseignements majeurs tirés des données.</w:t>
      </w:r>
    </w:p>
    <w:p>
      <w:pPr>
        <w:pStyle w:val="ListBullet"/>
        <w:spacing w:after="80" w:line="276" w:lineRule="auto"/>
      </w:pPr>
      <w:r>
        <w:rPr>
          <w:b/>
        </w:rPr>
        <w:t>5.2 Orientations politiques :</w:t>
      </w:r>
      <w:r>
        <w:t xml:space="preserve"> Axes prioritaires d'intervention pour les politiques publiques.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