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0A7C63"/>
          <w:sz w:val="56"/>
          <w:szCs w:val="56"/>
        </w:rPr>
        <w:t xml:space="preserve">Kalanso Desktop</w:t>
      </w:r>
    </w:p>
    <w:p>
      <w:pPr>
        <w:spacing w:after="400"/>
      </w:pPr>
      <w:r>
        <w:rPr>
          <w:color w:val="444444"/>
          <w:sz w:val="30"/>
          <w:szCs w:val="30"/>
        </w:rPr>
        <w:t xml:space="preserve">Cahier des charges — Fourniture et licence d'utilisation</w:t>
      </w:r>
    </w:p>
    <w:p>
      <w:pPr>
        <w:spacing w:after="100"/>
      </w:pPr>
      <w:r>
        <w:rPr>
          <w:i/>
          <w:iCs/>
          <w:color w:val="444444"/>
          <w:sz w:val="22"/>
          <w:szCs w:val="22"/>
        </w:rPr>
        <w:t xml:space="preserve">Document préparatoire au contrat commercial</w:t>
      </w:r>
    </w:p>
    <w:p>
      <w:pPr>
        <w:spacing w:after="600"/>
      </w:pPr>
      <w:r>
        <w:rPr>
          <w:color w:val="444444"/>
          <w:sz w:val="20"/>
          <w:szCs w:val="20"/>
        </w:rPr>
        <w:t xml:space="preserve">Version 1.0 — 30 juillet 2026</w:t>
      </w:r>
    </w:p>
    <w:p>
      <w:pPr>
        <w:shd w:fill="FFF3E0" w:val="clear"/>
        <w:spacing w:after="200" w:before="100"/>
      </w:pPr>
      <w:r>
        <w:rPr>
          <w:b/>
          <w:bCs/>
          <w:color w:val="B54708"/>
        </w:rPr>
        <w:t xml:space="preserve">⚠ </w:t>
      </w:r>
      <w:r>
        <w:rPr>
          <w:i/>
          <w:iCs/>
          <w:color w:val="B54708"/>
        </w:rPr>
        <w:t xml:space="preserve">Ce document est un modèle de travail à adapter avant toute signature. Les tarifs proposés sont indicatifs (voir section 7) : à ajuster selon votre stratégie de lancement, vos coûts réels et le marché local. Faites relire les clauses juridiques (propriété intellectuelle, responsabilité, résiliation) par un juriste avant utilisation contractuelle.</w:t>
      </w:r>
    </w:p>
    <w:p>
      <w:pPr>
        <w:pStyle w:val="Heading1"/>
        <w:spacing w:after="200" w:before="400"/>
      </w:pPr>
      <w:r>
        <w:t xml:space="preserve">1. Préambule</w:t>
      </w:r>
    </w:p>
    <w:p>
      <w:pPr>
        <w:spacing w:after="150"/>
      </w:pPr>
      <w:r>
        <w:t xml:space="preserve">Le présent cahier des charges définit les conditions de fourniture, d'installation et d'utilisation de « Kalanso Desktop », application de gestion scolaire développée par Kalanso, à destination des écoles privées guinéennes ne disposant pas d'une connexion internet fiable pour un usage continu.</w:t>
      </w:r>
    </w:p>
    <w:p>
      <w:pPr>
        <w:spacing w:after="150"/>
      </w:pPr>
      <w:r>
        <w:t xml:space="preserve">Il a vocation à servir de base à l'établissement d'un contrat de licence entre l'éditeur (ci-après « l'Éditeur ») et l'établissement scolaire client (ci-après « l'École »).</w:t>
      </w:r>
    </w:p>
    <w:p>
      <w:pPr>
        <w:pStyle w:val="Heading1"/>
        <w:spacing w:after="200" w:before="400"/>
      </w:pPr>
      <w:r>
        <w:t xml:space="preserve">2. Objet</w:t>
      </w:r>
    </w:p>
    <w:p>
      <w:pPr>
        <w:spacing w:after="150"/>
      </w:pPr>
      <w:r>
        <w:t xml:space="preserve">Le présent document décrit :</w:t>
      </w:r>
    </w:p>
    <w:p>
      <w:pPr>
        <w:pStyle w:val="ListParagraph"/>
        <w:numPr>
          <w:ilvl w:val="0"/>
          <w:numId w:val="2"/>
        </w:numPr>
        <w:spacing w:after="80"/>
      </w:pPr>
      <w:r>
        <w:t xml:space="preserve">le périmètre fonctionnel du logiciel fourni,</w:t>
      </w:r>
    </w:p>
    <w:p>
      <w:pPr>
        <w:pStyle w:val="ListParagraph"/>
        <w:numPr>
          <w:ilvl w:val="0"/>
          <w:numId w:val="2"/>
        </w:numPr>
        <w:spacing w:after="80"/>
      </w:pPr>
      <w:r>
        <w:t xml:space="preserve">les prérequis techniques et limites de fonctionnement à connaître avant signature,</w:t>
      </w:r>
    </w:p>
    <w:p>
      <w:pPr>
        <w:pStyle w:val="ListParagraph"/>
        <w:numPr>
          <w:ilvl w:val="0"/>
          <w:numId w:val="2"/>
        </w:numPr>
        <w:spacing w:after="80"/>
      </w:pPr>
      <w:r>
        <w:t xml:space="preserve">les livrables et modalités de déploiement,</w:t>
      </w:r>
    </w:p>
    <w:p>
      <w:pPr>
        <w:pStyle w:val="ListParagraph"/>
        <w:numPr>
          <w:ilvl w:val="0"/>
          <w:numId w:val="2"/>
        </w:numPr>
        <w:spacing w:after="80"/>
      </w:pPr>
      <w:r>
        <w:t xml:space="preserve">les modèles commerciaux proposés et une tarification indicative,</w:t>
      </w:r>
    </w:p>
    <w:p>
      <w:pPr>
        <w:pStyle w:val="ListParagraph"/>
        <w:numPr>
          <w:ilvl w:val="0"/>
          <w:numId w:val="2"/>
        </w:numPr>
        <w:spacing w:after="80"/>
      </w:pPr>
      <w:r>
        <w:t xml:space="preserve">les conditions de maintenance, de support et de sauvegarde des données,</w:t>
      </w:r>
    </w:p>
    <w:p>
      <w:pPr>
        <w:pStyle w:val="ListParagraph"/>
        <w:numPr>
          <w:ilvl w:val="0"/>
          <w:numId w:val="2"/>
        </w:numPr>
        <w:spacing w:after="80"/>
      </w:pPr>
      <w:r>
        <w:t xml:space="preserve">les clauses de propriété intellectuelle et de confidentialité.</w:t>
      </w:r>
    </w:p>
    <w:p>
      <w:pPr>
        <w:pStyle w:val="Heading1"/>
        <w:spacing w:after="200" w:before="400"/>
      </w:pPr>
      <w:r>
        <w:t xml:space="preserve">3. Présentation du produit</w:t>
      </w:r>
    </w:p>
    <w:p>
      <w:pPr>
        <w:pStyle w:val="Heading2"/>
        <w:spacing w:after="150" w:before="300"/>
      </w:pPr>
      <w:r>
        <w:t xml:space="preserve">3.1 Contexte</w:t>
      </w:r>
    </w:p>
    <w:p>
      <w:pPr>
        <w:spacing w:after="150"/>
      </w:pPr>
      <w:r>
        <w:t xml:space="preserve">De nombreuses écoles privées guinéennes ne disposent pas d'une connexion internet suffisamment stable pour utiliser une application scolaire en ligne au quotidien. Kalanso Desktop répond à ce besoin en proposant une version installée localement, fonctionnant intégralement sans connexion internet.</w:t>
      </w:r>
    </w:p>
    <w:p>
      <w:pPr>
        <w:pStyle w:val="Heading2"/>
        <w:spacing w:after="150" w:before="300"/>
      </w:pPr>
      <w:r>
        <w:t xml:space="preserve">3.2 Description générale</w:t>
      </w:r>
    </w:p>
    <w:p>
      <w:pPr>
        <w:spacing w:after="150"/>
      </w:pPr>
      <w:r>
        <w:t xml:space="preserve">Kalanso Desktop est une application installée sur un ordinateur Windows. Elle regroupe la gestion administrative, pédagogique et financière d'un établissement scolaire au sein d'une interface unique, avec une base de données stockée localement sur le poste.</w:t>
      </w:r>
    </w:p>
    <w:p>
      <w:pPr>
        <w:pStyle w:val="Heading2"/>
        <w:spacing w:after="150" w:before="300"/>
      </w:pPr>
      <w:r>
        <w:t xml:space="preserve">3.3 Périmètre fonctionnel</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50"/>
      </w:tblGrid>
      <w:tr>
        <w:tc>
          <w:tcPr>
            <w:tcW w:type="dxa" w:w="2600"/>
            <w:shd w:fill="0A7C63" w:val="clear"/>
            <w:tcMar>
              <w:top w:type="dxa" w:w="100"/>
              <w:left w:type="dxa" w:w="120"/>
              <w:bottom w:type="dxa" w:w="100"/>
              <w:right w:type="dxa" w:w="120"/>
            </w:tcMar>
            <w:vAlign w:val="center"/>
          </w:tcPr>
          <w:p>
            <w:pPr>
              <w:jc w:val="left"/>
            </w:pPr>
            <w:r>
              <w:rPr>
                <w:b/>
                <w:bCs/>
                <w:color w:val="FFFFFF"/>
                <w:sz w:val="20"/>
                <w:szCs w:val="20"/>
              </w:rPr>
              <w:t xml:space="preserve">Domaine</w:t>
            </w:r>
          </w:p>
        </w:tc>
        <w:tc>
          <w:tcPr>
            <w:tcW w:type="dxa" w:w="6750"/>
            <w:shd w:fill="0A7C63" w:val="clear"/>
            <w:tcMar>
              <w:top w:type="dxa" w:w="100"/>
              <w:left w:type="dxa" w:w="120"/>
              <w:bottom w:type="dxa" w:w="100"/>
              <w:right w:type="dxa" w:w="120"/>
            </w:tcMar>
            <w:vAlign w:val="center"/>
          </w:tcPr>
          <w:p>
            <w:pPr>
              <w:jc w:val="left"/>
            </w:pPr>
            <w:r>
              <w:rPr>
                <w:b/>
                <w:bCs/>
                <w:color w:val="FFFFFF"/>
                <w:sz w:val="20"/>
                <w:szCs w:val="20"/>
              </w:rPr>
              <w:t xml:space="preserve">Modules inclus</w:t>
            </w:r>
          </w:p>
        </w:tc>
      </w:tr>
      <w:tr>
        <w:tc>
          <w:tcPr>
            <w:tcW w:type="dxa" w:w="2600"/>
            <w:tcMar>
              <w:top w:type="dxa" w:w="100"/>
              <w:left w:type="dxa" w:w="120"/>
              <w:bottom w:type="dxa" w:w="100"/>
              <w:right w:type="dxa" w:w="120"/>
            </w:tcMar>
            <w:vAlign w:val="center"/>
          </w:tcPr>
          <w:p>
            <w:pPr>
              <w:jc w:val="left"/>
            </w:pPr>
            <w:r>
              <w:rPr>
                <w:b w:val="false"/>
                <w:bCs w:val="false"/>
                <w:color w:val="444444"/>
                <w:sz w:val="20"/>
                <w:szCs w:val="20"/>
              </w:rPr>
              <w:t xml:space="preserve">Scolarité</w:t>
            </w:r>
          </w:p>
        </w:tc>
        <w:tc>
          <w:tcPr>
            <w:tcW w:type="dxa" w:w="6750"/>
            <w:tcMar>
              <w:top w:type="dxa" w:w="100"/>
              <w:left w:type="dxa" w:w="120"/>
              <w:bottom w:type="dxa" w:w="100"/>
              <w:right w:type="dxa" w:w="120"/>
            </w:tcMar>
            <w:vAlign w:val="center"/>
          </w:tcPr>
          <w:p>
            <w:pPr>
              <w:jc w:val="left"/>
            </w:pPr>
            <w:r>
              <w:rPr>
                <w:b w:val="false"/>
                <w:bCs w:val="false"/>
                <w:color w:val="444444"/>
                <w:sz w:val="20"/>
                <w:szCs w:val="20"/>
              </w:rPr>
              <w:t xml:space="preserve">Niveaux, Classes, Élèves, Admissions (formulaire sur place + traitement), Notes, Bulletins, Suivi de parcours (passage de classe)</w:t>
            </w:r>
          </w:p>
        </w:tc>
      </w:tr>
      <w:tr>
        <w:tc>
          <w:tcPr>
            <w:tcW w:type="dxa" w:w="2600"/>
            <w:tcMar>
              <w:top w:type="dxa" w:w="100"/>
              <w:left w:type="dxa" w:w="120"/>
              <w:bottom w:type="dxa" w:w="100"/>
              <w:right w:type="dxa" w:w="120"/>
            </w:tcMar>
            <w:vAlign w:val="center"/>
          </w:tcPr>
          <w:p>
            <w:pPr>
              <w:jc w:val="left"/>
            </w:pPr>
            <w:r>
              <w:rPr>
                <w:b w:val="false"/>
                <w:bCs w:val="false"/>
                <w:color w:val="444444"/>
                <w:sz w:val="20"/>
                <w:szCs w:val="20"/>
              </w:rPr>
              <w:t xml:space="preserve">Vie scolaire</w:t>
            </w:r>
          </w:p>
        </w:tc>
        <w:tc>
          <w:tcPr>
            <w:tcW w:type="dxa" w:w="6750"/>
            <w:tcMar>
              <w:top w:type="dxa" w:w="100"/>
              <w:left w:type="dxa" w:w="120"/>
              <w:bottom w:type="dxa" w:w="100"/>
              <w:right w:type="dxa" w:w="120"/>
            </w:tcMar>
            <w:vAlign w:val="center"/>
          </w:tcPr>
          <w:p>
            <w:pPr>
              <w:jc w:val="left"/>
            </w:pPr>
            <w:r>
              <w:rPr>
                <w:b w:val="false"/>
                <w:bCs w:val="false"/>
                <w:color w:val="444444"/>
                <w:sz w:val="20"/>
                <w:szCs w:val="20"/>
              </w:rPr>
              <w:t xml:space="preserve">Appel du jour, Historique d'absences, Emploi du temps, Communication (journal de messages)</w:t>
            </w:r>
          </w:p>
        </w:tc>
      </w:tr>
      <w:tr>
        <w:tc>
          <w:tcPr>
            <w:tcW w:type="dxa" w:w="2600"/>
            <w:tcMar>
              <w:top w:type="dxa" w:w="100"/>
              <w:left w:type="dxa" w:w="120"/>
              <w:bottom w:type="dxa" w:w="100"/>
              <w:right w:type="dxa" w:w="120"/>
            </w:tcMar>
            <w:vAlign w:val="center"/>
          </w:tcPr>
          <w:p>
            <w:pPr>
              <w:jc w:val="left"/>
            </w:pPr>
            <w:r>
              <w:rPr>
                <w:b w:val="false"/>
                <w:bCs w:val="false"/>
                <w:color w:val="444444"/>
                <w:sz w:val="20"/>
                <w:szCs w:val="20"/>
              </w:rPr>
              <w:t xml:space="preserve">Finances</w:t>
            </w:r>
          </w:p>
        </w:tc>
        <w:tc>
          <w:tcPr>
            <w:tcW w:type="dxa" w:w="6750"/>
            <w:tcMar>
              <w:top w:type="dxa" w:w="100"/>
              <w:left w:type="dxa" w:w="120"/>
              <w:bottom w:type="dxa" w:w="100"/>
              <w:right w:type="dxa" w:w="120"/>
            </w:tcMar>
            <w:vAlign w:val="center"/>
          </w:tcPr>
          <w:p>
            <w:pPr>
              <w:jc w:val="left"/>
            </w:pPr>
            <w:r>
              <w:rPr>
                <w:b w:val="false"/>
                <w:bCs w:val="false"/>
                <w:color w:val="444444"/>
                <w:sz w:val="20"/>
                <w:szCs w:val="20"/>
              </w:rPr>
              <w:t xml:space="preserve">Tarifs d'écolage, Frais d'inscription, Factures, Paiements, Suivi Mobile Money, Bilan financier</w:t>
            </w:r>
          </w:p>
        </w:tc>
      </w:tr>
      <w:tr>
        <w:tc>
          <w:tcPr>
            <w:tcW w:type="dxa" w:w="2600"/>
            <w:tcMar>
              <w:top w:type="dxa" w:w="100"/>
              <w:left w:type="dxa" w:w="120"/>
              <w:bottom w:type="dxa" w:w="100"/>
              <w:right w:type="dxa" w:w="120"/>
            </w:tcMar>
            <w:vAlign w:val="center"/>
          </w:tcPr>
          <w:p>
            <w:pPr>
              <w:jc w:val="left"/>
            </w:pPr>
            <w:r>
              <w:rPr>
                <w:b w:val="false"/>
                <w:bCs w:val="false"/>
                <w:color w:val="444444"/>
                <w:sz w:val="20"/>
                <w:szCs w:val="20"/>
              </w:rPr>
              <w:t xml:space="preserve">Ressources humaines</w:t>
            </w:r>
          </w:p>
        </w:tc>
        <w:tc>
          <w:tcPr>
            <w:tcW w:type="dxa" w:w="6750"/>
            <w:tcMar>
              <w:top w:type="dxa" w:w="100"/>
              <w:left w:type="dxa" w:w="120"/>
              <w:bottom w:type="dxa" w:w="100"/>
              <w:right w:type="dxa" w:w="120"/>
            </w:tcMar>
            <w:vAlign w:val="center"/>
          </w:tcPr>
          <w:p>
            <w:pPr>
              <w:jc w:val="left"/>
            </w:pPr>
            <w:r>
              <w:rPr>
                <w:b w:val="false"/>
                <w:bCs w:val="false"/>
                <w:color w:val="444444"/>
                <w:sz w:val="20"/>
                <w:szCs w:val="20"/>
              </w:rPr>
              <w:t xml:space="preserve">Personnel, Paie du personnel</w:t>
            </w:r>
          </w:p>
        </w:tc>
      </w:tr>
      <w:tr>
        <w:tc>
          <w:tcPr>
            <w:tcW w:type="dxa" w:w="2600"/>
            <w:tcMar>
              <w:top w:type="dxa" w:w="100"/>
              <w:left w:type="dxa" w:w="120"/>
              <w:bottom w:type="dxa" w:w="100"/>
              <w:right w:type="dxa" w:w="120"/>
            </w:tcMar>
            <w:vAlign w:val="center"/>
          </w:tcPr>
          <w:p>
            <w:pPr>
              <w:jc w:val="left"/>
            </w:pPr>
            <w:r>
              <w:rPr>
                <w:b w:val="false"/>
                <w:bCs w:val="false"/>
                <w:color w:val="444444"/>
                <w:sz w:val="20"/>
                <w:szCs w:val="20"/>
              </w:rPr>
              <w:t xml:space="preserve">Établissement</w:t>
            </w:r>
          </w:p>
        </w:tc>
        <w:tc>
          <w:tcPr>
            <w:tcW w:type="dxa" w:w="6750"/>
            <w:tcMar>
              <w:top w:type="dxa" w:w="100"/>
              <w:left w:type="dxa" w:w="120"/>
              <w:bottom w:type="dxa" w:w="100"/>
              <w:right w:type="dxa" w:w="120"/>
            </w:tcMar>
            <w:vAlign w:val="center"/>
          </w:tcPr>
          <w:p>
            <w:pPr>
              <w:jc w:val="left"/>
            </w:pPr>
            <w:r>
              <w:rPr>
                <w:b w:val="false"/>
                <w:bCs w:val="false"/>
                <w:color w:val="444444"/>
                <w:sz w:val="20"/>
                <w:szCs w:val="20"/>
              </w:rPr>
              <w:t xml:space="preserve">Logistique (inventaire du matériel), Bibliothèque</w:t>
            </w:r>
          </w:p>
        </w:tc>
      </w:tr>
    </w:tbl>
    <w:p>
      <w:pPr>
        <w:spacing w:after="200"/>
      </w:pPr>
    </w:p>
    <w:p>
      <w:pPr>
        <w:pStyle w:val="Heading2"/>
        <w:spacing w:after="150" w:before="300"/>
      </w:pPr>
      <w:r>
        <w:t xml:space="preserve">3.4 Limites techniques à connaître avant signature</w:t>
      </w:r>
    </w:p>
    <w:p>
      <w:pPr>
        <w:spacing w:after="150"/>
      </w:pPr>
      <w:r>
        <w:t xml:space="preserve">Par honnêteté commerciale et pour éviter tout malentendu contractuel, les limites suivantes doivent être clairement communiquées à l'École avant la vente :</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50"/>
      </w:tblGrid>
      <w:tr>
        <w:tc>
          <w:tcPr>
            <w:tcW w:type="dxa" w:w="2400"/>
            <w:shd w:fill="0A7C63" w:val="clear"/>
            <w:tcMar>
              <w:top w:type="dxa" w:w="100"/>
              <w:left w:type="dxa" w:w="120"/>
              <w:bottom w:type="dxa" w:w="100"/>
              <w:right w:type="dxa" w:w="120"/>
            </w:tcMar>
            <w:vAlign w:val="center"/>
          </w:tcPr>
          <w:p>
            <w:pPr>
              <w:jc w:val="left"/>
            </w:pPr>
            <w:r>
              <w:rPr>
                <w:b/>
                <w:bCs/>
                <w:color w:val="FFFFFF"/>
                <w:sz w:val="20"/>
                <w:szCs w:val="20"/>
              </w:rPr>
              <w:t xml:space="preserve">Aspect</w:t>
            </w:r>
          </w:p>
        </w:tc>
        <w:tc>
          <w:tcPr>
            <w:tcW w:type="dxa" w:w="6950"/>
            <w:shd w:fill="0A7C63" w:val="clear"/>
            <w:tcMar>
              <w:top w:type="dxa" w:w="100"/>
              <w:left w:type="dxa" w:w="120"/>
              <w:bottom w:type="dxa" w:w="100"/>
              <w:right w:type="dxa" w:w="120"/>
            </w:tcMar>
            <w:vAlign w:val="center"/>
          </w:tcPr>
          <w:p>
            <w:pPr>
              <w:jc w:val="left"/>
            </w:pPr>
            <w:r>
              <w:rPr>
                <w:b/>
                <w:bCs/>
                <w:color w:val="FFFFFF"/>
                <w:sz w:val="20"/>
                <w:szCs w:val="20"/>
              </w:rPr>
              <w:t xml:space="preserve">Situation réelle</w:t>
            </w:r>
          </w:p>
        </w:tc>
      </w:tr>
      <w:tr>
        <w:tc>
          <w:tcPr>
            <w:tcW w:type="dxa" w:w="2400"/>
            <w:tcMar>
              <w:top w:type="dxa" w:w="100"/>
              <w:left w:type="dxa" w:w="120"/>
              <w:bottom w:type="dxa" w:w="100"/>
              <w:right w:type="dxa" w:w="120"/>
            </w:tcMar>
            <w:vAlign w:val="center"/>
          </w:tcPr>
          <w:p>
            <w:pPr>
              <w:jc w:val="left"/>
            </w:pPr>
            <w:r>
              <w:rPr>
                <w:b w:val="false"/>
                <w:bCs w:val="false"/>
                <w:color w:val="444444"/>
                <w:sz w:val="20"/>
                <w:szCs w:val="20"/>
              </w:rPr>
              <w:t xml:space="preserve">Nombre de postes</w:t>
            </w:r>
          </w:p>
        </w:tc>
        <w:tc>
          <w:tcPr>
            <w:tcW w:type="dxa" w:w="6950"/>
            <w:tcMar>
              <w:top w:type="dxa" w:w="100"/>
              <w:left w:type="dxa" w:w="120"/>
              <w:bottom w:type="dxa" w:w="100"/>
              <w:right w:type="dxa" w:w="120"/>
            </w:tcMar>
            <w:vAlign w:val="center"/>
          </w:tcPr>
          <w:p>
            <w:pPr>
              <w:jc w:val="left"/>
            </w:pPr>
            <w:r>
              <w:rPr>
                <w:b w:val="false"/>
                <w:bCs w:val="false"/>
                <w:color w:val="444444"/>
                <w:sz w:val="20"/>
                <w:szCs w:val="20"/>
              </w:rPr>
              <w:t xml:space="preserve">Application installée sur un seul ordinateur. Les données ne sont pas partagées automatiquement entre plusieurs postes d'une même école. Pour un fonctionnement multi-postes en temps réel, la version web Kalanso (en ligne) est recommandée.</w:t>
            </w:r>
          </w:p>
        </w:tc>
      </w:tr>
      <w:tr>
        <w:tc>
          <w:tcPr>
            <w:tcW w:type="dxa" w:w="2400"/>
            <w:tcMar>
              <w:top w:type="dxa" w:w="100"/>
              <w:left w:type="dxa" w:w="120"/>
              <w:bottom w:type="dxa" w:w="100"/>
              <w:right w:type="dxa" w:w="120"/>
            </w:tcMar>
            <w:vAlign w:val="center"/>
          </w:tcPr>
          <w:p>
            <w:pPr>
              <w:jc w:val="left"/>
            </w:pPr>
            <w:r>
              <w:rPr>
                <w:b w:val="false"/>
                <w:bCs w:val="false"/>
                <w:color w:val="444444"/>
                <w:sz w:val="20"/>
                <w:szCs w:val="20"/>
              </w:rPr>
              <w:t xml:space="preserve">Connexion internet</w:t>
            </w:r>
          </w:p>
        </w:tc>
        <w:tc>
          <w:tcPr>
            <w:tcW w:type="dxa" w:w="6950"/>
            <w:tcMar>
              <w:top w:type="dxa" w:w="100"/>
              <w:left w:type="dxa" w:w="120"/>
              <w:bottom w:type="dxa" w:w="100"/>
              <w:right w:type="dxa" w:w="120"/>
            </w:tcMar>
            <w:vAlign w:val="center"/>
          </w:tcPr>
          <w:p>
            <w:pPr>
              <w:jc w:val="left"/>
            </w:pPr>
            <w:r>
              <w:rPr>
                <w:b w:val="false"/>
                <w:bCs w:val="false"/>
                <w:color w:val="444444"/>
                <w:sz w:val="20"/>
                <w:szCs w:val="20"/>
              </w:rPr>
              <w:t xml:space="preserve">Aucune connexion requise pour l'usage quotidien (élèves, notes, absences, finances). Le suivi Mobile Money nécessite une confirmation manuelle par le personnel, sans connexion directe à l'opérateur téléphonique.</w:t>
            </w:r>
          </w:p>
        </w:tc>
      </w:tr>
      <w:tr>
        <w:tc>
          <w:tcPr>
            <w:tcW w:type="dxa" w:w="2400"/>
            <w:tcMar>
              <w:top w:type="dxa" w:w="100"/>
              <w:left w:type="dxa" w:w="120"/>
              <w:bottom w:type="dxa" w:w="100"/>
              <w:right w:type="dxa" w:w="120"/>
            </w:tcMar>
            <w:vAlign w:val="center"/>
          </w:tcPr>
          <w:p>
            <w:pPr>
              <w:jc w:val="left"/>
            </w:pPr>
            <w:r>
              <w:rPr>
                <w:b w:val="false"/>
                <w:bCs w:val="false"/>
                <w:color w:val="444444"/>
                <w:sz w:val="20"/>
                <w:szCs w:val="20"/>
              </w:rPr>
              <w:t xml:space="preserve">Sauvegarde des données</w:t>
            </w:r>
          </w:p>
        </w:tc>
        <w:tc>
          <w:tcPr>
            <w:tcW w:type="dxa" w:w="6950"/>
            <w:tcMar>
              <w:top w:type="dxa" w:w="100"/>
              <w:left w:type="dxa" w:w="120"/>
              <w:bottom w:type="dxa" w:w="100"/>
              <w:right w:type="dxa" w:w="120"/>
            </w:tcMar>
            <w:vAlign w:val="center"/>
          </w:tcPr>
          <w:p>
            <w:pPr>
              <w:jc w:val="left"/>
            </w:pPr>
            <w:r>
              <w:rPr>
                <w:b w:val="false"/>
                <w:bCs w:val="false"/>
                <w:color w:val="444444"/>
                <w:sz w:val="20"/>
                <w:szCs w:val="20"/>
              </w:rPr>
              <w:t xml:space="preserve">Aucune sauvegarde automatique en ligne : les données résident uniquement sur le disque de l'ordinateur d'installation. Une procédure de sauvegarde régulière (clé USB, disque externe) est de la responsabilité de l'école (voir section Sauvegarde et responsabilités).</w:t>
            </w:r>
          </w:p>
        </w:tc>
      </w:tr>
      <w:tr>
        <w:tc>
          <w:tcPr>
            <w:tcW w:type="dxa" w:w="2400"/>
            <w:tcMar>
              <w:top w:type="dxa" w:w="100"/>
              <w:left w:type="dxa" w:w="120"/>
              <w:bottom w:type="dxa" w:w="100"/>
              <w:right w:type="dxa" w:w="120"/>
            </w:tcMar>
            <w:vAlign w:val="center"/>
          </w:tcPr>
          <w:p>
            <w:pPr>
              <w:jc w:val="left"/>
            </w:pPr>
            <w:r>
              <w:rPr>
                <w:b w:val="false"/>
                <w:bCs w:val="false"/>
                <w:color w:val="444444"/>
                <w:sz w:val="20"/>
                <w:szCs w:val="20"/>
              </w:rPr>
              <w:t xml:space="preserve">Mises à jour</w:t>
            </w:r>
          </w:p>
        </w:tc>
        <w:tc>
          <w:tcPr>
            <w:tcW w:type="dxa" w:w="6950"/>
            <w:tcMar>
              <w:top w:type="dxa" w:w="100"/>
              <w:left w:type="dxa" w:w="120"/>
              <w:bottom w:type="dxa" w:w="100"/>
              <w:right w:type="dxa" w:w="120"/>
            </w:tcMar>
            <w:vAlign w:val="center"/>
          </w:tcPr>
          <w:p>
            <w:pPr>
              <w:jc w:val="left"/>
            </w:pPr>
            <w:r>
              <w:rPr>
                <w:b w:val="false"/>
                <w:bCs w:val="false"/>
                <w:color w:val="444444"/>
                <w:sz w:val="20"/>
                <w:szCs w:val="20"/>
              </w:rPr>
              <w:t xml:space="preserve">Livrées sous forme d'un nouvel installateur à exécuter manuellement sur le poste. Pas de mise à jour automatique à distance dans la version actuelle.</w:t>
            </w:r>
          </w:p>
        </w:tc>
      </w:tr>
    </w:tbl>
    <w:p>
      <w:r>
        <w:br w:type="page"/>
      </w:r>
    </w:p>
    <w:p>
      <w:pPr>
        <w:pStyle w:val="Heading1"/>
        <w:spacing w:after="200" w:before="400"/>
      </w:pPr>
      <w:r>
        <w:t xml:space="preserve">4. Prérequis techniques</w:t>
      </w:r>
    </w:p>
    <w:p>
      <w:pPr>
        <w:pStyle w:val="ListParagraph"/>
        <w:numPr>
          <w:ilvl w:val="0"/>
          <w:numId w:val="2"/>
        </w:numPr>
        <w:spacing w:after="80"/>
      </w:pPr>
      <w:r>
        <w:t xml:space="preserve">Ordinateur sous Windows 10 ou 11 (64 bits)</w:t>
      </w:r>
    </w:p>
    <w:p>
      <w:pPr>
        <w:pStyle w:val="ListParagraph"/>
        <w:numPr>
          <w:ilvl w:val="0"/>
          <w:numId w:val="2"/>
        </w:numPr>
        <w:spacing w:after="80"/>
      </w:pPr>
      <w:r>
        <w:t xml:space="preserve">Minimum 4 Go de RAM, 2 Go d'espace disque disponible</w:t>
      </w:r>
    </w:p>
    <w:p>
      <w:pPr>
        <w:pStyle w:val="ListParagraph"/>
        <w:numPr>
          <w:ilvl w:val="0"/>
          <w:numId w:val="2"/>
        </w:numPr>
        <w:spacing w:after="80"/>
      </w:pPr>
      <w:r>
        <w:t xml:space="preserve">Aucune connexion internet requise pour l'utilisation quotidienne</w:t>
      </w:r>
    </w:p>
    <w:p>
      <w:pPr>
        <w:pStyle w:val="ListParagraph"/>
        <w:numPr>
          <w:ilvl w:val="0"/>
          <w:numId w:val="2"/>
        </w:numPr>
        <w:spacing w:after="80"/>
      </w:pPr>
      <w:r>
        <w:t xml:space="preserve">Un point d'alimentation électrique stable ou un onduleur recommandé (protection contre les coupures pendant la saisie)</w:t>
      </w:r>
    </w:p>
    <w:p>
      <w:pPr>
        <w:pStyle w:val="Heading1"/>
        <w:spacing w:after="200" w:before="400"/>
      </w:pPr>
      <w:r>
        <w:t xml:space="preserve">5. Livrables</w:t>
      </w:r>
    </w:p>
    <w:p>
      <w:pPr>
        <w:pStyle w:val="ListParagraph"/>
        <w:numPr>
          <w:ilvl w:val="0"/>
          <w:numId w:val="2"/>
        </w:numPr>
        <w:spacing w:after="80"/>
      </w:pPr>
      <w:r>
        <w:t xml:space="preserve">Installateur Windows (fichier .exe) de Kalanso Desktop</w:t>
      </w:r>
    </w:p>
    <w:p>
      <w:pPr>
        <w:pStyle w:val="ListParagraph"/>
        <w:numPr>
          <w:ilvl w:val="0"/>
          <w:numId w:val="2"/>
        </w:numPr>
        <w:spacing w:after="80"/>
      </w:pPr>
      <w:r>
        <w:t xml:space="preserve">Manuel d'utilisation (support numérique, avec captures d'écran par module)</w:t>
      </w:r>
    </w:p>
    <w:p>
      <w:pPr>
        <w:pStyle w:val="ListParagraph"/>
        <w:numPr>
          <w:ilvl w:val="0"/>
          <w:numId w:val="2"/>
        </w:numPr>
        <w:spacing w:after="80"/>
      </w:pPr>
      <w:r>
        <w:t xml:space="preserve">Configuration initiale : création de la fiche établissement et du compte administrateur (fondateur)</w:t>
      </w:r>
    </w:p>
    <w:p>
      <w:pPr>
        <w:pStyle w:val="ListParagraph"/>
        <w:numPr>
          <w:ilvl w:val="0"/>
          <w:numId w:val="2"/>
        </w:numPr>
        <w:spacing w:after="80"/>
      </w:pPr>
      <w:r>
        <w:t xml:space="preserve">Formation initiale du personnel désigné par l'École (durée à préciser au contrat, ex. une demi-journée sur site ou à distance)</w:t>
      </w:r>
    </w:p>
    <w:p>
      <w:pPr>
        <w:pStyle w:val="ListParagraph"/>
        <w:numPr>
          <w:ilvl w:val="0"/>
          <w:numId w:val="2"/>
        </w:numPr>
        <w:spacing w:after="80"/>
      </w:pPr>
      <w:r>
        <w:t xml:space="preserve">Assistance à la reprise des données existantes de l'École, si disponibles (listes d'élèves, tarifs, personnel — au format Excel)</w:t>
      </w:r>
    </w:p>
    <w:p>
      <w:pPr>
        <w:pStyle w:val="Heading1"/>
        <w:spacing w:after="200" w:before="400"/>
      </w:pPr>
      <w:r>
        <w:t xml:space="preserve">6. Modalités de mise en œuvre</w:t>
      </w:r>
    </w:p>
    <w:p>
      <w:pPr>
        <w:pStyle w:val="Heading2"/>
        <w:spacing w:after="150" w:before="300"/>
      </w:pPr>
      <w:r>
        <w:t xml:space="preserve">6.1 Installation</w:t>
      </w:r>
    </w:p>
    <w:p>
      <w:pPr>
        <w:spacing w:after="150"/>
      </w:pPr>
      <w:r>
        <w:t xml:space="preserve">L'installation est réalisée sur le ou les postes désignés par l'École, sur place ou à distance (prise en main à distance avec l'accord de l'École).</w:t>
      </w:r>
    </w:p>
    <w:p>
      <w:pPr>
        <w:pStyle w:val="Heading2"/>
        <w:spacing w:after="150" w:before="300"/>
      </w:pPr>
      <w:r>
        <w:t xml:space="preserve">6.2 Configuration initiale</w:t>
      </w:r>
    </w:p>
    <w:p>
      <w:pPr>
        <w:spacing w:after="150"/>
      </w:pPr>
      <w:r>
        <w:t xml:space="preserve">Au premier lancement, un écran unique permet de renseigner le nom de l'établissement et de créer le compte du fondateur/administrateur principal. Les autres comptes du personnel (chef d'établissement, secrétaire, comptable, enseignants) sont ensuite créés depuis l'application elle-même.</w:t>
      </w:r>
    </w:p>
    <w:p>
      <w:pPr>
        <w:pStyle w:val="Heading2"/>
        <w:spacing w:after="150" w:before="300"/>
      </w:pPr>
      <w:r>
        <w:t xml:space="preserve">6.3 Reprise des données existantes</w:t>
      </w:r>
    </w:p>
    <w:p>
      <w:pPr>
        <w:spacing w:after="150"/>
      </w:pPr>
      <w:r>
        <w:t xml:space="preserve">Si l'École dispose déjà de listes d'élèves, de personnel ou de tarifs sous Excel, un accompagnement à l'import est proposé (des modèles d'import sont fournis dans l'application pour les factures et la paie).</w:t>
      </w:r>
    </w:p>
    <w:p>
      <w:pPr>
        <w:pStyle w:val="Heading2"/>
        <w:spacing w:after="150" w:before="300"/>
      </w:pPr>
      <w:r>
        <w:t xml:space="preserve">6.4 Formation</w:t>
      </w:r>
    </w:p>
    <w:p>
      <w:pPr>
        <w:spacing w:after="150"/>
      </w:pPr>
      <w:r>
        <w:t xml:space="preserve">Une session de formation est dispensée au personnel désigné, couvrant l'utilisation quotidienne des modules pertinents à chaque rôle (secrétariat, comptabilité, enseignants, direction).</w:t>
      </w:r>
    </w:p>
    <w:p>
      <w:pPr>
        <w:pStyle w:val="Heading1"/>
        <w:spacing w:after="200" w:before="400"/>
      </w:pPr>
      <w:r>
        <w:t xml:space="preserve">7. Modèle commercial et tarification indicative</w:t>
      </w:r>
    </w:p>
    <w:p>
      <w:pPr>
        <w:spacing w:after="150"/>
      </w:pPr>
      <w:r>
        <w:t xml:space="preserve">Deux modèles sont proposés ; l'École choisit celui qui convient le mieux à son organisation. Les montants ci-dessous sont indicatifs et doivent être ajustés avant toute proposition commerciale ferme.</w:t>
      </w:r>
    </w:p>
    <w:p>
      <w:pPr>
        <w:pStyle w:val="Heading2"/>
        <w:spacing w:after="150" w:before="300"/>
      </w:pPr>
      <w:r>
        <w:t xml:space="preserve">7.1 Option A — Licence unique + maintenance annuelle optionnelle</w:t>
      </w:r>
    </w:p>
    <w:p>
      <w:pPr>
        <w:spacing w:after="150"/>
      </w:pPr>
      <w:r>
        <w:t xml:space="preserve">L'École acquiert un droit d'usage perpétuel du logiciel moyennant un paiement unique. La maintenance annuelle (optionnelle) donne accès aux mises à jour et au support technique.</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50"/>
        <w:gridCol w:w="3350"/>
        <w:gridCol w:w="2650"/>
      </w:tblGrid>
      <w:tr>
        <w:tc>
          <w:tcPr>
            <w:tcW w:type="dxa" w:w="3350"/>
            <w:shd w:fill="0A7C63" w:val="clear"/>
            <w:tcMar>
              <w:top w:type="dxa" w:w="100"/>
              <w:left w:type="dxa" w:w="120"/>
              <w:bottom w:type="dxa" w:w="100"/>
              <w:right w:type="dxa" w:w="120"/>
            </w:tcMar>
            <w:vAlign w:val="center"/>
          </w:tcPr>
          <w:p>
            <w:pPr>
              <w:jc w:val="left"/>
            </w:pPr>
            <w:r>
              <w:rPr>
                <w:b/>
                <w:bCs/>
                <w:color w:val="FFFFFF"/>
                <w:sz w:val="20"/>
                <w:szCs w:val="20"/>
              </w:rPr>
              <w:t xml:space="preserve">Taille de l'école</w:t>
            </w:r>
          </w:p>
        </w:tc>
        <w:tc>
          <w:tcPr>
            <w:tcW w:type="dxa" w:w="3350"/>
            <w:shd w:fill="0A7C63" w:val="clear"/>
            <w:tcMar>
              <w:top w:type="dxa" w:w="100"/>
              <w:left w:type="dxa" w:w="120"/>
              <w:bottom w:type="dxa" w:w="100"/>
              <w:right w:type="dxa" w:w="120"/>
            </w:tcMar>
            <w:vAlign w:val="center"/>
          </w:tcPr>
          <w:p>
            <w:pPr>
              <w:jc w:val="left"/>
            </w:pPr>
            <w:r>
              <w:rPr>
                <w:b/>
                <w:bCs/>
                <w:color w:val="FFFFFF"/>
                <w:sz w:val="20"/>
                <w:szCs w:val="20"/>
              </w:rPr>
              <w:t xml:space="preserve">Licence unique</w:t>
            </w:r>
          </w:p>
        </w:tc>
        <w:tc>
          <w:tcPr>
            <w:tcW w:type="dxa" w:w="2650"/>
            <w:shd w:fill="0A7C63" w:val="clear"/>
            <w:tcMar>
              <w:top w:type="dxa" w:w="100"/>
              <w:left w:type="dxa" w:w="120"/>
              <w:bottom w:type="dxa" w:w="100"/>
              <w:right w:type="dxa" w:w="120"/>
            </w:tcMar>
            <w:vAlign w:val="center"/>
          </w:tcPr>
          <w:p>
            <w:pPr>
              <w:jc w:val="left"/>
            </w:pPr>
            <w:r>
              <w:rPr>
                <w:b/>
                <w:bCs/>
                <w:color w:val="FFFFFF"/>
                <w:sz w:val="20"/>
                <w:szCs w:val="20"/>
              </w:rPr>
              <w:t xml:space="preserve">Maintenance annuelle</w:t>
            </w:r>
          </w:p>
        </w:tc>
      </w:tr>
      <w:tr>
        <w:tc>
          <w:tcPr>
            <w:tcW w:type="dxa" w:w="3350"/>
            <w:tcMar>
              <w:top w:type="dxa" w:w="100"/>
              <w:left w:type="dxa" w:w="120"/>
              <w:bottom w:type="dxa" w:w="100"/>
              <w:right w:type="dxa" w:w="120"/>
            </w:tcMar>
            <w:vAlign w:val="center"/>
          </w:tcPr>
          <w:p>
            <w:pPr>
              <w:jc w:val="left"/>
            </w:pPr>
            <w:r>
              <w:rPr>
                <w:b w:val="false"/>
                <w:bCs w:val="false"/>
                <w:color w:val="444444"/>
                <w:sz w:val="20"/>
                <w:szCs w:val="20"/>
              </w:rPr>
              <w:t xml:space="preserve">Petite école (moins de 300 élèves)</w:t>
            </w:r>
          </w:p>
        </w:tc>
        <w:tc>
          <w:tcPr>
            <w:tcW w:type="dxa" w:w="3350"/>
            <w:tcMar>
              <w:top w:type="dxa" w:w="100"/>
              <w:left w:type="dxa" w:w="120"/>
              <w:bottom w:type="dxa" w:w="100"/>
              <w:right w:type="dxa" w:w="120"/>
            </w:tcMar>
            <w:vAlign w:val="center"/>
          </w:tcPr>
          <w:p>
            <w:pPr>
              <w:jc w:val="left"/>
            </w:pPr>
            <w:r>
              <w:rPr>
                <w:b w:val="false"/>
                <w:bCs w:val="false"/>
                <w:color w:val="444444"/>
                <w:sz w:val="20"/>
                <w:szCs w:val="20"/>
              </w:rPr>
              <w:t xml:space="preserve">3 000 000 – 5 000 000 GNF</w:t>
            </w:r>
          </w:p>
        </w:tc>
        <w:tc>
          <w:tcPr>
            <w:tcW w:type="dxa" w:w="2650"/>
            <w:tcMar>
              <w:top w:type="dxa" w:w="100"/>
              <w:left w:type="dxa" w:w="120"/>
              <w:bottom w:type="dxa" w:w="100"/>
              <w:right w:type="dxa" w:w="120"/>
            </w:tcMar>
            <w:vAlign w:val="center"/>
          </w:tcPr>
          <w:p>
            <w:pPr>
              <w:jc w:val="left"/>
            </w:pPr>
            <w:r>
              <w:rPr>
                <w:b w:val="false"/>
                <w:bCs w:val="false"/>
                <w:color w:val="444444"/>
                <w:sz w:val="20"/>
                <w:szCs w:val="20"/>
              </w:rPr>
              <w:t xml:space="preserve">500 000 – 800 000 GNF / an</w:t>
            </w:r>
          </w:p>
        </w:tc>
      </w:tr>
      <w:tr>
        <w:tc>
          <w:tcPr>
            <w:tcW w:type="dxa" w:w="3350"/>
            <w:tcMar>
              <w:top w:type="dxa" w:w="100"/>
              <w:left w:type="dxa" w:w="120"/>
              <w:bottom w:type="dxa" w:w="100"/>
              <w:right w:type="dxa" w:w="120"/>
            </w:tcMar>
            <w:vAlign w:val="center"/>
          </w:tcPr>
          <w:p>
            <w:pPr>
              <w:jc w:val="left"/>
            </w:pPr>
            <w:r>
              <w:rPr>
                <w:b w:val="false"/>
                <w:bCs w:val="false"/>
                <w:color w:val="444444"/>
                <w:sz w:val="20"/>
                <w:szCs w:val="20"/>
              </w:rPr>
              <w:t xml:space="preserve">École moyenne (300 à 800 élèves)</w:t>
            </w:r>
          </w:p>
        </w:tc>
        <w:tc>
          <w:tcPr>
            <w:tcW w:type="dxa" w:w="3350"/>
            <w:tcMar>
              <w:top w:type="dxa" w:w="100"/>
              <w:left w:type="dxa" w:w="120"/>
              <w:bottom w:type="dxa" w:w="100"/>
              <w:right w:type="dxa" w:w="120"/>
            </w:tcMar>
            <w:vAlign w:val="center"/>
          </w:tcPr>
          <w:p>
            <w:pPr>
              <w:jc w:val="left"/>
            </w:pPr>
            <w:r>
              <w:rPr>
                <w:b w:val="false"/>
                <w:bCs w:val="false"/>
                <w:color w:val="444444"/>
                <w:sz w:val="20"/>
                <w:szCs w:val="20"/>
              </w:rPr>
              <w:t xml:space="preserve">5 000 000 – 8 000 000 GNF</w:t>
            </w:r>
          </w:p>
        </w:tc>
        <w:tc>
          <w:tcPr>
            <w:tcW w:type="dxa" w:w="2650"/>
            <w:tcMar>
              <w:top w:type="dxa" w:w="100"/>
              <w:left w:type="dxa" w:w="120"/>
              <w:bottom w:type="dxa" w:w="100"/>
              <w:right w:type="dxa" w:w="120"/>
            </w:tcMar>
            <w:vAlign w:val="center"/>
          </w:tcPr>
          <w:p>
            <w:pPr>
              <w:jc w:val="left"/>
            </w:pPr>
            <w:r>
              <w:rPr>
                <w:b w:val="false"/>
                <w:bCs w:val="false"/>
                <w:color w:val="444444"/>
                <w:sz w:val="20"/>
                <w:szCs w:val="20"/>
              </w:rPr>
              <w:t xml:space="preserve">800 000 – 1 300 000 GNF / an</w:t>
            </w:r>
          </w:p>
        </w:tc>
      </w:tr>
      <w:tr>
        <w:tc>
          <w:tcPr>
            <w:tcW w:type="dxa" w:w="3350"/>
            <w:tcMar>
              <w:top w:type="dxa" w:w="100"/>
              <w:left w:type="dxa" w:w="120"/>
              <w:bottom w:type="dxa" w:w="100"/>
              <w:right w:type="dxa" w:w="120"/>
            </w:tcMar>
            <w:vAlign w:val="center"/>
          </w:tcPr>
          <w:p>
            <w:pPr>
              <w:jc w:val="left"/>
            </w:pPr>
            <w:r>
              <w:rPr>
                <w:b w:val="false"/>
                <w:bCs w:val="false"/>
                <w:color w:val="444444"/>
                <w:sz w:val="20"/>
                <w:szCs w:val="20"/>
              </w:rPr>
              <w:t xml:space="preserve">Grande école (plus de 800 élèves)</w:t>
            </w:r>
          </w:p>
        </w:tc>
        <w:tc>
          <w:tcPr>
            <w:tcW w:type="dxa" w:w="3350"/>
            <w:tcMar>
              <w:top w:type="dxa" w:w="100"/>
              <w:left w:type="dxa" w:w="120"/>
              <w:bottom w:type="dxa" w:w="100"/>
              <w:right w:type="dxa" w:w="120"/>
            </w:tcMar>
            <w:vAlign w:val="center"/>
          </w:tcPr>
          <w:p>
            <w:pPr>
              <w:jc w:val="left"/>
            </w:pPr>
            <w:r>
              <w:rPr>
                <w:b w:val="false"/>
                <w:bCs w:val="false"/>
                <w:color w:val="444444"/>
                <w:sz w:val="20"/>
                <w:szCs w:val="20"/>
              </w:rPr>
              <w:t xml:space="preserve">8 000 000 – 12 000 000 GNF</w:t>
            </w:r>
          </w:p>
        </w:tc>
        <w:tc>
          <w:tcPr>
            <w:tcW w:type="dxa" w:w="2650"/>
            <w:tcMar>
              <w:top w:type="dxa" w:w="100"/>
              <w:left w:type="dxa" w:w="120"/>
              <w:bottom w:type="dxa" w:w="100"/>
              <w:right w:type="dxa" w:w="120"/>
            </w:tcMar>
            <w:vAlign w:val="center"/>
          </w:tcPr>
          <w:p>
            <w:pPr>
              <w:jc w:val="left"/>
            </w:pPr>
            <w:r>
              <w:rPr>
                <w:b w:val="false"/>
                <w:bCs w:val="false"/>
                <w:color w:val="444444"/>
                <w:sz w:val="20"/>
                <w:szCs w:val="20"/>
              </w:rPr>
              <w:t xml:space="preserve">1 300 000 – 2 000 000 GNF / an</w:t>
            </w:r>
          </w:p>
        </w:tc>
      </w:tr>
    </w:tbl>
    <w:p>
      <w:pPr>
        <w:spacing w:after="200"/>
      </w:pPr>
    </w:p>
    <w:p>
      <w:pPr>
        <w:pStyle w:val="Heading2"/>
        <w:spacing w:after="150" w:before="300"/>
      </w:pPr>
      <w:r>
        <w:t xml:space="preserve">7.2 Option B — Abonnement annuel</w:t>
      </w:r>
    </w:p>
    <w:p>
      <w:pPr>
        <w:spacing w:after="150"/>
      </w:pPr>
      <w:r>
        <w:t xml:space="preserve">L'École paie une redevance annuelle incluant l'usage du logiciel, les mises à jour et le support technique.</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75"/>
        <w:gridCol w:w="4675"/>
      </w:tblGrid>
      <w:tr>
        <w:tc>
          <w:tcPr>
            <w:tcW w:type="dxa" w:w="4675"/>
            <w:shd w:fill="0A7C63" w:val="clear"/>
            <w:tcMar>
              <w:top w:type="dxa" w:w="100"/>
              <w:left w:type="dxa" w:w="120"/>
              <w:bottom w:type="dxa" w:w="100"/>
              <w:right w:type="dxa" w:w="120"/>
            </w:tcMar>
            <w:vAlign w:val="center"/>
          </w:tcPr>
          <w:p>
            <w:pPr>
              <w:jc w:val="left"/>
            </w:pPr>
            <w:r>
              <w:rPr>
                <w:b/>
                <w:bCs/>
                <w:color w:val="FFFFFF"/>
                <w:sz w:val="20"/>
                <w:szCs w:val="20"/>
              </w:rPr>
              <w:t xml:space="preserve">Taille de l'école</w:t>
            </w:r>
          </w:p>
        </w:tc>
        <w:tc>
          <w:tcPr>
            <w:tcW w:type="dxa" w:w="4675"/>
            <w:shd w:fill="0A7C63" w:val="clear"/>
            <w:tcMar>
              <w:top w:type="dxa" w:w="100"/>
              <w:left w:type="dxa" w:w="120"/>
              <w:bottom w:type="dxa" w:w="100"/>
              <w:right w:type="dxa" w:w="120"/>
            </w:tcMar>
            <w:vAlign w:val="center"/>
          </w:tcPr>
          <w:p>
            <w:pPr>
              <w:jc w:val="left"/>
            </w:pPr>
            <w:r>
              <w:rPr>
                <w:b/>
                <w:bCs/>
                <w:color w:val="FFFFFF"/>
                <w:sz w:val="20"/>
                <w:szCs w:val="20"/>
              </w:rPr>
              <w:t xml:space="preserve">Abonnement annuel (mises à jour et support inclus)</w:t>
            </w:r>
          </w:p>
        </w:tc>
      </w:tr>
      <w:tr>
        <w:tc>
          <w:tcPr>
            <w:tcW w:type="dxa" w:w="4675"/>
            <w:tcMar>
              <w:top w:type="dxa" w:w="100"/>
              <w:left w:type="dxa" w:w="120"/>
              <w:bottom w:type="dxa" w:w="100"/>
              <w:right w:type="dxa" w:w="120"/>
            </w:tcMar>
            <w:vAlign w:val="center"/>
          </w:tcPr>
          <w:p>
            <w:pPr>
              <w:jc w:val="left"/>
            </w:pPr>
            <w:r>
              <w:rPr>
                <w:b w:val="false"/>
                <w:bCs w:val="false"/>
                <w:color w:val="444444"/>
                <w:sz w:val="20"/>
                <w:szCs w:val="20"/>
              </w:rPr>
              <w:t xml:space="preserve">Petite école (moins de 300 élèves)</w:t>
            </w:r>
          </w:p>
        </w:tc>
        <w:tc>
          <w:tcPr>
            <w:tcW w:type="dxa" w:w="4675"/>
            <w:tcMar>
              <w:top w:type="dxa" w:w="100"/>
              <w:left w:type="dxa" w:w="120"/>
              <w:bottom w:type="dxa" w:w="100"/>
              <w:right w:type="dxa" w:w="120"/>
            </w:tcMar>
            <w:vAlign w:val="center"/>
          </w:tcPr>
          <w:p>
            <w:pPr>
              <w:jc w:val="left"/>
            </w:pPr>
            <w:r>
              <w:rPr>
                <w:b w:val="false"/>
                <w:bCs w:val="false"/>
                <w:color w:val="444444"/>
                <w:sz w:val="20"/>
                <w:szCs w:val="20"/>
              </w:rPr>
              <w:t xml:space="preserve">1 500 000 – 2 500 000 GNF / an</w:t>
            </w:r>
          </w:p>
        </w:tc>
      </w:tr>
      <w:tr>
        <w:tc>
          <w:tcPr>
            <w:tcW w:type="dxa" w:w="4675"/>
            <w:tcMar>
              <w:top w:type="dxa" w:w="100"/>
              <w:left w:type="dxa" w:w="120"/>
              <w:bottom w:type="dxa" w:w="100"/>
              <w:right w:type="dxa" w:w="120"/>
            </w:tcMar>
            <w:vAlign w:val="center"/>
          </w:tcPr>
          <w:p>
            <w:pPr>
              <w:jc w:val="left"/>
            </w:pPr>
            <w:r>
              <w:rPr>
                <w:b w:val="false"/>
                <w:bCs w:val="false"/>
                <w:color w:val="444444"/>
                <w:sz w:val="20"/>
                <w:szCs w:val="20"/>
              </w:rPr>
              <w:t xml:space="preserve">École moyenne (300 à 800 élèves)</w:t>
            </w:r>
          </w:p>
        </w:tc>
        <w:tc>
          <w:tcPr>
            <w:tcW w:type="dxa" w:w="4675"/>
            <w:tcMar>
              <w:top w:type="dxa" w:w="100"/>
              <w:left w:type="dxa" w:w="120"/>
              <w:bottom w:type="dxa" w:w="100"/>
              <w:right w:type="dxa" w:w="120"/>
            </w:tcMar>
            <w:vAlign w:val="center"/>
          </w:tcPr>
          <w:p>
            <w:pPr>
              <w:jc w:val="left"/>
            </w:pPr>
            <w:r>
              <w:rPr>
                <w:b w:val="false"/>
                <w:bCs w:val="false"/>
                <w:color w:val="444444"/>
                <w:sz w:val="20"/>
                <w:szCs w:val="20"/>
              </w:rPr>
              <w:t xml:space="preserve">2 500 000 – 4 000 000 GNF / an</w:t>
            </w:r>
          </w:p>
        </w:tc>
      </w:tr>
      <w:tr>
        <w:tc>
          <w:tcPr>
            <w:tcW w:type="dxa" w:w="4675"/>
            <w:tcMar>
              <w:top w:type="dxa" w:w="100"/>
              <w:left w:type="dxa" w:w="120"/>
              <w:bottom w:type="dxa" w:w="100"/>
              <w:right w:type="dxa" w:w="120"/>
            </w:tcMar>
            <w:vAlign w:val="center"/>
          </w:tcPr>
          <w:p>
            <w:pPr>
              <w:jc w:val="left"/>
            </w:pPr>
            <w:r>
              <w:rPr>
                <w:b w:val="false"/>
                <w:bCs w:val="false"/>
                <w:color w:val="444444"/>
                <w:sz w:val="20"/>
                <w:szCs w:val="20"/>
              </w:rPr>
              <w:t xml:space="preserve">Grande école (plus de 800 élèves)</w:t>
            </w:r>
          </w:p>
        </w:tc>
        <w:tc>
          <w:tcPr>
            <w:tcW w:type="dxa" w:w="4675"/>
            <w:tcMar>
              <w:top w:type="dxa" w:w="100"/>
              <w:left w:type="dxa" w:w="120"/>
              <w:bottom w:type="dxa" w:w="100"/>
              <w:right w:type="dxa" w:w="120"/>
            </w:tcMar>
            <w:vAlign w:val="center"/>
          </w:tcPr>
          <w:p>
            <w:pPr>
              <w:jc w:val="left"/>
            </w:pPr>
            <w:r>
              <w:rPr>
                <w:b w:val="false"/>
                <w:bCs w:val="false"/>
                <w:color w:val="444444"/>
                <w:sz w:val="20"/>
                <w:szCs w:val="20"/>
              </w:rPr>
              <w:t xml:space="preserve">4 000 000 – 6 000 000 GNF / an</w:t>
            </w:r>
          </w:p>
        </w:tc>
      </w:tr>
    </w:tbl>
    <w:p>
      <w:pPr>
        <w:spacing w:after="200"/>
      </w:pPr>
    </w:p>
    <w:p>
      <w:pPr>
        <w:shd w:fill="FFF3E0" w:val="clear"/>
        <w:spacing w:after="200" w:before="100"/>
      </w:pPr>
      <w:r>
        <w:rPr>
          <w:b/>
          <w:bCs/>
          <w:color w:val="B54708"/>
        </w:rPr>
        <w:t xml:space="preserve">⚠ </w:t>
      </w:r>
      <w:r>
        <w:rPr>
          <w:i/>
          <w:iCs/>
          <w:color w:val="B54708"/>
        </w:rPr>
        <w:t xml:space="preserve">Ces tarifs sont des points de départ pour une discussion avec vos premières écoles pilotes. Ils gagneraient à être validés/ajustés après quelques ventes réelles, en tenant compte de vos coûts (support, déplacement, formation) et du budget réel des écoles ciblées.</w:t>
      </w:r>
    </w:p>
    <w:p>
      <w:pPr>
        <w:pStyle w:val="Heading1"/>
        <w:spacing w:after="200" w:before="400"/>
      </w:pPr>
      <w:r>
        <w:t xml:space="preserve">8. Maintenance, support et mises à jour</w:t>
      </w:r>
    </w:p>
    <w:p>
      <w:pPr>
        <w:pStyle w:val="ListParagraph"/>
        <w:numPr>
          <w:ilvl w:val="0"/>
          <w:numId w:val="2"/>
        </w:numPr>
        <w:spacing w:after="80"/>
      </w:pPr>
      <w:r>
        <w:t xml:space="preserve">Corrections de bugs et mises à jour mineures : incluses pendant la période de maintenance/abonnement souscrite</w:t>
      </w:r>
    </w:p>
    <w:p>
      <w:pPr>
        <w:pStyle w:val="ListParagraph"/>
        <w:numPr>
          <w:ilvl w:val="0"/>
          <w:numId w:val="2"/>
        </w:numPr>
        <w:spacing w:after="80"/>
      </w:pPr>
      <w:r>
        <w:t xml:space="preserve">Nouvelles fonctionnalités majeures : font l'objet d'un devis distinct, sauf mention contraire au contrat</w:t>
      </w:r>
    </w:p>
    <w:p>
      <w:pPr>
        <w:pStyle w:val="ListParagraph"/>
        <w:numPr>
          <w:ilvl w:val="0"/>
          <w:numId w:val="2"/>
        </w:numPr>
        <w:spacing w:after="80"/>
      </w:pPr>
      <w:r>
        <w:t xml:space="preserve">Canal de support : à préciser au contrat (téléphone, WhatsApp, email), avec un délai de réponse indicatif (ex. 48h ouvrées)</w:t>
      </w:r>
    </w:p>
    <w:p>
      <w:pPr>
        <w:pStyle w:val="ListParagraph"/>
        <w:numPr>
          <w:ilvl w:val="0"/>
          <w:numId w:val="2"/>
        </w:numPr>
        <w:spacing w:after="80"/>
      </w:pPr>
      <w:r>
        <w:t xml:space="preserve">Livraison des mises à jour : sous forme d'un nouvel installateur à exécuter sur le poste (pas de mise à jour automatique à distance à ce jour)</w:t>
      </w:r>
    </w:p>
    <w:p>
      <w:pPr>
        <w:pStyle w:val="Heading1"/>
        <w:spacing w:after="200" w:before="400"/>
      </w:pPr>
      <w:r>
        <w:t xml:space="preserve">9. Propriété intellectuelle et licence d'utilisation</w:t>
      </w:r>
    </w:p>
    <w:p>
      <w:pPr>
        <w:spacing w:after="150"/>
      </w:pPr>
      <w:r>
        <w:t xml:space="preserve">Le code source, la marque « Kalanso » et l'ensemble des éléments du logiciel demeurent la propriété exclusive de l'Éditeur. L'École bénéficie d'un droit d'usage non exclusif et non transférable, limité au(x) poste(s) désigné(s) au contrat.</w:t>
      </w:r>
    </w:p>
    <w:p>
      <w:pPr>
        <w:spacing w:after="150"/>
      </w:pPr>
      <w:r>
        <w:t xml:space="preserve">L'École ne peut ni céder, ni sous-licencier, ni redistribuer le logiciel à des tiers, ni tenter de le décompiler.</w:t>
      </w:r>
    </w:p>
    <w:p>
      <w:pPr>
        <w:spacing w:after="150"/>
      </w:pPr>
      <w:r>
        <w:t xml:space="preserve">Les données saisies par l'École (élèves, notes, finances, personnel) demeurent la propriété exclusive de l'École.</w:t>
      </w:r>
    </w:p>
    <w:p>
      <w:r>
        <w:br w:type="page"/>
      </w:r>
    </w:p>
    <w:p>
      <w:pPr>
        <w:pStyle w:val="Heading1"/>
        <w:spacing w:after="200" w:before="400"/>
      </w:pPr>
      <w:r>
        <w:t xml:space="preserve">10. Sauvegarde des données et responsabilités</w:t>
      </w:r>
    </w:p>
    <w:p>
      <w:pPr>
        <w:shd w:fill="FFF3E0" w:val="clear"/>
        <w:spacing w:after="200" w:before="100"/>
      </w:pPr>
      <w:r>
        <w:rPr>
          <w:b/>
          <w:bCs/>
          <w:color w:val="B54708"/>
        </w:rPr>
        <w:t xml:space="preserve">⚠ </w:t>
      </w:r>
      <w:r>
        <w:rPr>
          <w:i/>
          <w:iCs/>
          <w:color w:val="B54708"/>
        </w:rPr>
        <w:t xml:space="preserve">Point essentiel à formaliser clairement au contrat : contrairement à une application en ligne, aucune sauvegarde automatique n'est réalisée par l'Éditeur. La perte de l'ordinateur (panne, vol, incendie) sans sauvegarde entraîne la perte définitive des données de l'École.</w:t>
      </w:r>
    </w:p>
    <w:p>
      <w:pPr>
        <w:spacing w:after="150"/>
      </w:pPr>
      <w:r>
        <w:t xml:space="preserve">Il est recommandé de choisir l'une des clauses suivantes :</w:t>
      </w:r>
    </w:p>
    <w:p>
      <w:pPr>
        <w:pStyle w:val="ListParagraph"/>
        <w:numPr>
          <w:ilvl w:val="0"/>
          <w:numId w:val="2"/>
        </w:numPr>
        <w:spacing w:after="80"/>
      </w:pPr>
      <w:r>
        <w:t xml:space="preserve">Responsabilité de l'École : l'École s'engage à réaliser une sauvegarde régulière (hebdomadaire recommandée) du fichier de base de données sur un support externe (clé USB, disque dur, service cloud personnel) ; l'Éditeur décline toute responsabilité en cas de perte de données liée à l'absence de sauvegarde.</w:t>
      </w:r>
    </w:p>
    <w:p>
      <w:pPr>
        <w:pStyle w:val="ListParagraph"/>
        <w:numPr>
          <w:ilvl w:val="0"/>
          <w:numId w:val="2"/>
        </w:numPr>
        <w:spacing w:after="80"/>
      </w:pPr>
      <w:r>
        <w:t xml:space="preserve">Service de sauvegarde géré par l'Éditeur (en option payante) : l'Éditeur propose un service ou un outil de sauvegarde automatique périodique vers un support externe ou un espace cloud, moyennant un supplément.</w:t>
      </w:r>
    </w:p>
    <w:p>
      <w:pPr>
        <w:pStyle w:val="Heading1"/>
        <w:spacing w:after="200" w:before="400"/>
      </w:pPr>
      <w:r>
        <w:t xml:space="preserve">11. Confidentialité et protection des données</w:t>
      </w:r>
    </w:p>
    <w:p>
      <w:pPr>
        <w:spacing w:after="150"/>
      </w:pPr>
      <w:r>
        <w:t xml:space="preserve">Les données des élèves, du personnel et des familles ne transitent par aucun serveur externe : elles restent physiquement sur l'ordinateur de l'École, ce qui constitue une garantie forte de confidentialité vis-à-vis des tiers.</w:t>
      </w:r>
    </w:p>
    <w:p>
      <w:pPr>
        <w:spacing w:after="150"/>
      </w:pPr>
      <w:r>
        <w:t xml:space="preserve">L'Éditeur s'engage à ne pas accéder aux données de l'École sans autorisation explicite, sauf dans le cadre d'une intervention de support technique demandée par l'École.</w:t>
      </w:r>
    </w:p>
    <w:p>
      <w:pPr>
        <w:pStyle w:val="Heading1"/>
        <w:spacing w:after="200" w:before="400"/>
      </w:pPr>
      <w:r>
        <w:t xml:space="preserve">12. Durée et résiliation</w:t>
      </w:r>
    </w:p>
    <w:p>
      <w:pPr>
        <w:spacing w:after="150"/>
      </w:pPr>
      <w:r>
        <w:t xml:space="preserve">À préciser selon l'option choisie :</w:t>
      </w:r>
    </w:p>
    <w:p>
      <w:pPr>
        <w:pStyle w:val="ListParagraph"/>
        <w:numPr>
          <w:ilvl w:val="0"/>
          <w:numId w:val="2"/>
        </w:numPr>
        <w:spacing w:after="80"/>
      </w:pPr>
      <w:r>
        <w:t xml:space="preserve">Option A (licence unique) : le droit d'usage est acquis sans limite de durée ; seule la maintenance annuelle optionnelle peut être résiliée sans affecter l'usage du logiciel déjà installé.</w:t>
      </w:r>
    </w:p>
    <w:p>
      <w:pPr>
        <w:pStyle w:val="ListParagraph"/>
        <w:numPr>
          <w:ilvl w:val="0"/>
          <w:numId w:val="2"/>
        </w:numPr>
        <w:spacing w:after="80"/>
      </w:pPr>
      <w:r>
        <w:t xml:space="preserve">Option B (abonnement) : contrat renouvelable par tacite reconduction chaque année, résiliable par l'une ou l'autre partie avec un préavis à définir (ex. 30 jours avant échéance).</w:t>
      </w:r>
    </w:p>
    <w:p>
      <w:pPr>
        <w:pStyle w:val="Heading1"/>
        <w:spacing w:after="200" w:before="400"/>
      </w:pPr>
      <w:r>
        <w:t xml:space="preserve">13. Signatures</w:t>
      </w:r>
    </w:p>
    <w:p>
      <w:pPr>
        <w:spacing w:after="400"/>
      </w:pPr>
    </w:p>
    <w:p>
      <w:pPr>
        <w:spacing w:after="400"/>
      </w:pPr>
      <w:r>
        <w:rPr>
          <w:b/>
          <w:bCs/>
        </w:rPr>
        <w:t xml:space="preserve">Pour l'Éditeur (Kalanso)</w:t>
      </w:r>
    </w:p>
    <w:p>
      <w:pPr>
        <w:spacing w:after="150"/>
      </w:pPr>
      <w:r>
        <w:t xml:space="preserve">Nom, fonction, date et signature : ________________________________</w:t>
      </w:r>
    </w:p>
    <w:p>
      <w:pPr>
        <w:spacing w:after="400"/>
      </w:pPr>
    </w:p>
    <w:p>
      <w:pPr>
        <w:spacing w:after="400"/>
      </w:pPr>
      <w:r>
        <w:rPr>
          <w:b/>
          <w:bCs/>
        </w:rPr>
        <w:t xml:space="preserve">Pour l'École</w:t>
      </w:r>
    </w:p>
    <w:p>
      <w:pPr>
        <w:spacing w:after="150"/>
      </w:pPr>
      <w:r>
        <w:t xml:space="preserve">Nom de l'établissement, nom et fonction du signataire, date et signature : ________________________________</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2026-07-30T15:24:33.666Z</dcterms:created>
  <dcterms:modified xsi:type="dcterms:W3CDTF">2026-07-30T15:24:33.667Z</dcterms:modified>
</cp:coreProperties>
</file>

<file path=docProps/custom.xml><?xml version="1.0" encoding="utf-8"?>
<Properties xmlns="http://schemas.openxmlformats.org/officeDocument/2006/custom-properties" xmlns:vt="http://schemas.openxmlformats.org/officeDocument/2006/docPropsVTypes"/>
</file>