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7C63"/>
          <w:sz w:val="56"/>
          <w:szCs w:val="56"/>
        </w:rPr>
        <w:t xml:space="preserve">Kalanso</w:t>
      </w:r>
    </w:p>
    <w:p>
      <w:pPr>
        <w:spacing w:after="400"/>
      </w:pPr>
      <w:r>
        <w:rPr>
          <w:color w:val="444444"/>
          <w:sz w:val="30"/>
          <w:szCs w:val="30"/>
        </w:rPr>
        <w:t xml:space="preserve">Cahier des charges — Abonnement à la plateforme en ligne</w:t>
      </w:r>
    </w:p>
    <w:p>
      <w:pPr>
        <w:spacing w:after="100"/>
      </w:pPr>
      <w:r>
        <w:rPr>
          <w:i/>
          <w:iCs/>
          <w:color w:val="444444"/>
          <w:sz w:val="22"/>
          <w:szCs w:val="22"/>
        </w:rPr>
        <w:t xml:space="preserve">Document préparatoire au contrat commercial</w:t>
      </w:r>
    </w:p>
    <w:p>
      <w:pPr>
        <w:spacing w:after="600"/>
      </w:pPr>
      <w:r>
        <w:rPr>
          <w:color w:val="444444"/>
          <w:sz w:val="20"/>
          <w:szCs w:val="20"/>
        </w:rPr>
        <w:t xml:space="preserve">Version 1.0 — 30 juillet 2026</w:t>
      </w:r>
    </w:p>
    <w:p>
      <w:pPr>
        <w:shd w:fill="FFF3E0" w:val="clear"/>
        <w:spacing w:after="200" w:before="100"/>
      </w:pPr>
      <w:r>
        <w:rPr>
          <w:b/>
          <w:bCs/>
          <w:color w:val="B54708"/>
        </w:rPr>
        <w:t xml:space="preserve">⚠ </w:t>
      </w:r>
      <w:r>
        <w:rPr>
          <w:i/>
          <w:iCs/>
          <w:color w:val="B54708"/>
        </w:rPr>
        <w:t xml:space="preserve">Ce document est un modèle de travail à adapter avant toute signature. Les tarifs proposés sont indicatifs (voir section 7) : à ajuster selon votre stratégie de lancement, vos coûts réels et le marché local. Faites relire les clauses juridiques (propriété intellectuelle, responsabilité, résiliation) par un juriste avant utilisation contractuelle. Ce document couvre la version en ligne de Kalanso ; une version équivalente existe pour Kalanso Desktop, la version installée localement pour les écoles sans connexion internet fiable.</w:t>
      </w:r>
    </w:p>
    <w:p>
      <w:pPr>
        <w:pStyle w:val="Heading1"/>
        <w:spacing w:after="200" w:before="400"/>
      </w:pPr>
      <w:r>
        <w:t xml:space="preserve">1. Préambule</w:t>
      </w:r>
    </w:p>
    <w:p>
      <w:pPr>
        <w:spacing w:after="150"/>
      </w:pPr>
      <w:r>
        <w:t xml:space="preserve">Le présent cahier des charges définit les conditions de fourniture et d'abonnement à « Kalanso », plateforme de gestion scolaire en ligne développée pour les écoles privées guinéennes, accessible depuis un navigateur web sans installation.</w:t>
      </w:r>
    </w:p>
    <w:p>
      <w:pPr>
        <w:spacing w:after="150"/>
      </w:pPr>
      <w:r>
        <w:t xml:space="preserve">Il a vocation à servir de base à l'établissement d'un contrat entre l'éditeur (ci-après « l'Éditeur ») et l'établissement scolaire client (ci-après « l'École »).</w:t>
      </w:r>
    </w:p>
    <w:p>
      <w:pPr>
        <w:pStyle w:val="Heading1"/>
        <w:spacing w:after="200" w:before="400"/>
      </w:pPr>
      <w:r>
        <w:t xml:space="preserve">2. Objet</w:t>
      </w:r>
    </w:p>
    <w:p>
      <w:pPr>
        <w:spacing w:after="150"/>
      </w:pPr>
      <w:r>
        <w:t xml:space="preserve">Le présent document décrit :</w:t>
      </w:r>
    </w:p>
    <w:p>
      <w:pPr>
        <w:pStyle w:val="ListParagraph"/>
        <w:numPr>
          <w:ilvl w:val="0"/>
          <w:numId w:val="2"/>
        </w:numPr>
        <w:spacing w:after="80"/>
      </w:pPr>
      <w:r>
        <w:t xml:space="preserve">le périmètre fonctionnel de la plateforme,</w:t>
      </w:r>
    </w:p>
    <w:p>
      <w:pPr>
        <w:pStyle w:val="ListParagraph"/>
        <w:numPr>
          <w:ilvl w:val="0"/>
          <w:numId w:val="2"/>
        </w:numPr>
        <w:spacing w:after="80"/>
      </w:pPr>
      <w:r>
        <w:t xml:space="preserve">les prérequis techniques et limites de fonctionnement à connaître avant signature,</w:t>
      </w:r>
    </w:p>
    <w:p>
      <w:pPr>
        <w:pStyle w:val="ListParagraph"/>
        <w:numPr>
          <w:ilvl w:val="0"/>
          <w:numId w:val="2"/>
        </w:numPr>
        <w:spacing w:after="80"/>
      </w:pPr>
      <w:r>
        <w:t xml:space="preserve">les livrables et modalités de mise en service,</w:t>
      </w:r>
    </w:p>
    <w:p>
      <w:pPr>
        <w:pStyle w:val="ListParagraph"/>
        <w:numPr>
          <w:ilvl w:val="0"/>
          <w:numId w:val="2"/>
        </w:numPr>
        <w:spacing w:after="80"/>
      </w:pPr>
      <w:r>
        <w:t xml:space="preserve">le modèle commercial et une tarification indicative,</w:t>
      </w:r>
    </w:p>
    <w:p>
      <w:pPr>
        <w:pStyle w:val="ListParagraph"/>
        <w:numPr>
          <w:ilvl w:val="0"/>
          <w:numId w:val="2"/>
        </w:numPr>
        <w:spacing w:after="80"/>
      </w:pPr>
      <w:r>
        <w:t xml:space="preserve">les conditions de maintenance, de support et de sauvegarde des données,</w:t>
      </w:r>
    </w:p>
    <w:p>
      <w:pPr>
        <w:pStyle w:val="ListParagraph"/>
        <w:numPr>
          <w:ilvl w:val="0"/>
          <w:numId w:val="2"/>
        </w:numPr>
        <w:spacing w:after="80"/>
      </w:pPr>
      <w:r>
        <w:t xml:space="preserve">les clauses de propriété intellectuelle et de confidentialité.</w:t>
      </w:r>
    </w:p>
    <w:p>
      <w:pPr>
        <w:pStyle w:val="Heading1"/>
        <w:spacing w:after="200" w:before="400"/>
      </w:pPr>
      <w:r>
        <w:t xml:space="preserve">3. Présentation du produit</w:t>
      </w:r>
    </w:p>
    <w:p>
      <w:pPr>
        <w:pStyle w:val="Heading2"/>
        <w:spacing w:after="150" w:before="300"/>
      </w:pPr>
      <w:r>
        <w:t xml:space="preserve">3.1 Contexte</w:t>
      </w:r>
    </w:p>
    <w:p>
      <w:pPr>
        <w:spacing w:after="150"/>
      </w:pPr>
      <w:r>
        <w:t xml:space="preserve">Kalanso s'adresse aux écoles privées guinéennes disposant d'une connexion internet pour leur usage courant, et souhaitant que tout le personnel (direction, secrétariat, comptabilité, enseignants) accède aux mêmes informations à jour, depuis plusieurs postes, y compris à distance.</w:t>
      </w:r>
    </w:p>
    <w:p>
      <w:pPr>
        <w:pStyle w:val="Heading2"/>
        <w:spacing w:after="150" w:before="300"/>
      </w:pPr>
      <w:r>
        <w:t xml:space="preserve">3.2 Description générale</w:t>
      </w:r>
    </w:p>
    <w:p>
      <w:pPr>
        <w:spacing w:after="150"/>
      </w:pPr>
      <w:r>
        <w:t xml:space="preserve">Kalanso est une plateforme hébergée par l'Éditeur, accessible depuis n'importe quel navigateur web, sur ordinateur comme sur mobile, sans installation. Chaque école dispose de son propre espace, dont les données ne sont jamais visibles par un autre établissement.</w:t>
      </w:r>
    </w:p>
    <w:p>
      <w:pPr>
        <w:pStyle w:val="Heading2"/>
        <w:spacing w:after="150" w:before="300"/>
      </w:pPr>
      <w:r>
        <w:t xml:space="preserve">3.3 Périmètre fonctionnel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50"/>
      </w:tblGrid>
      <w:tr>
        <w:tc>
          <w:tcPr>
            <w:tcW w:type="dxa" w:w="2600"/>
            <w:shd w:fill="0A7C63" w:val="clear"/>
            <w:tcMar>
              <w:top w:type="dxa" w:w="100"/>
              <w:left w:type="dxa" w:w="120"/>
              <w:bottom w:type="dxa" w:w="100"/>
              <w:right w:type="dxa" w:w="120"/>
            </w:tcMar>
            <w:vAlign w:val="center"/>
          </w:tcPr>
          <w:p>
            <w:pPr>
              <w:jc w:val="left"/>
            </w:pPr>
            <w:r>
              <w:rPr>
                <w:b/>
                <w:bCs/>
                <w:color w:val="FFFFFF"/>
                <w:sz w:val="20"/>
                <w:szCs w:val="20"/>
              </w:rPr>
              <w:t xml:space="preserve">Domaine</w:t>
            </w:r>
          </w:p>
        </w:tc>
        <w:tc>
          <w:tcPr>
            <w:tcW w:type="dxa" w:w="6750"/>
            <w:shd w:fill="0A7C63" w:val="clear"/>
            <w:tcMar>
              <w:top w:type="dxa" w:w="100"/>
              <w:left w:type="dxa" w:w="120"/>
              <w:bottom w:type="dxa" w:w="100"/>
              <w:right w:type="dxa" w:w="120"/>
            </w:tcMar>
            <w:vAlign w:val="center"/>
          </w:tcPr>
          <w:p>
            <w:pPr>
              <w:jc w:val="left"/>
            </w:pPr>
            <w:r>
              <w:rPr>
                <w:b/>
                <w:bCs/>
                <w:color w:val="FFFFFF"/>
                <w:sz w:val="20"/>
                <w:szCs w:val="20"/>
              </w:rPr>
              <w:t xml:space="preserve">Modules inclus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Scolarité</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Niveaux, Classes, Élèves, Admissions (formulaire public en ligne + inscription sur place + traitement), Notes, Bulletins, Suivi de parcours (passage de classe)</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Vie scolaire</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Appel du jour, Historique d'absences, Emploi du temps, Communication (SMS et journal de messages)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Finances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Tarifs d'écolage, Frais d'inscription, Factures, Paiements, Mobile Money, Bilan financier</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Ressources humaines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Personnel, Paie du personnel</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Établissement</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Logistique (inventaire du matériel), Bibliothèque</w:t>
            </w:r>
          </w:p>
        </w:tc>
      </w:tr>
    </w:tbl>
    <w:p>
      <w:pPr>
        <w:spacing w:after="200"/>
      </w:pPr>
    </w:p>
    <w:p>
      <w:pPr>
        <w:pStyle w:val="Heading2"/>
        <w:spacing w:after="150" w:before="300"/>
      </w:pPr>
      <w:r>
        <w:t xml:space="preserve">3.4 Points à connaître avant signature</w:t>
      </w:r>
    </w:p>
    <w:p>
      <w:pPr>
        <w:spacing w:after="150"/>
      </w:pPr>
      <w:r>
        <w:t xml:space="preserve">Par transparence commerciale, les points suivants doivent être clairement communiqués à l'École avant la vente :</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c>
          <w:tcPr>
            <w:tcW w:type="dxa" w:w="2400"/>
            <w:shd w:fill="0A7C63" w:val="clear"/>
            <w:tcMar>
              <w:top w:type="dxa" w:w="100"/>
              <w:left w:type="dxa" w:w="120"/>
              <w:bottom w:type="dxa" w:w="100"/>
              <w:right w:type="dxa" w:w="120"/>
            </w:tcMar>
            <w:vAlign w:val="center"/>
          </w:tcPr>
          <w:p>
            <w:pPr>
              <w:jc w:val="left"/>
            </w:pPr>
            <w:r>
              <w:rPr>
                <w:b/>
                <w:bCs/>
                <w:color w:val="FFFFFF"/>
                <w:sz w:val="20"/>
                <w:szCs w:val="20"/>
              </w:rPr>
              <w:t xml:space="preserve">Aspect</w:t>
            </w:r>
          </w:p>
        </w:tc>
        <w:tc>
          <w:tcPr>
            <w:tcW w:type="dxa" w:w="6950"/>
            <w:shd w:fill="0A7C63" w:val="clear"/>
            <w:tcMar>
              <w:top w:type="dxa" w:w="100"/>
              <w:left w:type="dxa" w:w="120"/>
              <w:bottom w:type="dxa" w:w="100"/>
              <w:right w:type="dxa" w:w="120"/>
            </w:tcMar>
            <w:vAlign w:val="center"/>
          </w:tcPr>
          <w:p>
            <w:pPr>
              <w:jc w:val="left"/>
            </w:pPr>
            <w:r>
              <w:rPr>
                <w:b/>
                <w:bCs/>
                <w:color w:val="FFFFFF"/>
                <w:sz w:val="20"/>
                <w:szCs w:val="20"/>
              </w:rPr>
              <w:t xml:space="preserve">Situation réelle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Accès et postes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Accessible depuis n'importe quel ordinateur ou smartphone connecté, en même temps, pour tout le personnel de l'école : les données sont partagées et mises à jour en temps réel entre tous les utilisateurs.</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Connexion internet</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Une connexion internet est nécessaire pour l'usage normal de l'application. Les actions les plus fréquentes (appel du jour, saisie des notes, enregistrement d'un paiement) restent utilisables lors de courtes coupures et se synchronisent automatiquement au retour de la connexion ; les autres modules nécessitent une connexion active.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Sauvegarde des données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Les données sont hébergées et sauvegardées par l'Éditeur sur son infrastructure. L'École n'a aucune manipulation de sauvegarde à effectuer elle-même.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Mises à jour</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Déployées automatiquement par l'Éditeur, sans action ni interruption requise de la part de l'École.</w:t>
            </w:r>
          </w:p>
        </w:tc>
      </w:tr>
    </w:tbl>
    <w:p>
      <w:r>
        <w:br w:type="page"/>
      </w:r>
    </w:p>
    <w:p>
      <w:pPr>
        <w:pStyle w:val="Heading1"/>
        <w:spacing w:after="200" w:before="400"/>
      </w:pPr>
      <w:r>
        <w:t xml:space="preserve">4. Prérequis techniques</w:t>
      </w:r>
    </w:p>
    <w:p>
      <w:pPr>
        <w:pStyle w:val="ListParagraph"/>
        <w:numPr>
          <w:ilvl w:val="0"/>
          <w:numId w:val="2"/>
        </w:numPr>
        <w:spacing w:after="80"/>
      </w:pPr>
      <w:r>
        <w:t xml:space="preserve">Un ordinateur ou un smartphone récent, avec un navigateur web à jour (Chrome, Edge, Firefox, Safari)</w:t>
      </w:r>
    </w:p>
    <w:p>
      <w:pPr>
        <w:pStyle w:val="ListParagraph"/>
        <w:numPr>
          <w:ilvl w:val="0"/>
          <w:numId w:val="2"/>
        </w:numPr>
        <w:spacing w:after="80"/>
      </w:pPr>
      <w:r>
        <w:t xml:space="preserve">Une connexion internet (l'usage normal de la plateforme suppose une connexion raisonnablement stable)</w:t>
      </w:r>
    </w:p>
    <w:p>
      <w:pPr>
        <w:pStyle w:val="ListParagraph"/>
        <w:numPr>
          <w:ilvl w:val="0"/>
          <w:numId w:val="2"/>
        </w:numPr>
        <w:spacing w:after="80"/>
      </w:pPr>
      <w:r>
        <w:t xml:space="preserve">Aucune installation ni matériel spécifique requis</w:t>
      </w:r>
    </w:p>
    <w:p>
      <w:pPr>
        <w:pStyle w:val="Heading1"/>
        <w:spacing w:after="200" w:before="400"/>
      </w:pPr>
      <w:r>
        <w:t xml:space="preserve">5. Livrables</w:t>
      </w:r>
    </w:p>
    <w:p>
      <w:pPr>
        <w:pStyle w:val="ListParagraph"/>
        <w:numPr>
          <w:ilvl w:val="0"/>
          <w:numId w:val="2"/>
        </w:numPr>
        <w:spacing w:after="80"/>
      </w:pPr>
      <w:r>
        <w:t xml:space="preserve">Accès à la plateforme via une adresse dédiée, avec un compte fondateur créé par l'Éditeur</w:t>
      </w:r>
    </w:p>
    <w:p>
      <w:pPr>
        <w:pStyle w:val="ListParagraph"/>
        <w:numPr>
          <w:ilvl w:val="0"/>
          <w:numId w:val="2"/>
        </w:numPr>
        <w:spacing w:after="80"/>
      </w:pPr>
      <w:r>
        <w:t xml:space="preserve">Manuel d'utilisation (support numérique, avec captures d'écran par module)</w:t>
      </w:r>
    </w:p>
    <w:p>
      <w:pPr>
        <w:pStyle w:val="ListParagraph"/>
        <w:numPr>
          <w:ilvl w:val="0"/>
          <w:numId w:val="2"/>
        </w:numPr>
        <w:spacing w:after="80"/>
      </w:pPr>
      <w:r>
        <w:t xml:space="preserve">Formulaire public d'admission en ligne, personnalisé au nom de l'École, à partager aux parents</w:t>
      </w:r>
    </w:p>
    <w:p>
      <w:pPr>
        <w:pStyle w:val="ListParagraph"/>
        <w:numPr>
          <w:ilvl w:val="0"/>
          <w:numId w:val="2"/>
        </w:numPr>
        <w:spacing w:after="80"/>
      </w:pPr>
      <w:r>
        <w:t xml:space="preserve">Formation initiale du personnel désigné par l'École (durée à préciser au contrat, ex. une demi-journée sur site ou à distance)</w:t>
      </w:r>
    </w:p>
    <w:p>
      <w:pPr>
        <w:pStyle w:val="ListParagraph"/>
        <w:numPr>
          <w:ilvl w:val="0"/>
          <w:numId w:val="2"/>
        </w:numPr>
        <w:spacing w:after="80"/>
      </w:pPr>
      <w:r>
        <w:t xml:space="preserve">Assistance à la reprise des données existantes de l'École, si disponibles (listes d'élèves, tarifs, personnel — au format Excel)</w:t>
      </w:r>
    </w:p>
    <w:p>
      <w:pPr>
        <w:pStyle w:val="Heading1"/>
        <w:spacing w:after="200" w:before="400"/>
      </w:pPr>
      <w:r>
        <w:t xml:space="preserve">6. Modalités de mise en œuvre</w:t>
      </w:r>
    </w:p>
    <w:p>
      <w:pPr>
        <w:pStyle w:val="Heading2"/>
        <w:spacing w:after="150" w:before="300"/>
      </w:pPr>
      <w:r>
        <w:t xml:space="preserve">6.1 Activation du compte</w:t>
      </w:r>
    </w:p>
    <w:p>
      <w:pPr>
        <w:spacing w:after="150"/>
      </w:pPr>
      <w:r>
        <w:t xml:space="preserve">L'Éditeur crée l'espace de l'École et le compte du fondateur/administrateur principal. Les autres comptes du personnel (chef d'établissement, secrétaire, comptable, enseignants) sont ensuite créés depuis l'application elle-même.</w:t>
      </w:r>
    </w:p>
    <w:p>
      <w:pPr>
        <w:pStyle w:val="Heading2"/>
        <w:spacing w:after="150" w:before="300"/>
      </w:pPr>
      <w:r>
        <w:t xml:space="preserve">6.2 Reprise des données existantes</w:t>
      </w:r>
    </w:p>
    <w:p>
      <w:pPr>
        <w:spacing w:after="150"/>
      </w:pPr>
      <w:r>
        <w:t xml:space="preserve">Si l'École dispose déjà de listes d'élèves, de personnel ou de tarifs sous Excel, un accompagnement à l'import est proposé (des modèles d'import sont fournis dans l'application pour les factures et la paie).</w:t>
      </w:r>
    </w:p>
    <w:p>
      <w:pPr>
        <w:pStyle w:val="Heading2"/>
        <w:spacing w:after="150" w:before="300"/>
      </w:pPr>
      <w:r>
        <w:t xml:space="preserve">6.3 Formation</w:t>
      </w:r>
    </w:p>
    <w:p>
      <w:pPr>
        <w:spacing w:after="150"/>
      </w:pPr>
      <w:r>
        <w:t xml:space="preserve">Une session de formation est dispensée au personnel désigné, couvrant l'utilisation quotidienne des modules pertinents à chaque rôle (secrétariat, comptabilité, enseignants, direction).</w:t>
      </w:r>
    </w:p>
    <w:p>
      <w:pPr>
        <w:pStyle w:val="Heading1"/>
        <w:spacing w:after="200" w:before="400"/>
      </w:pPr>
      <w:r>
        <w:t xml:space="preserve">7. Modèle commercial et tarification indicative</w:t>
      </w:r>
    </w:p>
    <w:p>
      <w:pPr>
        <w:spacing w:after="150"/>
      </w:pPr>
      <w:r>
        <w:t xml:space="preserve">L'accès à la plateforme est fourni sous forme d'abonnement, mensuel ou annuel au choix de l'École. Les montants ci-dessous sont indicatifs et doivent être ajustés avant toute proposition commerciale ferme.</w:t>
      </w:r>
    </w:p>
    <w:p>
      <w:pPr>
        <w:pStyle w:val="Heading2"/>
        <w:spacing w:after="150" w:before="300"/>
      </w:pPr>
      <w:r>
        <w:t xml:space="preserve">7.1 Abonnement mensuel</w:t>
      </w:r>
    </w:p>
    <w:p>
      <w:pPr>
        <w:spacing w:after="150"/>
      </w:pPr>
      <w:r>
        <w:t xml:space="preserve">Sans engagement de durée, résiliable chaque mois.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5"/>
        <w:gridCol w:w="4675"/>
      </w:tblGrid>
      <w:tr>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Abonnement mensuel</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300 000 – 500 000 GNF / mois</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500 000 – 800 000 GNF / mois</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800 000 – 1 200 000 GNF / mois</w:t>
            </w:r>
          </w:p>
        </w:tc>
      </w:tr>
    </w:tbl>
    <w:p>
      <w:pPr>
        <w:spacing w:after="200"/>
      </w:pPr>
    </w:p>
    <w:p>
      <w:pPr>
        <w:pStyle w:val="Heading2"/>
        <w:spacing w:after="150" w:before="300"/>
      </w:pPr>
      <w:r>
        <w:t xml:space="preserve">7.2 Abonnement annuel</w:t>
      </w:r>
    </w:p>
    <w:p>
      <w:pPr>
        <w:spacing w:after="150"/>
      </w:pPr>
      <w:r>
        <w:t xml:space="preserve">Paiement en une fois pour l'année scolaire, à tarif préférentiel par rapport à douze mensualités.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5"/>
        <w:gridCol w:w="4675"/>
      </w:tblGrid>
      <w:tr>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Abonnement annuel (équivalent 2 mois offerts)</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3 000 000 – 5 000 000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5 000 000 – 8 000 000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8 000 000 – 12 000 000 GNF / an</w:t>
            </w:r>
          </w:p>
        </w:tc>
      </w:tr>
    </w:tbl>
    <w:p>
      <w:pPr>
        <w:spacing w:after="200"/>
      </w:pPr>
    </w:p>
    <w:p>
      <w:pPr>
        <w:shd w:fill="FFF3E0" w:val="clear"/>
        <w:spacing w:after="200" w:before="100"/>
      </w:pPr>
      <w:r>
        <w:rPr>
          <w:b/>
          <w:bCs/>
          <w:color w:val="B54708"/>
        </w:rPr>
        <w:t xml:space="preserve">⚠ </w:t>
      </w:r>
      <w:r>
        <w:rPr>
          <w:i/>
          <w:iCs/>
          <w:color w:val="B54708"/>
        </w:rPr>
        <w:t xml:space="preserve">Ces tarifs sont des points de départ pour une discussion avec vos premières écoles pilotes. Ils gagneraient à être validés/ajustés après quelques ventes réelles, en tenant compte de vos coûts (hébergement, support, formation) et du budget réel des écoles ciblées.</w:t>
      </w:r>
    </w:p>
    <w:p>
      <w:pPr>
        <w:pStyle w:val="Heading1"/>
        <w:spacing w:after="200" w:before="400"/>
      </w:pPr>
      <w:r>
        <w:t xml:space="preserve">8. Maintenance, support et mises à jour</w:t>
      </w:r>
    </w:p>
    <w:p>
      <w:pPr>
        <w:pStyle w:val="ListParagraph"/>
        <w:numPr>
          <w:ilvl w:val="0"/>
          <w:numId w:val="2"/>
        </w:numPr>
        <w:spacing w:after="80"/>
      </w:pPr>
      <w:r>
        <w:t xml:space="preserve">Hébergement, corrections de bugs et mises à jour : inclus en continu dans l'abonnement, sans action requise de l'École</w:t>
      </w:r>
    </w:p>
    <w:p>
      <w:pPr>
        <w:pStyle w:val="ListParagraph"/>
        <w:numPr>
          <w:ilvl w:val="0"/>
          <w:numId w:val="2"/>
        </w:numPr>
        <w:spacing w:after="80"/>
      </w:pPr>
      <w:r>
        <w:t xml:space="preserve">Nouvelles fonctionnalités majeures : peuvent faire l'objet d'un devis distinct si développées spécifiquement pour une école, sauf mention contraire au contrat</w:t>
      </w:r>
    </w:p>
    <w:p>
      <w:pPr>
        <w:pStyle w:val="ListParagraph"/>
        <w:numPr>
          <w:ilvl w:val="0"/>
          <w:numId w:val="2"/>
        </w:numPr>
        <w:spacing w:after="80"/>
      </w:pPr>
      <w:r>
        <w:t xml:space="preserve">Canal de support : à préciser au contrat (téléphone, WhatsApp, email), avec un délai de réponse indicatif (ex. 48h ouvrées)</w:t>
      </w:r>
    </w:p>
    <w:p>
      <w:pPr>
        <w:pStyle w:val="ListParagraph"/>
        <w:numPr>
          <w:ilvl w:val="0"/>
          <w:numId w:val="2"/>
        </w:numPr>
        <w:spacing w:after="80"/>
      </w:pPr>
      <w:r>
        <w:t xml:space="preserve">Disponibilité : l'Éditeur s'efforce d'assurer une disponibilité continue de la plateforme, sans garantie de disponibilité à 100% (maintenance planifiée, aléas d'hébergement)</w:t>
      </w:r>
    </w:p>
    <w:p>
      <w:pPr>
        <w:pStyle w:val="Heading1"/>
        <w:spacing w:after="200" w:before="400"/>
      </w:pPr>
      <w:r>
        <w:t xml:space="preserve">9. Propriété intellectuelle et licence d'utilisation</w:t>
      </w:r>
    </w:p>
    <w:p>
      <w:pPr>
        <w:spacing w:after="150"/>
      </w:pPr>
      <w:r>
        <w:t xml:space="preserve">Le code source, la marque « Kalanso » et l'ensemble des éléments de la plateforme demeurent la propriété exclusive de l'Éditeur. L'École bénéficie d'un droit d'accès et d'usage non exclusif et non transférable, pour la durée de son abonnement.</w:t>
      </w:r>
    </w:p>
    <w:p>
      <w:pPr>
        <w:spacing w:after="150"/>
      </w:pPr>
      <w:r>
        <w:t xml:space="preserve">L'École ne peut ni céder, ni sous-licencier, ni redistribuer l'accès à des tiers, ni tenter d'extraire ou de décompiler le logiciel.</w:t>
      </w:r>
    </w:p>
    <w:p>
      <w:pPr>
        <w:spacing w:after="150"/>
      </w:pPr>
      <w:r>
        <w:t xml:space="preserve">Les données saisies par l'École (élèves, notes, finances, personnel) demeurent la propriété exclusive de l'École, y compris après résiliation (voir section 10).</w:t>
      </w:r>
    </w:p>
    <w:p>
      <w:r>
        <w:br w:type="page"/>
      </w:r>
    </w:p>
    <w:p>
      <w:pPr>
        <w:pStyle w:val="Heading1"/>
        <w:spacing w:after="200" w:before="400"/>
      </w:pPr>
      <w:r>
        <w:t xml:space="preserve">10. Sauvegarde, hébergement et réversibilité des données</w:t>
      </w:r>
    </w:p>
    <w:p>
      <w:pPr>
        <w:shd w:fill="FFF3E0" w:val="clear"/>
        <w:spacing w:after="200" w:before="100"/>
      </w:pPr>
      <w:r>
        <w:rPr>
          <w:b/>
          <w:bCs/>
          <w:color w:val="B54708"/>
        </w:rPr>
        <w:t xml:space="preserve">⚠ </w:t>
      </w:r>
      <w:r>
        <w:rPr>
          <w:i/>
          <w:iCs/>
          <w:color w:val="B54708"/>
        </w:rPr>
        <w:t xml:space="preserve">Point essentiel à formaliser clairement au contrat : les données de l'École sont hébergées sur l'infrastructure de l'Éditeur. Le lieu d'hébergement, la fréquence des sauvegardes et les modalités de récupération des données en cas de résiliation doivent être précisés avant signature.</w:t>
      </w:r>
    </w:p>
    <w:p>
      <w:pPr>
        <w:pStyle w:val="ListParagraph"/>
        <w:numPr>
          <w:ilvl w:val="0"/>
          <w:numId w:val="2"/>
        </w:numPr>
        <w:spacing w:after="80"/>
      </w:pPr>
      <w:r>
        <w:t xml:space="preserve">Sauvegarde : l'Éditeur réalise des sauvegardes régulières des données de l'École (fréquence à préciser, ex. quotidienne) sur son infrastructure d'hébergement.</w:t>
      </w:r>
    </w:p>
    <w:p>
      <w:pPr>
        <w:pStyle w:val="ListParagraph"/>
        <w:numPr>
          <w:ilvl w:val="0"/>
          <w:numId w:val="2"/>
        </w:numPr>
        <w:spacing w:after="80"/>
      </w:pPr>
      <w:r>
        <w:t xml:space="preserve">Réversibilité : en cas de résiliation, l'École peut demander l'export de ses données (élèves, notes, finances) dans un format exploitable (Excel/PDF), pendant une durée définie après la fin du contrat (ex. 90 jours) avant suppression définitive.</w:t>
      </w:r>
    </w:p>
    <w:p>
      <w:pPr>
        <w:pStyle w:val="ListParagraph"/>
        <w:numPr>
          <w:ilvl w:val="0"/>
          <w:numId w:val="2"/>
        </w:numPr>
        <w:spacing w:after="80"/>
      </w:pPr>
      <w:r>
        <w:t xml:space="preserve">Hébergeur et localisation des données : à préciser au contrat (nom de l'hébergeur, pays d'hébergement).</w:t>
      </w:r>
    </w:p>
    <w:p>
      <w:pPr>
        <w:pStyle w:val="Heading1"/>
        <w:spacing w:after="200" w:before="400"/>
      </w:pPr>
      <w:r>
        <w:t xml:space="preserve">11. Confidentialité et protection des données</w:t>
      </w:r>
    </w:p>
    <w:p>
      <w:pPr>
        <w:spacing w:after="150"/>
      </w:pPr>
      <w:r>
        <w:t xml:space="preserve">Les données des élèves, du personnel et des familles sont hébergées sur l'infrastructure de l'Éditeur, avec un accès cloisonné par établissement (une école ne peut jamais voir les données d'une autre).</w:t>
      </w:r>
    </w:p>
    <w:p>
      <w:pPr>
        <w:spacing w:after="150"/>
      </w:pPr>
      <w:r>
        <w:t xml:space="preserve">L'Éditeur s'engage à ne pas céder, vendre ni exploiter à des fins commerciales les données de l'École, et à n'y accéder que dans le cadre d'une intervention de support technique demandée par l'École ou d'une obligation légale.</w:t>
      </w:r>
    </w:p>
    <w:p>
      <w:pPr>
        <w:pStyle w:val="Heading1"/>
        <w:spacing w:after="200" w:before="400"/>
      </w:pPr>
      <w:r>
        <w:t xml:space="preserve">12. Durée et résiliation</w:t>
      </w:r>
    </w:p>
    <w:p>
      <w:pPr>
        <w:pStyle w:val="ListParagraph"/>
        <w:numPr>
          <w:ilvl w:val="0"/>
          <w:numId w:val="2"/>
        </w:numPr>
        <w:spacing w:after="80"/>
      </w:pPr>
      <w:r>
        <w:t xml:space="preserve">Abonnement mensuel : résiliable à tout moment, effet à la fin du mois en cours.</w:t>
      </w:r>
    </w:p>
    <w:p>
      <w:pPr>
        <w:pStyle w:val="ListParagraph"/>
        <w:numPr>
          <w:ilvl w:val="0"/>
          <w:numId w:val="2"/>
        </w:numPr>
        <w:spacing w:after="80"/>
      </w:pPr>
      <w:r>
        <w:t xml:space="preserve">Abonnement annuel : contrat renouvelable par tacite reconduction chaque année, résiliable par l'une ou l'autre partie avec un préavis à définir (ex. 30 jours avant échéance).</w:t>
      </w:r>
    </w:p>
    <w:p>
      <w:pPr>
        <w:pStyle w:val="ListParagraph"/>
        <w:numPr>
          <w:ilvl w:val="0"/>
          <w:numId w:val="2"/>
        </w:numPr>
        <w:spacing w:after="80"/>
      </w:pPr>
      <w:r>
        <w:t xml:space="preserve">En cas de non-paiement prolongé, l'accès peut être suspendu après relance, sans préjudice de la récupération des données selon les modalités de la section 10.</w:t>
      </w:r>
    </w:p>
    <w:p>
      <w:pPr>
        <w:pStyle w:val="Heading1"/>
        <w:spacing w:after="200" w:before="400"/>
      </w:pPr>
      <w:r>
        <w:t xml:space="preserve">13. Signatures</w:t>
      </w:r>
    </w:p>
    <w:p>
      <w:pPr>
        <w:spacing w:after="400"/>
      </w:pPr>
    </w:p>
    <w:p>
      <w:pPr>
        <w:spacing w:after="400"/>
      </w:pPr>
      <w:r>
        <w:rPr>
          <w:b/>
          <w:bCs/>
        </w:rPr>
        <w:t xml:space="preserve">Pour l'Éditeur (Kalanso)</w:t>
      </w:r>
    </w:p>
    <w:p>
      <w:pPr>
        <w:spacing w:after="150"/>
      </w:pPr>
      <w:r>
        <w:t xml:space="preserve">Nom, fonction, date et signature : ________________________________</w:t>
      </w:r>
    </w:p>
    <w:p>
      <w:pPr>
        <w:spacing w:after="400"/>
      </w:pPr>
    </w:p>
    <w:p>
      <w:pPr>
        <w:spacing w:after="400"/>
      </w:pPr>
      <w:r>
        <w:rPr>
          <w:b/>
          <w:bCs/>
        </w:rPr>
        <w:t xml:space="preserve">Pour l'École</w:t>
      </w:r>
    </w:p>
    <w:p>
      <w:pPr>
        <w:spacing w:after="150"/>
      </w:pPr>
      <w:r>
        <w:t xml:space="preserve">Nom de l'établissement, nom et fonction du signataire, date et signature : ________________________________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2026-07-30T15:58:06.662Z</dcterms:created>
  <dcterms:modified xsi:type="dcterms:W3CDTF">2026-07-30T15:58:06.664Z</dcterms:modified>
</cp:coreProperties>
</file>

<file path=docProps/custom.xml><?xml version="1.0" encoding="utf-8"?>
<Properties xmlns="http://schemas.openxmlformats.org/officeDocument/2006/custom-properties" xmlns:vt="http://schemas.openxmlformats.org/officeDocument/2006/docPropsVTypes"/>
</file>