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7C63"/>
          <w:sz w:val="56"/>
          <w:szCs w:val="56"/>
        </w:rPr>
        <w:t xml:space="preserve">Kalanso</w:t>
      </w:r>
    </w:p>
    <w:p>
      <w:pPr>
        <w:spacing w:after="400"/>
      </w:pPr>
      <w:r>
        <w:rPr>
          <w:color w:val="444444"/>
          <w:sz w:val="30"/>
          <w:szCs w:val="30"/>
        </w:rPr>
        <w:t xml:space="preserve">Cahier des charges — Achat de licence avec maintenance annuelle</w:t>
      </w:r>
    </w:p>
    <w:p>
      <w:pPr>
        <w:spacing w:after="100"/>
      </w:pPr>
      <w:r>
        <w:rPr>
          <w:i/>
          <w:iCs/>
          <w:color w:val="444444"/>
          <w:sz w:val="22"/>
          <w:szCs w:val="22"/>
        </w:rPr>
        <w:t xml:space="preserve">Document préparatoire au contrat commercial — Formule Achat (alternative à la formule Abonnement)</w:t>
      </w:r>
    </w:p>
    <w:p>
      <w:pPr>
        <w:spacing w:after="600"/>
      </w:pPr>
      <w:r>
        <w:rPr>
          <w:color w:val="444444"/>
          <w:sz w:val="20"/>
          <w:szCs w:val="20"/>
        </w:rPr>
        <w:t xml:space="preserve">Version 1.0 — 31 juillet 2026</w:t>
      </w:r>
    </w:p>
    <w:p>
      <w:pPr>
        <w:shd w:fill="FFF3E0" w:val="clear"/>
        <w:spacing w:after="200" w:before="100"/>
      </w:pPr>
      <w:r>
        <w:rPr>
          <w:b/>
          <w:bCs/>
          <w:color w:val="B54708"/>
        </w:rPr>
        <w:t xml:space="preserve">⚠ </w:t>
      </w:r>
      <w:r>
        <w:rPr>
          <w:i/>
          <w:iCs/>
          <w:color w:val="B54708"/>
        </w:rPr>
        <w:t xml:space="preserve">Ce document est un modèle de travail à adapter avant toute signature. Les tarifs proposés sont indicatifs (voir section 7) : à ajuster selon votre stratégie de lancement, vos coûts réels et le marché local. Faites relire les clauses juridiques (propriété intellectuelle, responsabilité, résiliation) par un juriste avant utilisation contractuelle. Cette formule s'adresse aux écoles qui préfèrent un paiement unique à un abonnement récurrent ; une formule « Abonnement » (mensuel ou annuel, sans paiement initial) existe en alternative pour le même produit Kalanso en ligne, ainsi qu'une version Kalanso Desktop pour les écoles sans connexion internet fiable.</w:t>
      </w:r>
    </w:p>
    <w:p>
      <w:pPr>
        <w:pStyle w:val="Heading1"/>
        <w:spacing w:after="200" w:before="400"/>
      </w:pPr>
      <w:r>
        <w:t xml:space="preserve">1. Préambule</w:t>
      </w:r>
    </w:p>
    <w:p>
      <w:pPr>
        <w:spacing w:after="150"/>
      </w:pPr>
      <w:r>
        <w:t xml:space="preserve">Le présent cahier des charges définit les conditions de fourniture de « Kalanso », plateforme de gestion scolaire en ligne développée pour les écoles privées guinéennes, accessible depuis un navigateur web sans installation, selon une formule d'achat de licence assortie d'une maintenance annuelle — alternative à la formule par abonnement.</w:t>
      </w:r>
    </w:p>
    <w:p>
      <w:pPr>
        <w:spacing w:after="150"/>
      </w:pPr>
      <w:r>
        <w:t xml:space="preserve">Il a vocation à servir de base à l'établissement d'un contrat entre l'éditeur (ci-après « l'Éditeur ») et l'établissement scolaire client (ci-après « l'École »).</w:t>
      </w:r>
    </w:p>
    <w:p>
      <w:pPr>
        <w:shd w:fill="FFF3E0" w:val="clear"/>
        <w:spacing w:after="200" w:before="100"/>
      </w:pPr>
      <w:r>
        <w:rPr>
          <w:b/>
          <w:bCs/>
          <w:color w:val="B54708"/>
        </w:rPr>
        <w:t xml:space="preserve">⚠ </w:t>
      </w:r>
      <w:r>
        <w:rPr>
          <w:i/>
          <w:iCs/>
          <w:color w:val="B54708"/>
        </w:rPr>
        <w:t xml:space="preserve">Point à comprendre avant de proposer cette formule à un client : Kalanso restant un service hébergé (et non un logiciel livré à l'École), « acheter » ne peut pas signifier « payer une fois pour un accès garanti à vie sans autre coût », puisque l'hébergement a un coût continu pour l'Éditeur. La formule proposée ci-dessous distingue donc clairement un droit d'usage acquis définitivement (l'achat) d'une maintenance annuelle qui finance le fonctionnement réel du service (hébergement, sauvegardes, support, mises à jour) — voir section 7 et section 12 pour le détail de cette articulation.</w:t>
      </w:r>
    </w:p>
    <w:p>
      <w:pPr>
        <w:pStyle w:val="Heading1"/>
        <w:spacing w:after="200" w:before="400"/>
      </w:pPr>
      <w:r>
        <w:t xml:space="preserve">2. Objet</w:t>
      </w:r>
    </w:p>
    <w:p>
      <w:pPr>
        <w:spacing w:after="150"/>
      </w:pPr>
      <w:r>
        <w:t xml:space="preserve">Le présent document décrit :</w:t>
      </w:r>
    </w:p>
    <w:p>
      <w:pPr>
        <w:pStyle w:val="ListParagraph"/>
        <w:numPr>
          <w:ilvl w:val="0"/>
          <w:numId w:val="2"/>
        </w:numPr>
        <w:spacing w:after="80"/>
      </w:pPr>
      <w:r>
        <w:t xml:space="preserve">le périmètre fonctionnel de la plateforme,</w:t>
      </w:r>
    </w:p>
    <w:p>
      <w:pPr>
        <w:pStyle w:val="ListParagraph"/>
        <w:numPr>
          <w:ilvl w:val="0"/>
          <w:numId w:val="2"/>
        </w:numPr>
        <w:spacing w:after="80"/>
      </w:pPr>
      <w:r>
        <w:t xml:space="preserve">les prérequis techniques et limites de fonctionnement à connaître avant signature,</w:t>
      </w:r>
    </w:p>
    <w:p>
      <w:pPr>
        <w:pStyle w:val="ListParagraph"/>
        <w:numPr>
          <w:ilvl w:val="0"/>
          <w:numId w:val="2"/>
        </w:numPr>
        <w:spacing w:after="80"/>
      </w:pPr>
      <w:r>
        <w:t xml:space="preserve">les livrables et modalités de mise en service,</w:t>
      </w:r>
    </w:p>
    <w:p>
      <w:pPr>
        <w:pStyle w:val="ListParagraph"/>
        <w:numPr>
          <w:ilvl w:val="0"/>
          <w:numId w:val="2"/>
        </w:numPr>
        <w:spacing w:after="80"/>
      </w:pPr>
      <w:r>
        <w:t xml:space="preserve">le modèle commercial et une tarification indicative,</w:t>
      </w:r>
    </w:p>
    <w:p>
      <w:pPr>
        <w:pStyle w:val="ListParagraph"/>
        <w:numPr>
          <w:ilvl w:val="0"/>
          <w:numId w:val="2"/>
        </w:numPr>
        <w:spacing w:after="80"/>
      </w:pPr>
      <w:r>
        <w:t xml:space="preserve">les conditions de maintenance, de support et de sauvegarde des données,</w:t>
      </w:r>
    </w:p>
    <w:p>
      <w:pPr>
        <w:pStyle w:val="ListParagraph"/>
        <w:numPr>
          <w:ilvl w:val="0"/>
          <w:numId w:val="2"/>
        </w:numPr>
        <w:spacing w:after="80"/>
      </w:pPr>
      <w:r>
        <w:t xml:space="preserve">les clauses de propriété intellectuelle et de confidentialité.</w:t>
      </w:r>
    </w:p>
    <w:p>
      <w:pPr>
        <w:pStyle w:val="Heading1"/>
        <w:spacing w:after="200" w:before="400"/>
      </w:pPr>
      <w:r>
        <w:t xml:space="preserve">3. Présentation du produit</w:t>
      </w:r>
    </w:p>
    <w:p>
      <w:pPr>
        <w:pStyle w:val="Heading2"/>
        <w:spacing w:after="150" w:before="300"/>
      </w:pPr>
      <w:r>
        <w:t xml:space="preserve">3.1 Contexte</w:t>
      </w:r>
    </w:p>
    <w:p>
      <w:pPr>
        <w:spacing w:after="150"/>
      </w:pPr>
      <w:r>
        <w:t xml:space="preserve">Kalanso s'adresse aux écoles privées guinéennes disposant d'une connexion internet pour leur usage courant, et souhaitant que tout le personnel (direction, secrétariat, comptabilité, enseignants) accède aux mêmes informations à jour, depuis plusieurs postes, y compris à distance.</w:t>
      </w:r>
    </w:p>
    <w:p>
      <w:pPr>
        <w:pStyle w:val="Heading2"/>
        <w:spacing w:after="150" w:before="300"/>
      </w:pPr>
      <w:r>
        <w:t xml:space="preserve">3.2 Description générale</w:t>
      </w:r>
    </w:p>
    <w:p>
      <w:pPr>
        <w:spacing w:after="150"/>
      </w:pPr>
      <w:r>
        <w:t xml:space="preserve">Kalanso est une plateforme hébergée par l'Éditeur, accessible depuis n'importe quel navigateur web, sur ordinateur comme sur mobile, sans installation. Chaque école dispose de son propre espace, dont les données ne sont jamais visibles par un autre établissement.</w:t>
      </w:r>
    </w:p>
    <w:p>
      <w:pPr>
        <w:pStyle w:val="Heading2"/>
        <w:spacing w:after="150" w:before="300"/>
      </w:pPr>
      <w:r>
        <w:t xml:space="preserve">3.3 Périmètre fonctionnel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50"/>
      </w:tblGrid>
      <w:tr>
        <w:tc>
          <w:tcPr>
            <w:tcW w:type="dxa" w:w="2600"/>
            <w:shd w:fill="0A7C63" w:val="clear"/>
            <w:tcMar>
              <w:top w:type="dxa" w:w="100"/>
              <w:left w:type="dxa" w:w="120"/>
              <w:bottom w:type="dxa" w:w="100"/>
              <w:right w:type="dxa" w:w="120"/>
            </w:tcMar>
            <w:vAlign w:val="center"/>
          </w:tcPr>
          <w:p>
            <w:pPr>
              <w:jc w:val="left"/>
            </w:pPr>
            <w:r>
              <w:rPr>
                <w:b/>
                <w:bCs/>
                <w:color w:val="FFFFFF"/>
                <w:sz w:val="20"/>
                <w:szCs w:val="20"/>
              </w:rPr>
              <w:t xml:space="preserve">Domaine</w:t>
            </w:r>
          </w:p>
        </w:tc>
        <w:tc>
          <w:tcPr>
            <w:tcW w:type="dxa" w:w="6750"/>
            <w:shd w:fill="0A7C63" w:val="clear"/>
            <w:tcMar>
              <w:top w:type="dxa" w:w="100"/>
              <w:left w:type="dxa" w:w="120"/>
              <w:bottom w:type="dxa" w:w="100"/>
              <w:right w:type="dxa" w:w="120"/>
            </w:tcMar>
            <w:vAlign w:val="center"/>
          </w:tcPr>
          <w:p>
            <w:pPr>
              <w:jc w:val="left"/>
            </w:pPr>
            <w:r>
              <w:rPr>
                <w:b/>
                <w:bCs/>
                <w:color w:val="FFFFFF"/>
                <w:sz w:val="20"/>
                <w:szCs w:val="20"/>
              </w:rPr>
              <w:t xml:space="preserve">Modules inclus</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Scolarité</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Niveaux, Classes, Élèves, Admissions (formulaire public en ligne + inscription sur place + traitement), Notes, Bulletins, Suivi de parcours (passage de classe)</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Vie scolaire</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Appel du jour, Historique d'absences, Emploi du temps, Communication (SMS et journal de messages)</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Finances</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Tarifs d'écolage, Frais d'inscription, Factures, Paiements, Mobile Money, Bilan financier</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Ressources humaines</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Personnel, Paie du personnel</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Établissement</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Logistique (inventaire du matériel), Bibliothèque</w:t>
            </w:r>
          </w:p>
        </w:tc>
      </w:tr>
    </w:tbl>
    <w:p>
      <w:pPr>
        <w:spacing w:after="200"/>
      </w:pPr>
    </w:p>
    <w:p>
      <w:pPr>
        <w:pStyle w:val="Heading2"/>
        <w:spacing w:after="150" w:before="300"/>
      </w:pPr>
      <w:r>
        <w:t xml:space="preserve">3.4 Points à connaître avant signature</w:t>
      </w:r>
    </w:p>
    <w:p>
      <w:pPr>
        <w:spacing w:after="150"/>
      </w:pPr>
      <w:r>
        <w:t xml:space="preserve">Par transparence commerciale, les points suivants doivent être clairement communiqués à l'École avant la vente :</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50"/>
      </w:tblGrid>
      <w:tr>
        <w:tc>
          <w:tcPr>
            <w:tcW w:type="dxa" w:w="2400"/>
            <w:shd w:fill="0A7C63" w:val="clear"/>
            <w:tcMar>
              <w:top w:type="dxa" w:w="100"/>
              <w:left w:type="dxa" w:w="120"/>
              <w:bottom w:type="dxa" w:w="100"/>
              <w:right w:type="dxa" w:w="120"/>
            </w:tcMar>
            <w:vAlign w:val="center"/>
          </w:tcPr>
          <w:p>
            <w:pPr>
              <w:jc w:val="left"/>
            </w:pPr>
            <w:r>
              <w:rPr>
                <w:b/>
                <w:bCs/>
                <w:color w:val="FFFFFF"/>
                <w:sz w:val="20"/>
                <w:szCs w:val="20"/>
              </w:rPr>
              <w:t xml:space="preserve">Aspect</w:t>
            </w:r>
          </w:p>
        </w:tc>
        <w:tc>
          <w:tcPr>
            <w:tcW w:type="dxa" w:w="6950"/>
            <w:shd w:fill="0A7C63" w:val="clear"/>
            <w:tcMar>
              <w:top w:type="dxa" w:w="100"/>
              <w:left w:type="dxa" w:w="120"/>
              <w:bottom w:type="dxa" w:w="100"/>
              <w:right w:type="dxa" w:w="120"/>
            </w:tcMar>
            <w:vAlign w:val="center"/>
          </w:tcPr>
          <w:p>
            <w:pPr>
              <w:jc w:val="left"/>
            </w:pPr>
            <w:r>
              <w:rPr>
                <w:b/>
                <w:bCs/>
                <w:color w:val="FFFFFF"/>
                <w:sz w:val="20"/>
                <w:szCs w:val="20"/>
              </w:rPr>
              <w:t xml:space="preserve">Situation réelle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Accès et postes</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Accessible depuis n'importe quel ordinateur ou smartphone connecté, en même temps, pour tout le personnel de l'école : les données sont partagées et mises à jour en temps réel entre tous les utilisateurs.</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Connexion internet</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Une connexion internet est nécessaire pour l'usage normal de l'application. Les actions les plus fréquentes (appel du jour, saisie des notes, enregistrement d'un paiement) restent utilisables lors de courtes coupures et se synchronisent automatiquement au retour de la connexion ; les autres modules nécessitent une connexion active.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Sauvegarde des données</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Les données sont hébergées et sauvegardées par l'Éditeur sur son infrastructure. L'École n'a aucune manipulation de sauvegarde à effectuer elle-même.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Mises à jour</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Déployées automatiquement par l'Éditeur, sans action ni interruption requise de la part de l'École.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Nature de « l'achat »</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Kalanso restant une plateforme hébergée (pas un logiciel installé chez l'École), l'achat porte sur un droit d'usage permanent, distinct du financement de l'hébergement lui-même qui reste couvert par la maintenance annuelle (voir section 7). Ce point doit être bien compris de l'École avant signature.</w:t>
            </w:r>
          </w:p>
        </w:tc>
      </w:tr>
    </w:tbl>
    <w:p>
      <w:r>
        <w:br w:type="page"/>
      </w:r>
    </w:p>
    <w:p>
      <w:pPr>
        <w:pStyle w:val="Heading1"/>
        <w:spacing w:after="200" w:before="400"/>
      </w:pPr>
      <w:r>
        <w:t xml:space="preserve">4. Prérequis techniques</w:t>
      </w:r>
    </w:p>
    <w:p>
      <w:pPr>
        <w:pStyle w:val="ListParagraph"/>
        <w:numPr>
          <w:ilvl w:val="0"/>
          <w:numId w:val="2"/>
        </w:numPr>
        <w:spacing w:after="80"/>
      </w:pPr>
      <w:r>
        <w:t xml:space="preserve">Un ordinateur ou un smartphone récent, avec un navigateur web à jour (Chrome, Edge, Firefox, Safari)</w:t>
      </w:r>
    </w:p>
    <w:p>
      <w:pPr>
        <w:pStyle w:val="ListParagraph"/>
        <w:numPr>
          <w:ilvl w:val="0"/>
          <w:numId w:val="2"/>
        </w:numPr>
        <w:spacing w:after="80"/>
      </w:pPr>
      <w:r>
        <w:t xml:space="preserve">Une connexion internet (l'usage normal de la plateforme suppose une connexion raisonnablement stable)</w:t>
      </w:r>
    </w:p>
    <w:p>
      <w:pPr>
        <w:pStyle w:val="ListParagraph"/>
        <w:numPr>
          <w:ilvl w:val="0"/>
          <w:numId w:val="2"/>
        </w:numPr>
        <w:spacing w:after="80"/>
      </w:pPr>
      <w:r>
        <w:t xml:space="preserve">Aucune installation ni matériel spécifique requis</w:t>
      </w:r>
    </w:p>
    <w:p>
      <w:pPr>
        <w:pStyle w:val="Heading1"/>
        <w:spacing w:after="200" w:before="400"/>
      </w:pPr>
      <w:r>
        <w:t xml:space="preserve">5. Livrables</w:t>
      </w:r>
    </w:p>
    <w:p>
      <w:pPr>
        <w:pStyle w:val="ListParagraph"/>
        <w:numPr>
          <w:ilvl w:val="0"/>
          <w:numId w:val="2"/>
        </w:numPr>
        <w:spacing w:after="80"/>
      </w:pPr>
      <w:r>
        <w:t xml:space="preserve">Accès à la plateforme via une adresse dédiée, avec un compte fondateur créé par l'Éditeur</w:t>
      </w:r>
    </w:p>
    <w:p>
      <w:pPr>
        <w:pStyle w:val="ListParagraph"/>
        <w:numPr>
          <w:ilvl w:val="0"/>
          <w:numId w:val="2"/>
        </w:numPr>
        <w:spacing w:after="80"/>
      </w:pPr>
      <w:r>
        <w:t xml:space="preserve">Manuel d'utilisation (support numérique, avec captures d'écran par module)</w:t>
      </w:r>
    </w:p>
    <w:p>
      <w:pPr>
        <w:pStyle w:val="ListParagraph"/>
        <w:numPr>
          <w:ilvl w:val="0"/>
          <w:numId w:val="2"/>
        </w:numPr>
        <w:spacing w:after="80"/>
      </w:pPr>
      <w:r>
        <w:t xml:space="preserve">Formulaire public d'admission en ligne, personnalisé au nom de l'École, à partager aux parents</w:t>
      </w:r>
    </w:p>
    <w:p>
      <w:pPr>
        <w:pStyle w:val="ListParagraph"/>
        <w:numPr>
          <w:ilvl w:val="0"/>
          <w:numId w:val="2"/>
        </w:numPr>
        <w:spacing w:after="80"/>
      </w:pPr>
      <w:r>
        <w:t xml:space="preserve">Formation initiale du personnel désigné par l'École (durée à préciser au contrat, ex. une demi-journée sur site ou à distance)</w:t>
      </w:r>
    </w:p>
    <w:p>
      <w:pPr>
        <w:pStyle w:val="ListParagraph"/>
        <w:numPr>
          <w:ilvl w:val="0"/>
          <w:numId w:val="2"/>
        </w:numPr>
        <w:spacing w:after="80"/>
      </w:pPr>
      <w:r>
        <w:t xml:space="preserve">Assistance à la reprise des données existantes de l'École, si disponibles (listes d'élèves, tarifs, personnel — au format Excel)</w:t>
      </w:r>
    </w:p>
    <w:p>
      <w:pPr>
        <w:pStyle w:val="Heading1"/>
        <w:spacing w:after="200" w:before="400"/>
      </w:pPr>
      <w:r>
        <w:t xml:space="preserve">6. Modalités de mise en œuvre</w:t>
      </w:r>
    </w:p>
    <w:p>
      <w:pPr>
        <w:pStyle w:val="Heading2"/>
        <w:spacing w:after="150" w:before="300"/>
      </w:pPr>
      <w:r>
        <w:t xml:space="preserve">6.1 Activation du compte</w:t>
      </w:r>
    </w:p>
    <w:p>
      <w:pPr>
        <w:spacing w:after="150"/>
      </w:pPr>
      <w:r>
        <w:t xml:space="preserve">L'Éditeur crée l'espace de l'École et le compte du fondateur/administrateur principal. Les autres comptes du personnel (chef d'établissement, secrétaire, comptable, enseignants) sont ensuite créés depuis l'application elle-même.</w:t>
      </w:r>
    </w:p>
    <w:p>
      <w:pPr>
        <w:pStyle w:val="Heading2"/>
        <w:spacing w:after="150" w:before="300"/>
      </w:pPr>
      <w:r>
        <w:t xml:space="preserve">6.2 Reprise des données existantes</w:t>
      </w:r>
    </w:p>
    <w:p>
      <w:pPr>
        <w:spacing w:after="150"/>
      </w:pPr>
      <w:r>
        <w:t xml:space="preserve">Si l'École dispose déjà de listes d'élèves, de personnel ou de tarifs sous Excel, un accompagnement à l'import est proposé (des modèles d'import sont fournis dans l'application pour les factures et la paie).</w:t>
      </w:r>
    </w:p>
    <w:p>
      <w:pPr>
        <w:pStyle w:val="Heading2"/>
        <w:spacing w:after="150" w:before="300"/>
      </w:pPr>
      <w:r>
        <w:t xml:space="preserve">6.3 Formation</w:t>
      </w:r>
    </w:p>
    <w:p>
      <w:pPr>
        <w:spacing w:after="150"/>
      </w:pPr>
      <w:r>
        <w:t xml:space="preserve">Une session de formation est dispensée au personnel désigné, couvrant l'utilisation quotidienne des modules pertinents à chaque rôle (secrétariat, comptabilité, enseignants, direction).</w:t>
      </w:r>
    </w:p>
    <w:p>
      <w:pPr>
        <w:pStyle w:val="Heading1"/>
        <w:spacing w:after="200" w:before="400"/>
      </w:pPr>
      <w:r>
        <w:t xml:space="preserve">7. Modèle commercial et tarification indicative</w:t>
      </w:r>
    </w:p>
    <w:p>
      <w:pPr>
        <w:spacing w:after="150"/>
      </w:pPr>
      <w:r>
        <w:t xml:space="preserve">Cette formule comprend deux éléments distincts et complémentaires : un achat unique qui acquiert le droit d'usage de la plateforme, et une maintenance annuelle qui couvre le fonctionnement réel du service. Les montants ci-dessous sont indicatifs et doivent être ajustés avant toute proposition commerciale ferme.</w:t>
      </w:r>
    </w:p>
    <w:p>
      <w:pPr>
        <w:pStyle w:val="Heading2"/>
        <w:spacing w:after="150" w:before="300"/>
      </w:pPr>
      <w:r>
        <w:t xml:space="preserve">7.1 Achat de la licence d'usage (paiement unique)</w:t>
      </w:r>
    </w:p>
    <w:p>
      <w:pPr>
        <w:spacing w:after="150"/>
      </w:pPr>
      <w:r>
        <w:t xml:space="preserve">Ce paiement, effectué une seule fois, acquiert pour l'École un droit d'usage de Kalanso qui ne s'éteint pas avec le temps ni ne se renégocie à la hausse d'une année sur l'autre — contrairement à un abonnement, ce droit reste acquis même si l'École traverse une période sans payer la maintenance (voir section 12).</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5"/>
        <w:gridCol w:w="4675"/>
      </w:tblGrid>
      <w:tr>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Taille de l'école</w:t>
            </w:r>
          </w:p>
        </w:tc>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Achat de la licence d'usage (paiement unique)</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Petite école (moins de 300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8 000 000 – 12 000 000 GNF</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École moyenne (300 à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12 000 000 – 20 000 000 GNF</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Grande école (plus de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20 000 000 – 30 000 000 GNF</w:t>
            </w:r>
          </w:p>
        </w:tc>
      </w:tr>
    </w:tbl>
    <w:p>
      <w:pPr>
        <w:spacing w:after="200"/>
      </w:pPr>
    </w:p>
    <w:p>
      <w:pPr>
        <w:pStyle w:val="Heading2"/>
        <w:spacing w:after="150" w:before="300"/>
      </w:pPr>
      <w:r>
        <w:t xml:space="preserve">7.2 Maintenance annuelle (obligatoire)</w:t>
      </w:r>
    </w:p>
    <w:p>
      <w:pPr>
        <w:spacing w:after="150"/>
      </w:pPr>
      <w:r>
        <w:t xml:space="preserve">La maintenance finance ce que l'achat seul ne peut pas couvrir dans la durée : l'hébergement effectif des données de l'École, les sauvegardes, le support technique et les mises à jour. Elle est due chaque année, y compris après l'achat initial.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5"/>
        <w:gridCol w:w="4675"/>
      </w:tblGrid>
      <w:tr>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Taille de l'école</w:t>
            </w:r>
          </w:p>
        </w:tc>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Maintenance annuelle (hébergement, sauvegardes, support, mises à jour)</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Petite école (moins de 300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1 500 000 – 2 500 000 GNF / an</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École moyenne (300 à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2 500 000 – 4 000 000 GNF / an</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Grande école (plus de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4 000 000 – 6 000 000 GNF / an</w:t>
            </w:r>
          </w:p>
        </w:tc>
      </w:tr>
    </w:tbl>
    <w:p>
      <w:pPr>
        <w:spacing w:after="200"/>
      </w:pPr>
    </w:p>
    <w:p>
      <w:pPr>
        <w:shd w:fill="FFF3E0" w:val="clear"/>
        <w:spacing w:after="200" w:before="100"/>
      </w:pPr>
      <w:r>
        <w:rPr>
          <w:b/>
          <w:bCs/>
          <w:color w:val="B54708"/>
        </w:rPr>
        <w:t xml:space="preserve">⚠ </w:t>
      </w:r>
      <w:r>
        <w:rPr>
          <w:i/>
          <w:iCs/>
          <w:color w:val="B54708"/>
        </w:rPr>
        <w:t xml:space="preserve">Ces tarifs sont des points de départ pour une discussion avec vos premières écoles. Ils gagneraient à être validés/ajustés après quelques ventes réelles, en tenant compte de vos coûts (hébergement, support, formation) et du budget réel des écoles ciblées. Le montant de l'achat mérite d'être positionné nettement au-dessus d'un an d'abonnement de la formule classique (section correspondante du document « Abonnement ») pour rester cohérent économiquement pour l'Éditeur : cette formule ne dispense jamais l'École de financer l'hébergement dans la durée, elle change seulement la manière dont l'usage initial est payé.</w:t>
      </w:r>
    </w:p>
    <w:p>
      <w:pPr>
        <w:pStyle w:val="Heading1"/>
        <w:spacing w:after="200" w:before="400"/>
      </w:pPr>
      <w:r>
        <w:t xml:space="preserve">8. Maintenance, support et mises à jour</w:t>
      </w:r>
    </w:p>
    <w:p>
      <w:pPr>
        <w:pStyle w:val="ListParagraph"/>
        <w:numPr>
          <w:ilvl w:val="0"/>
          <w:numId w:val="2"/>
        </w:numPr>
        <w:spacing w:after="80"/>
      </w:pPr>
      <w:r>
        <w:t xml:space="preserve">Hébergement, corrections de bugs et mises à jour : inclus en continu tant que la maintenance annuelle est à jour, sans action requise de l'École</w:t>
      </w:r>
    </w:p>
    <w:p>
      <w:pPr>
        <w:pStyle w:val="ListParagraph"/>
        <w:numPr>
          <w:ilvl w:val="0"/>
          <w:numId w:val="2"/>
        </w:numPr>
        <w:spacing w:after="80"/>
      </w:pPr>
      <w:r>
        <w:t xml:space="preserve">Nouvelles fonctionnalités majeures : peuvent faire l'objet d'un devis distinct si développées spécifiquement pour une école, sauf mention contraire au contrat</w:t>
      </w:r>
    </w:p>
    <w:p>
      <w:pPr>
        <w:pStyle w:val="ListParagraph"/>
        <w:numPr>
          <w:ilvl w:val="0"/>
          <w:numId w:val="2"/>
        </w:numPr>
        <w:spacing w:after="80"/>
      </w:pPr>
      <w:r>
        <w:t xml:space="preserve">Canal de support : à préciser au contrat (téléphone, WhatsApp, email), avec un délai de réponse indicatif (ex. 48h ouvrées)</w:t>
      </w:r>
    </w:p>
    <w:p>
      <w:pPr>
        <w:pStyle w:val="ListParagraph"/>
        <w:numPr>
          <w:ilvl w:val="0"/>
          <w:numId w:val="2"/>
        </w:numPr>
        <w:spacing w:after="80"/>
      </w:pPr>
      <w:r>
        <w:t xml:space="preserve">Disponibilité : l'Éditeur s'efforce d'assurer une disponibilité continue de la plateforme, sans garantie de disponibilité à 100% (maintenance planifiée, aléas d'hébergement)</w:t>
      </w:r>
    </w:p>
    <w:p>
      <w:pPr>
        <w:pStyle w:val="Heading1"/>
        <w:spacing w:after="200" w:before="400"/>
      </w:pPr>
      <w:r>
        <w:t xml:space="preserve">9. Propriété intellectuelle et licence d'utilisation</w:t>
      </w:r>
    </w:p>
    <w:p>
      <w:pPr>
        <w:spacing w:after="150"/>
      </w:pPr>
      <w:r>
        <w:t xml:space="preserve">Le code source, la marque « Kalanso » et l'ensemble des éléments de la plateforme demeurent la propriété exclusive de l'Éditeur. L'achat de la licence accorde à l'École un droit d'accès et d'usage non exclusif, non transférable et à durée indéterminée, distinct de la question de l'hébergement actif du service (voir section 12).</w:t>
      </w:r>
    </w:p>
    <w:p>
      <w:pPr>
        <w:spacing w:after="150"/>
      </w:pPr>
      <w:r>
        <w:t xml:space="preserve">L'École ne peut ni céder, ni sous-licencier, ni redistribuer l'accès à des tiers, ni tenter d'extraire ou de décompiler le logiciel.</w:t>
      </w:r>
    </w:p>
    <w:p>
      <w:pPr>
        <w:spacing w:after="150"/>
      </w:pPr>
      <w:r>
        <w:t xml:space="preserve">Les données saisies par l'École (élèves, notes, finances, personnel) demeurent la propriété exclusive de l'École, y compris en cas de suspension du service pour non-paiement de la maintenance (voir section 10).</w:t>
      </w:r>
    </w:p>
    <w:p>
      <w:r>
        <w:br w:type="page"/>
      </w:r>
    </w:p>
    <w:p>
      <w:pPr>
        <w:pStyle w:val="Heading1"/>
        <w:spacing w:after="200" w:before="400"/>
      </w:pPr>
      <w:r>
        <w:t xml:space="preserve">10. Sauvegarde, hébergement et réversibilité des données</w:t>
      </w:r>
    </w:p>
    <w:p>
      <w:pPr>
        <w:shd w:fill="FFF3E0" w:val="clear"/>
        <w:spacing w:after="200" w:before="100"/>
      </w:pPr>
      <w:r>
        <w:rPr>
          <w:b/>
          <w:bCs/>
          <w:color w:val="B54708"/>
        </w:rPr>
        <w:t xml:space="preserve">⚠ </w:t>
      </w:r>
      <w:r>
        <w:rPr>
          <w:i/>
          <w:iCs/>
          <w:color w:val="B54708"/>
        </w:rPr>
        <w:t xml:space="preserve">Point essentiel à formaliser clairement au contrat : les données de l'École sont hébergées sur l'infrastructure de l'Éditeur. Le lieu d'hébergement, la fréquence des sauvegardes et les modalités de récupération des données en cas de suspension ou de fin de contrat doivent être précisés avant signature.</w:t>
      </w:r>
    </w:p>
    <w:p>
      <w:pPr>
        <w:pStyle w:val="ListParagraph"/>
        <w:numPr>
          <w:ilvl w:val="0"/>
          <w:numId w:val="2"/>
        </w:numPr>
        <w:spacing w:after="80"/>
      </w:pPr>
      <w:r>
        <w:t xml:space="preserve">Sauvegarde : l'Éditeur réalise des sauvegardes régulières des données de l'École (fréquence à préciser, ex. quotidienne) sur son infrastructure d'hébergement, tant que la maintenance annuelle est à jour.</w:t>
      </w:r>
    </w:p>
    <w:p>
      <w:pPr>
        <w:pStyle w:val="ListParagraph"/>
        <w:numPr>
          <w:ilvl w:val="0"/>
          <w:numId w:val="2"/>
        </w:numPr>
        <w:spacing w:after="80"/>
      </w:pPr>
      <w:r>
        <w:t xml:space="preserve">Réversibilité : en cas de suspension pour non-paiement de la maintenance ou de fin de contrat, l'École peut demander l'export de ses données (élèves, notes, finances) dans un format exploitable (Excel/PDF), pendant une durée définie (ex. 90 jours) avant suppression définitive.</w:t>
      </w:r>
    </w:p>
    <w:p>
      <w:pPr>
        <w:pStyle w:val="ListParagraph"/>
        <w:numPr>
          <w:ilvl w:val="0"/>
          <w:numId w:val="2"/>
        </w:numPr>
        <w:spacing w:after="80"/>
      </w:pPr>
      <w:r>
        <w:t xml:space="preserve">Hébergeur et localisation des données : à préciser au contrat (nom de l'hébergeur, pays d'hébergement).</w:t>
      </w:r>
    </w:p>
    <w:p>
      <w:pPr>
        <w:pStyle w:val="Heading1"/>
        <w:spacing w:after="200" w:before="400"/>
      </w:pPr>
      <w:r>
        <w:t xml:space="preserve">11. Confidentialité et protection des données</w:t>
      </w:r>
    </w:p>
    <w:p>
      <w:pPr>
        <w:spacing w:after="150"/>
      </w:pPr>
      <w:r>
        <w:t xml:space="preserve">Les données des élèves, du personnel et des familles sont hébergées sur l'infrastructure de l'Éditeur, avec un accès cloisonné par établissement (une école ne peut jamais voir les données d'une autre).</w:t>
      </w:r>
    </w:p>
    <w:p>
      <w:pPr>
        <w:spacing w:after="150"/>
      </w:pPr>
      <w:r>
        <w:t xml:space="preserve">L'Éditeur s'engage à ne pas céder, vendre ni exploiter à des fins commerciales les données de l'École, et à n'y accéder que dans le cadre d'une intervention de support technique demandée par l'École ou d'une obligation légale.</w:t>
      </w:r>
    </w:p>
    <w:p>
      <w:pPr>
        <w:pStyle w:val="Heading1"/>
        <w:spacing w:after="200" w:before="400"/>
      </w:pPr>
      <w:r>
        <w:t xml:space="preserve">12. Durée, suspension et résiliation</w:t>
      </w:r>
    </w:p>
    <w:p>
      <w:pPr>
        <w:spacing w:after="150"/>
      </w:pPr>
      <w:r>
        <w:t xml:space="preserve">C'est ici que la formule Achat se distingue le plus nettement d'un abonnement classique — à faire relire par un juriste avant toute signature, ces mécanismes engageant les deux parties sur la durée :</w:t>
      </w:r>
    </w:p>
    <w:p>
      <w:pPr>
        <w:pStyle w:val="ListParagraph"/>
        <w:numPr>
          <w:ilvl w:val="0"/>
          <w:numId w:val="2"/>
        </w:numPr>
        <w:spacing w:after="80"/>
      </w:pPr>
      <w:r>
        <w:t xml:space="preserve">Le droit d'usage acquis par l'achat (section 7.1) n'a pas de date d'expiration et n'est jamais remis en cause par un retard ou un défaut de paiement de la maintenance : l'École ne perd jamais ce qu'elle a payé.</w:t>
      </w:r>
    </w:p>
    <w:p>
      <w:pPr>
        <w:pStyle w:val="ListParagraph"/>
        <w:numPr>
          <w:ilvl w:val="0"/>
          <w:numId w:val="2"/>
        </w:numPr>
        <w:spacing w:after="80"/>
      </w:pPr>
      <w:r>
        <w:t xml:space="preserve">La maintenance annuelle (section 7.2) est due chaque année pour que le service reste actif. En cas de non-paiement à l'échéance, après relance, l'accès au service peut être suspendu (les données restent conservées, non supprimées, pendant une période à définir — ex. 6 mois).</w:t>
      </w:r>
    </w:p>
    <w:p>
      <w:pPr>
        <w:pStyle w:val="ListParagraph"/>
        <w:numPr>
          <w:ilvl w:val="0"/>
          <w:numId w:val="2"/>
        </w:numPr>
        <w:spacing w:after="80"/>
      </w:pPr>
      <w:r>
        <w:t xml:space="preserve">Reprise après suspension : l'École peut réactiver le service à tout moment en régularisant la maintenance due, sans avoir à racheter la licence d'usage déjà acquise.</w:t>
      </w:r>
    </w:p>
    <w:p>
      <w:pPr>
        <w:pStyle w:val="ListParagraph"/>
        <w:numPr>
          <w:ilvl w:val="0"/>
          <w:numId w:val="2"/>
        </w:numPr>
        <w:spacing w:after="80"/>
      </w:pPr>
      <w:r>
        <w:t xml:space="preserve">Résiliation définitive : si l'École souhaite mettre fin durablement à la relation (au-delà de la simple suspension), les modalités de récupération et de suppression des données suivent la section 10.</w:t>
      </w:r>
    </w:p>
    <w:p>
      <w:pPr>
        <w:pStyle w:val="Heading1"/>
        <w:spacing w:after="200" w:before="400"/>
      </w:pPr>
      <w:r>
        <w:t xml:space="preserve">13. Signatures</w:t>
      </w:r>
    </w:p>
    <w:p>
      <w:pPr>
        <w:spacing w:after="400"/>
      </w:pPr>
    </w:p>
    <w:p>
      <w:pPr>
        <w:spacing w:after="400"/>
      </w:pPr>
      <w:r>
        <w:rPr>
          <w:b/>
          <w:bCs/>
        </w:rPr>
        <w:t xml:space="preserve">Pour l'Éditeur (Kalanso)</w:t>
      </w:r>
    </w:p>
    <w:p>
      <w:pPr>
        <w:spacing w:after="150"/>
      </w:pPr>
      <w:r>
        <w:t xml:space="preserve">Nom, fonction, date et signature : ________________________________</w:t>
      </w:r>
    </w:p>
    <w:p>
      <w:pPr>
        <w:spacing w:after="400"/>
      </w:pPr>
    </w:p>
    <w:p>
      <w:pPr>
        <w:spacing w:after="400"/>
      </w:pPr>
      <w:r>
        <w:rPr>
          <w:b/>
          <w:bCs/>
        </w:rPr>
        <w:t xml:space="preserve">Pour l'École</w:t>
      </w:r>
    </w:p>
    <w:p>
      <w:pPr>
        <w:spacing w:after="150"/>
      </w:pPr>
      <w:r>
        <w:t xml:space="preserve">Nom de l'établissement, nom et fonction du signataire, date et signature : ________________________________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2026-07-31T21:19:40.768Z</dcterms:created>
  <dcterms:modified xsi:type="dcterms:W3CDTF">2026-07-31T21:19:40.769Z</dcterms:modified>
</cp:coreProperties>
</file>

<file path=docProps/custom.xml><?xml version="1.0" encoding="utf-8"?>
<Properties xmlns="http://schemas.openxmlformats.org/officeDocument/2006/custom-properties" xmlns:vt="http://schemas.openxmlformats.org/officeDocument/2006/docPropsVTypes"/>
</file>