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480" w:after="80"/>
        <w:jc w:val="center"/>
      </w:pPr>
      <w:r>
        <w:rPr>
          <w:b w:val="0"/>
          <w:i w:val="0"/>
        </w:rPr>
        <w:t>SUPPORTING STRATEGY AND BEST PRACTICES GUIDE</w:t>
      </w:r>
    </w:p>
    <w:p>
      <w:pPr>
        <w:spacing w:before="60" w:after="60"/>
        <w:jc w:val="center"/>
      </w:pPr>
      <w:r>
        <w:rPr>
          <w:b w:val="0"/>
          <w:i/>
          <w:color w:val="1D4ED8"/>
          <w:sz w:val="24"/>
        </w:rPr>
        <w:t>Distilled principles, frameworks, preparation methods, and delivery system</w:t>
      </w:r>
    </w:p>
    <w:tbl>
      <w:tblPr>
        <w:tblW w:type="auto" w:w="0"/>
        <w:jc w:val="center"/>
        <w:tblLook w:firstColumn="1" w:firstRow="1" w:lastColumn="0" w:lastRow="0" w:noHBand="0" w:noVBand="1" w:val="04A0"/>
      </w:tblPr>
      <w:tblGrid>
        <w:gridCol w:w="10224"/>
      </w:tblGrid>
      <w:tr>
        <w:tc>
          <w:tcPr>
            <w:tcW w:type="dxa" w:w="10224"/>
            <w:shd w:fill="DBEAFE"/>
            <w:tcBorders>
              <w:top w:val="single" w:sz="8" w:space="0" w:color="0D2137"/>
              <w:left w:val="single" w:sz="8" w:space="0" w:color="0D2137"/>
              <w:bottom w:val="single" w:sz="8" w:space="0" w:color="0D2137"/>
              <w:right w:val="single" w:sz="8" w:space="0" w:color="0D2137"/>
              <w:insideH w:val="single" w:sz="8" w:space="0" w:color="0D2137"/>
              <w:insideV w:val="single" w:sz="8" w:space="0" w:color="0D2137"/>
            </w:tcBorders>
            <w:vAlign w:val="center"/>
          </w:tcPr>
          <w:p>
            <w:pPr>
              <w:spacing w:after="0"/>
            </w:pPr>
            <w:r>
              <w:rPr>
                <w:b/>
                <w:i w:val="0"/>
                <w:color w:val="0D2137"/>
              </w:rPr>
              <w:t xml:space="preserve">PURPOSE: </w:t>
            </w:r>
            <w:r>
              <w:rPr>
                <w:b w:val="0"/>
                <w:i w:val="0"/>
              </w:rPr>
              <w:t>This guide is the system behind the Interview Bible. The Bible gives you the answer bank. This guide tells you how to practise, structure, deliver, recover, and adapt the answers.</w:t>
            </w:r>
          </w:p>
        </w:tc>
      </w:tr>
    </w:tbl>
    <w:p/>
    <w:p>
      <w:pPr>
        <w:pStyle w:val="Heading1"/>
        <w:spacing w:before="240" w:after="100"/>
      </w:pPr>
      <w:r>
        <w:t>Part 1: Core interview principles</w:t>
      </w:r>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Principle</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Practical meaning</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Result first every time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The first sentence names the outcome or decision. Context comes after value is established.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not we, when ownership is yours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The interviewer cannot hire the team. Name what you personally decided, designed, challenged, or owned.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Name the trade off</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Say what you chose, what you chose not to do, and why. This is the senior signal.</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Result squared</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Every metric needs the second order outcome. What did the number make possible?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Specificity is credibility</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Use exact context, stakeholder, constraint, method, metric, and changed behaviour.</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Failure requires clean ownership</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No defensive setup. Name the mistake, your contribution, recovery, permanent system change, and evidence it works.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Mutual assessment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You are not asking for permission. You are presenting evidence and deciding whether the role deserves your work.</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Regularity over intensity</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Ten minutes out loud every day beats hours of silent reading the night before.</w:t>
            </w:r>
          </w:p>
        </w:tc>
      </w:tr>
    </w:tbl>
    <w:p>
      <w:pPr>
        <w:pStyle w:val="Heading1"/>
        <w:spacing w:before="240" w:after="100"/>
      </w:pPr>
      <w:r>
        <w:t>Part 2: The best answer structuring method</w:t>
      </w:r>
    </w:p>
    <w:p>
      <w:pPr>
        <w:spacing w:before="60" w:after="60"/>
      </w:pPr>
      <w:r>
        <w:rPr>
          <w:b w:val="0"/>
          <w:i/>
        </w:rPr>
        <w:t>Use Hero Story as the default. It is stronger than pure STAR because STAR often stops at action and result. Hero Story includes Crossroads and Result squared, which show judgement and strategic impact.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Method</w:t>
            </w:r>
          </w:p>
        </w:tc>
        <w:tc>
          <w:tcPr>
            <w:tcW w:type="dxa" w:w="3408"/>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When to use</w:t>
            </w:r>
          </w:p>
        </w:tc>
        <w:tc>
          <w:tcPr>
            <w:tcW w:type="dxa" w:w="3408"/>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Why</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Hero Story</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Most behavioural answers and major stories</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Best for senior signal, trade off reasoning, and memorable debrief notes.</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Five part structure</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Shorter answers or screens</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Direct answer, context, actions, result, lesson. Fast and clean.</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Failure framework</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Mistake, weakness, setback questions</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Claim it, name your contribution, show the concrete change, prove the change works.</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First 90 days structure</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New role and planning questions</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Understand, align, deliver, then optimise.</w:t>
            </w:r>
          </w:p>
        </w:tc>
      </w:tr>
    </w:tbl>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Hero Story stage</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Question it answers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Hook</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Why should I keep listening?</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Situation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What was the setting and stakes?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Conflict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What made this a real problem?</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Crossroads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What did you decide, reject, and why?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Hard part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Why was success not guaranteed?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Result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What changed?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Result squared</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What did that make possible?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Insight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How are you different now?</w:t>
            </w:r>
          </w:p>
        </w:tc>
      </w:tr>
    </w:tbl>
    <w:p>
      <w:pPr>
        <w:pStyle w:val="Heading1"/>
        <w:spacing w:before="240" w:after="100"/>
      </w:pPr>
      <w:r>
        <w:t>Part 3: Communication system</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Mode</w:t>
            </w:r>
          </w:p>
        </w:tc>
        <w:tc>
          <w:tcPr>
            <w:tcW w:type="dxa" w:w="3408"/>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How to show it</w:t>
            </w:r>
          </w:p>
        </w:tc>
        <w:tc>
          <w:tcPr>
            <w:tcW w:type="dxa" w:w="3408"/>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What breaks it</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Ethos</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Ownership, specificity, clean failure, exact numbers, no blame displacement.</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Vague claims, excessive we, hedging, defensive context.</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Pathos</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A vivid image: queue bleeding one hour, silence in client meeting, co authorship with regional leads.</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Abstract language like operational challenges without image.</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Logos</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Cause and effect, root cause, method, metric, result squared.</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Activity lists with no reasoning chain.</w:t>
            </w:r>
          </w:p>
        </w:tc>
      </w:tr>
    </w:tbl>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Communication trap</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Fix</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Clever but unclear</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Replace abstractions with concrete images and metrics.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Talking about yourself without linking to their problem</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Connect every proof point to the role need.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Expected corporate language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Use the specific truth, not generic labels.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Rushing</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Hook, pause, key insight, stop.</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Soft approval seeking</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Use calm falling intonation and stop asking for reassurance.</w:t>
            </w:r>
          </w:p>
        </w:tc>
      </w:tr>
    </w:tbl>
    <w:p>
      <w:pPr>
        <w:pStyle w:val="Heading1"/>
        <w:spacing w:before="240" w:after="100"/>
      </w:pPr>
      <w:r>
        <w:t>Part 4: Identity and mindset</w:t>
      </w:r>
    </w:p>
    <w:tbl>
      <w:tblPr>
        <w:tblW w:type="auto" w:w="0"/>
        <w:jc w:val="center"/>
        <w:tblLook w:firstColumn="1" w:firstRow="1" w:lastColumn="0" w:lastRow="0" w:noHBand="0" w:noVBand="1" w:val="04A0"/>
      </w:tblPr>
      <w:tblGrid>
        <w:gridCol w:w="10224"/>
      </w:tblGrid>
      <w:tr>
        <w:tc>
          <w:tcPr>
            <w:tcW w:type="dxa" w:w="10224"/>
            <w:shd w:fill="F0FDF4"/>
            <w:tcBorders>
              <w:top w:val="single" w:sz="8" w:space="0" w:color="14532D"/>
              <w:left w:val="single" w:sz="8" w:space="0" w:color="14532D"/>
              <w:bottom w:val="single" w:sz="8" w:space="0" w:color="14532D"/>
              <w:right w:val="single" w:sz="8" w:space="0" w:color="14532D"/>
              <w:insideH w:val="single" w:sz="8" w:space="0" w:color="14532D"/>
              <w:insideV w:val="single" w:sz="8" w:space="0" w:color="14532D"/>
            </w:tcBorders>
            <w:vAlign w:val="center"/>
          </w:tcPr>
          <w:p>
            <w:pPr>
              <w:spacing w:after="0"/>
            </w:pPr>
            <w:r>
              <w:rPr>
                <w:b/>
                <w:i w:val="0"/>
                <w:color w:val="14532D"/>
              </w:rPr>
              <w:t xml:space="preserve">IDENTITY SHIFT: </w:t>
            </w:r>
            <w:r>
              <w:rPr>
                <w:b w:val="0"/>
                <w:i w:val="0"/>
              </w:rPr>
              <w:t>Stop walking in as the beginner from 2018 trying to defend 2024 results. Walk in as the person who already reduced backlog by 34%, renegotiated two SLAs in 72 hours, corrected a hidden metric error, and developed an underperformer into an SME.</w:t>
            </w:r>
          </w:p>
        </w:tc>
      </w:tr>
    </w:tbl>
    <w:p/>
    <w:tbl>
      <w:tblPr>
        <w:tblW w:type="auto" w:w="0"/>
        <w:jc w:val="center"/>
        <w:tblLook w:firstColumn="1" w:firstRow="1" w:lastColumn="0" w:lastRow="0" w:noHBand="0" w:noVBand="1" w:val="04A0"/>
      </w:tblPr>
      <w:tblGrid>
        <w:gridCol w:w="10224"/>
      </w:tblGrid>
      <w:tr>
        <w:tc>
          <w:tcPr>
            <w:tcW w:type="dxa" w:w="10224"/>
            <w:shd w:fill="EDE9FE"/>
            <w:tcBorders>
              <w:top w:val="single" w:sz="8" w:space="0" w:color="4C1D95"/>
              <w:left w:val="single" w:sz="8" w:space="0" w:color="4C1D95"/>
              <w:bottom w:val="single" w:sz="8" w:space="0" w:color="4C1D95"/>
              <w:right w:val="single" w:sz="8" w:space="0" w:color="4C1D95"/>
              <w:insideH w:val="single" w:sz="8" w:space="0" w:color="4C1D95"/>
              <w:insideV w:val="single" w:sz="8" w:space="0" w:color="4C1D95"/>
            </w:tcBorders>
            <w:vAlign w:val="center"/>
          </w:tcPr>
          <w:p>
            <w:pPr>
              <w:spacing w:after="0"/>
            </w:pPr>
            <w:r>
              <w:rPr>
                <w:b/>
                <w:i w:val="0"/>
                <w:color w:val="4C1D95"/>
              </w:rPr>
              <w:t xml:space="preserve">ACTIVATION STATEMENT: </w:t>
            </w:r>
            <w:r>
              <w:rPr>
                <w:b w:val="0"/>
                <w:i w:val="0"/>
              </w:rPr>
              <w:t>I am the programme manager who reduced a global backlog by 34%, renegotiated two SLAs in 72 hours, and eliminated financial penalties. I have done this work. These results are mine. That person is walking into this room.</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Level</w:t>
            </w:r>
          </w:p>
        </w:tc>
        <w:tc>
          <w:tcPr>
            <w:tcW w:type="dxa" w:w="3408"/>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Interview behaviour</w:t>
            </w:r>
          </w:p>
        </w:tc>
        <w:tc>
          <w:tcPr>
            <w:tcW w:type="dxa" w:w="3408"/>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Hiring signal</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Survival mode</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Reactive answers, no control of structure.</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No hire risk.</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One oar</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Can answer, but softens under pressure and loses ownership.</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Weak hire risk.</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Short sighted</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Good answers but no follow up seeds or second order impact.</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Solid but not exceptional.</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Full control</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Partner frame, result first, calm pace, trade offs, holds position under follow up.</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Strong hire.</w:t>
            </w:r>
          </w:p>
        </w:tc>
      </w:tr>
    </w:tbl>
    <w:p>
      <w:pPr>
        <w:pStyle w:val="Heading1"/>
        <w:spacing w:before="240" w:after="100"/>
      </w:pPr>
      <w:r>
        <w:t>Part 5: Delivery and physical preparation</w:t>
      </w:r>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Tactic</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How to execute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Body first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Feet flat, shoulders open, hands visible, slight forward lean. The body tells the brain the room is safe.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Breath</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Four counts in, eight counts out, six cycles. Use before interview and during freeze recovery.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Pace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Slow down by about 20% when nervous. Senior people do not rush to prove they belong.</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Falling intonation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Every result lands down. A rising result sounds like a question.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Pause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Take one breath before answering. A pause signals thought, not weakness.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No apology</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Do not apologise for the room, the answer, the pause, the gap, or the result.</w:t>
            </w:r>
          </w:p>
        </w:tc>
      </w:tr>
    </w:tbl>
    <w:p>
      <w:pPr>
        <w:pStyle w:val="Heading2"/>
        <w:spacing w:before="160" w:after="100"/>
      </w:pPr>
      <w:r>
        <w:t>Freeze recovery protocol</w:t>
      </w:r>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Step</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Action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Exhale first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Long slow exhale, drop shoulders.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Verbal bridge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Say: That is a good question, let me think of the strongest example.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Search for trigger phrase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Do not search for the full story. Find the phrase.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Start before perfect recall</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Begin with the hook. The story returns as you talk.</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Anchor to structure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The situation was, the specific challenge was, what I decided was.</w:t>
            </w:r>
          </w:p>
        </w:tc>
      </w:tr>
    </w:tbl>
    <w:p>
      <w:pPr>
        <w:pStyle w:val="Heading1"/>
        <w:spacing w:before="240" w:after="100"/>
      </w:pPr>
      <w:r>
        <w:t>Part 6: Strategy by interview type</w:t>
      </w:r>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Interview type</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Strategy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Behavioural</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Answer the question first. Use Hero Story. Name the trade off. Keep context to two sentences.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Failure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Open with the mistake. Own your part. Show recovery. Show permanent system change.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People leadership</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Diagnose skill versus will. Show coaching system, progress data, and capability created.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Influence without authority</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Name why you lacked authority, how you built the case, how trust existed before the ask, and the concrete outcome.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Programme and operations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Show dependency mapping, risk registers, pilots before scale, escalation with options, and measurable outcomes.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Data and analytical</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Show that you questioned the metric itself, verified methodology, and turned data into better decisions.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Technical programme management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Own the non technical PM role. You manage dependencies, scope, blockers, customer impact, and stakeholder alignment.</w:t>
            </w:r>
          </w:p>
        </w:tc>
      </w:tr>
    </w:tbl>
    <w:p>
      <w:pPr>
        <w:pStyle w:val="Heading1"/>
        <w:spacing w:before="240" w:after="100"/>
      </w:pPr>
      <w:r>
        <w:t>Part 7: Company research and targeting method</w:t>
      </w:r>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Research area</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Minimum standard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Role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Read the JD three times. Identify repeated requirements. Map two stories to each.</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Company news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Know recent strategy, product, market, leadership, and operational priorities.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Values and interview model</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AWS LPs, Meta impact and ambiguity, Google attributes, Pfizer process and risk discipline.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Team or business unit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Understand what the team owns, what success means, and what dependencies likely exist.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Interviewer if known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Review background to understand what dimension of your experience will resonate.</w:t>
            </w:r>
          </w:p>
        </w:tc>
      </w:tr>
    </w:tbl>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Company</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How to tailor</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AWS and Amazon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Leadership Principles, written debriefs, Bar Raiser follow ups, metric specificity, ownership, Dive Deep, Bias for Action, Deliver Results. For BaND: technical and non technical dependency leadership.</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Meta</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Move fast in ambiguity, impact at scale, data driven decisions, influence without authority, direct Meta account experience.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Google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General cognitive ability, leadership, role related knowledge, collaboration, ambiguity, emergent leadership, think aloud reasoning.</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Pfizer and regulated environments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Process discipline, risk management, quality standards, compliance adjacent SLA thinking, cross functional matrix leadership.</w:t>
            </w:r>
          </w:p>
        </w:tc>
      </w:tr>
    </w:tbl>
    <w:tbl>
      <w:tblPr>
        <w:tblW w:type="auto" w:w="0"/>
        <w:jc w:val="center"/>
        <w:tblLook w:firstColumn="1" w:firstRow="1" w:lastColumn="0" w:lastRow="0" w:noHBand="0" w:noVBand="1" w:val="04A0"/>
      </w:tblPr>
      <w:tblGrid>
        <w:gridCol w:w="10224"/>
      </w:tblGrid>
      <w:tr>
        <w:tc>
          <w:tcPr>
            <w:tcW w:type="dxa" w:w="10224"/>
            <w:shd w:fill="FEF9C3"/>
            <w:tcBorders>
              <w:top w:val="single" w:sz="8" w:space="0" w:color="92400E"/>
              <w:left w:val="single" w:sz="8" w:space="0" w:color="92400E"/>
              <w:bottom w:val="single" w:sz="8" w:space="0" w:color="92400E"/>
              <w:right w:val="single" w:sz="8" w:space="0" w:color="92400E"/>
              <w:insideH w:val="single" w:sz="8" w:space="0" w:color="92400E"/>
              <w:insideV w:val="single" w:sz="8" w:space="0" w:color="92400E"/>
            </w:tcBorders>
            <w:vAlign w:val="center"/>
          </w:tcPr>
          <w:p>
            <w:pPr>
              <w:spacing w:after="0"/>
            </w:pPr>
            <w:r>
              <w:rPr>
                <w:b/>
                <w:i w:val="0"/>
                <w:color w:val="92400E"/>
              </w:rPr>
              <w:t xml:space="preserve">WHY THIS ROLE FORMULA: </w:t>
            </w:r>
            <w:r>
              <w:rPr>
                <w:b w:val="0"/>
                <w:i w:val="0"/>
              </w:rPr>
              <w:t>Part one: what is unique about the company. Part two: why this role scope matters. Part three: the specific match between their need and your evidence.</w:t>
            </w:r>
          </w:p>
        </w:tc>
      </w:tr>
    </w:tbl>
    <w:p/>
    <w:p>
      <w:pPr>
        <w:pStyle w:val="Heading1"/>
        <w:spacing w:before="240" w:after="100"/>
      </w:pPr>
      <w:r>
        <w:t>Part 8: Preparation workflows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Phase</w:t>
            </w:r>
          </w:p>
        </w:tc>
        <w:tc>
          <w:tcPr>
            <w:tcW w:type="dxa" w:w="3408"/>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Goal</w:t>
            </w:r>
          </w:p>
        </w:tc>
        <w:tc>
          <w:tcPr>
            <w:tcW w:type="dxa" w:w="3408"/>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Daily output</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Foundation</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Body regulation and trigger phrase installation.</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Calm system, trigger phrases from memory.</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Story bank</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Each story recalled from trigger phrase within three seconds.</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90 second spoken story with result first.</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Structure</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Direct answer first, I language, trade off, result squared.</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Answers under time without rambling.</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Pressure</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Timed mocks, Bar Raiser follow ups, freeze drills.</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Composure under interruption and challenge.</w:t>
            </w:r>
          </w:p>
        </w:tc>
      </w:tr>
    </w:tbl>
    <w:p>
      <w:pPr>
        <w:pStyle w:val="Heading2"/>
        <w:spacing w:before="160" w:after="100"/>
      </w:pPr>
      <w:r>
        <w:t>Fourteen day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Days</w:t>
            </w:r>
          </w:p>
        </w:tc>
        <w:tc>
          <w:tcPr>
            <w:tcW w:type="dxa" w:w="3408"/>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Focus</w:t>
            </w:r>
          </w:p>
        </w:tc>
        <w:tc>
          <w:tcPr>
            <w:tcW w:type="dxa" w:w="3408"/>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What to do</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1 to 2</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Foundation</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Open posture, breath work, activation statement, all trigger phrases, stories 1 to 4 first sentence only.</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3 to 5</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Story bank</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Drill four stories per day out loud. Tell each in 90 seconds from trigger only.</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6 to 8</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Answer architecture</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Practise Tell me about yourself, why company, strengths, weakness, failure, process, data. Score result first and trade off.</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9 to 11</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Pressure</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Timed mock answers. Add follow ups: what exactly did you do, why that choice, what would you change?</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12 to 13</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Weak spots</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Identify two weakest questions and one weakest story. Drill each three times.</w:t>
            </w:r>
          </w:p>
        </w:tc>
      </w:tr>
      <w:tr>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14</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Final prep</w:t>
            </w:r>
          </w:p>
        </w:tc>
        <w:tc>
          <w:tcPr>
            <w:tcW w:type="dxa" w:w="340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Trigger pass only, body protocol, three questions to ask, no new material. Trust the work.</w:t>
            </w:r>
          </w:p>
        </w:tc>
      </w:tr>
    </w:tbl>
    <w:p>
      <w:pPr>
        <w:pStyle w:val="Heading2"/>
        <w:spacing w:before="160" w:after="100"/>
      </w:pPr>
      <w:r>
        <w:t>Thirty day extension</w:t>
      </w:r>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Week</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Focus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Week 1</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Foundation and trigger phrases, 60 minutes daily.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Week 2</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Structure, senior language, freeze drills, 75 minutes daily.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Week 3</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Pressure and company adaptation, 90 minutes daily.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Week 4</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Full mocks, hardest questions, final readiness, 90 minutes daily.</w:t>
            </w:r>
          </w:p>
        </w:tc>
      </w:tr>
    </w:tbl>
    <w:p>
      <w:pPr>
        <w:pStyle w:val="Heading2"/>
        <w:spacing w:before="160" w:after="100"/>
      </w:pPr>
      <w:r>
        <w:t>Mode B pressure scoring</w:t>
      </w:r>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Rule</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Why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Answer within three seconds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Trains real interview retrieval. Use verbal bridge if needed.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Score five dimensions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Clarity, specificity, ownership language, composure, senior signal.</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Never apologise or restart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Recover like a senior person. Continue.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Practise freeze deliberately</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Recovery is a skill, not a lucky reaction.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End on a strong answer</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The last repetition is what your brain encodes.</w:t>
            </w:r>
          </w:p>
        </w:tc>
      </w:tr>
    </w:tbl>
    <w:p>
      <w:pPr>
        <w:pStyle w:val="Heading1"/>
        <w:spacing w:before="240" w:after="100"/>
      </w:pPr>
      <w:r>
        <w:t>Part 9: Checklists</w:t>
      </w:r>
    </w:p>
    <w:p>
      <w:pPr>
        <w:pStyle w:val="Heading2"/>
        <w:spacing w:before="160" w:after="100"/>
      </w:pPr>
      <w:r>
        <w:t>Week before</w:t>
      </w:r>
    </w:p>
    <w:p>
      <w:pPr>
        <w:pStyle w:val="ListBullet"/>
        <w:spacing w:after="40"/>
      </w:pPr>
      <w:r>
        <w:t>Research company priorities, role requirements, team scope, and interviewer background if available.</w:t>
      </w:r>
    </w:p>
    <w:p>
      <w:pPr>
        <w:pStyle w:val="ListBullet"/>
        <w:spacing w:after="40"/>
      </w:pPr>
      <w:r>
        <w:t>Map each role requirement to two stories.</w:t>
      </w:r>
    </w:p>
    <w:p>
      <w:pPr>
        <w:pStyle w:val="ListBullet"/>
        <w:spacing w:after="40"/>
      </w:pPr>
      <w:r>
        <w:t>Prepare three questions to ask.</w:t>
      </w:r>
    </w:p>
    <w:p>
      <w:pPr>
        <w:pStyle w:val="ListBullet"/>
        <w:spacing w:after="40"/>
      </w:pPr>
      <w:r>
        <w:t>Practise all trigger phrases daily out loud.</w:t>
      </w:r>
    </w:p>
    <w:p>
      <w:pPr>
        <w:pStyle w:val="ListBullet"/>
        <w:spacing w:after="40"/>
      </w:pPr>
      <w:r>
        <w:t>Clarify any gaps before using those details.</w:t>
      </w:r>
    </w:p>
    <w:p>
      <w:pPr>
        <w:pStyle w:val="Heading2"/>
        <w:spacing w:before="160" w:after="100"/>
      </w:pPr>
      <w:r>
        <w:t>Night before</w:t>
      </w:r>
    </w:p>
    <w:p>
      <w:pPr>
        <w:pStyle w:val="ListBullet"/>
        <w:spacing w:after="40"/>
      </w:pPr>
      <w:r>
        <w:t>Read only the quick reference, not the full documents.</w:t>
      </w:r>
    </w:p>
    <w:p>
      <w:pPr>
        <w:pStyle w:val="ListBullet"/>
        <w:spacing w:after="40"/>
      </w:pPr>
      <w:r>
        <w:t>Say trigger phrases once.</w:t>
      </w:r>
    </w:p>
    <w:p>
      <w:pPr>
        <w:pStyle w:val="ListBullet"/>
        <w:spacing w:after="40"/>
      </w:pPr>
      <w:r>
        <w:t>Say Tell me about yourself once.</w:t>
      </w:r>
    </w:p>
    <w:p>
      <w:pPr>
        <w:pStyle w:val="ListBullet"/>
        <w:spacing w:after="40"/>
      </w:pPr>
      <w:r>
        <w:t>Prepare logistics, outfit, route, and materials.</w:t>
      </w:r>
    </w:p>
    <w:p>
      <w:pPr>
        <w:pStyle w:val="ListBullet"/>
        <w:spacing w:after="40"/>
      </w:pPr>
      <w:r>
        <w:t>Sleep. Rest is preparation.</w:t>
      </w:r>
    </w:p>
    <w:p>
      <w:pPr>
        <w:pStyle w:val="Heading2"/>
        <w:spacing w:before="160" w:after="100"/>
      </w:pPr>
      <w:r>
        <w:t>Day of interview</w:t>
      </w:r>
    </w:p>
    <w:p>
      <w:pPr>
        <w:pStyle w:val="ListBullet"/>
        <w:spacing w:after="40"/>
      </w:pPr>
      <w:r>
        <w:t>Do not drill new material.</w:t>
      </w:r>
    </w:p>
    <w:p>
      <w:pPr>
        <w:pStyle w:val="ListBullet"/>
        <w:spacing w:after="40"/>
      </w:pPr>
      <w:r>
        <w:t>Run breath and posture protocol.</w:t>
      </w:r>
    </w:p>
    <w:p>
      <w:pPr>
        <w:pStyle w:val="ListBullet"/>
        <w:spacing w:after="40"/>
      </w:pPr>
      <w:r>
        <w:t>Say top three metrics once: 34%, 40 hours, 77% to 93%.</w:t>
      </w:r>
    </w:p>
    <w:p>
      <w:pPr>
        <w:pStyle w:val="ListBullet"/>
        <w:spacing w:after="40"/>
      </w:pPr>
      <w:r>
        <w:t>Say verbal bridge once.</w:t>
      </w:r>
    </w:p>
    <w:p>
      <w:pPr>
        <w:pStyle w:val="ListBullet"/>
        <w:spacing w:after="40"/>
      </w:pPr>
      <w:r>
        <w:t>Enter with partner frame.</w:t>
      </w:r>
    </w:p>
    <w:p>
      <w:pPr>
        <w:pStyle w:val="Heading2"/>
        <w:spacing w:before="160" w:after="100"/>
      </w:pPr>
      <w:r>
        <w:t>During interview</w:t>
      </w:r>
    </w:p>
    <w:p>
      <w:pPr>
        <w:pStyle w:val="ListBullet"/>
        <w:spacing w:after="40"/>
      </w:pPr>
      <w:r>
        <w:t>Answer first, context second.</w:t>
      </w:r>
    </w:p>
    <w:p>
      <w:pPr>
        <w:pStyle w:val="ListBullet"/>
        <w:spacing w:after="40"/>
      </w:pPr>
      <w:r>
        <w:t>Pause before answering.</w:t>
      </w:r>
    </w:p>
    <w:p>
      <w:pPr>
        <w:pStyle w:val="ListBullet"/>
        <w:spacing w:after="40"/>
      </w:pPr>
      <w:r>
        <w:t>Use I for your decisions.</w:t>
      </w:r>
    </w:p>
    <w:p>
      <w:pPr>
        <w:pStyle w:val="ListBullet"/>
        <w:spacing w:after="40"/>
      </w:pPr>
      <w:r>
        <w:t>Name the trade off.</w:t>
      </w:r>
    </w:p>
    <w:p>
      <w:pPr>
        <w:pStyle w:val="ListBullet"/>
        <w:spacing w:after="40"/>
      </w:pPr>
      <w:r>
        <w:t>When interrupted, let them finish, then return to the point.</w:t>
      </w:r>
    </w:p>
    <w:p>
      <w:pPr>
        <w:pStyle w:val="Heading2"/>
        <w:spacing w:before="160" w:after="100"/>
      </w:pPr>
      <w:r>
        <w:t>After interview</w:t>
      </w:r>
    </w:p>
    <w:p>
      <w:pPr>
        <w:pStyle w:val="ListBullet"/>
        <w:spacing w:after="40"/>
      </w:pPr>
      <w:r>
        <w:t>Write down questions asked and your answers.</w:t>
      </w:r>
    </w:p>
    <w:p>
      <w:pPr>
        <w:pStyle w:val="ListBullet"/>
        <w:spacing w:after="40"/>
      </w:pPr>
      <w:r>
        <w:t>Note what broke down: structure, content, or composure.</w:t>
      </w:r>
    </w:p>
    <w:p>
      <w:pPr>
        <w:pStyle w:val="ListBullet"/>
        <w:spacing w:after="40"/>
      </w:pPr>
      <w:r>
        <w:t>Send a short follow up if appropriate.</w:t>
      </w:r>
    </w:p>
    <w:p>
      <w:pPr>
        <w:pStyle w:val="ListBullet"/>
        <w:spacing w:after="40"/>
      </w:pPr>
      <w:r>
        <w:t>Update practice list from real interview data.</w:t>
      </w:r>
    </w:p>
    <w:p>
      <w:pPr>
        <w:pStyle w:val="Heading1"/>
        <w:spacing w:before="240" w:after="100"/>
      </w:pPr>
      <w:r>
        <w:t>Part 10: Common mistakes to avoid</w:t>
      </w:r>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Mistake</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Replacement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Opening with context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Open with the result or decision.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Using we for your contribution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Use I for your decision, then name collaboration.</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Metric without context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Name baseline, constraint, timeline, and result squared.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Generic lesson</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Name the permanent system change.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Apologising for gap or pause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Frame the gap as investment and the pause as thinking.</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Rising intonation on results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Voice lands downward on every metric.</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Describing activity instead of impact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Compress actions and expand outcomes.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Not asking strong questions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Ask questions about success, failure modes, ownership, and cross functional challenges.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Memorising scripts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Memorise stages and trigger phrases. Own the ideas.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Breaking partner frame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Do not ask for approval. Present evidence.</w:t>
            </w:r>
          </w:p>
        </w:tc>
      </w:tr>
    </w:tbl>
    <w:p>
      <w:pPr>
        <w:pStyle w:val="Heading2"/>
        <w:spacing w:before="160" w:after="100"/>
      </w:pPr>
      <w:r>
        <w:t>Language precision table</w:t>
      </w:r>
    </w:p>
    <w:tbl>
      <w:tblPr>
        <w:tblStyle w:val="TableGrid"/>
        <w:tblW w:type="auto" w:w="0"/>
        <w:jc w:val="center"/>
        <w:tblLook w:firstColumn="1" w:firstRow="1" w:lastColumn="0" w:lastRow="0" w:noHBand="0" w:noVBand="1" w:val="04A0"/>
      </w:tblPr>
      <w:tblGrid>
        <w:gridCol w:w="5112"/>
        <w:gridCol w:w="5112"/>
      </w:tblGrid>
      <w:tr>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Avoid</w:t>
            </w:r>
          </w:p>
        </w:tc>
        <w:tc>
          <w:tcPr>
            <w:tcW w:type="dxa" w:w="5112"/>
            <w:shd w:fill="0D21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r>
              <w:rPr>
                <w:b/>
                <w:color w:val="FFFFFF"/>
                <w:sz w:val="17"/>
              </w:rPr>
              <w:t>Use</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 worked on the process</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 redesigned the process because the routing step was the root constraint.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We decided</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made the call, and here is why.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 helped with the rollout</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 owned the rollout and was accountable for delivery.</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The project went well</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The work produced a measurable outcome and a second order benefit.</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 learned to communicate better</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 now complete a written risk assessment before agreeing to major proposals.</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was quite junior</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rFonts w:ascii="Aptos" w:hAnsi="Aptos"/>
                <w:sz w:val="17"/>
              </w:rPr>
              <w:t>I had not done this at that scope before. I assessed the risk and proceeded.</w:t>
            </w:r>
          </w:p>
        </w:tc>
      </w:tr>
      <w:tr>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Does that make sense</w:t>
            </w:r>
          </w:p>
        </w:tc>
        <w:tc>
          <w:tcPr>
            <w:tcW w:type="dxa" w:w="51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8FAFC"/>
          </w:tcPr>
          <w:p>
            <w:pPr>
              <w:spacing w:after="0"/>
            </w:pPr>
            <w:r>
              <w:rPr>
                <w:rFonts w:ascii="Aptos" w:hAnsi="Aptos"/>
                <w:sz w:val="17"/>
              </w:rPr>
              <w:t>I can go deeper on the dependency piece if useful.</w:t>
            </w:r>
          </w:p>
        </w:tc>
      </w:tr>
    </w:tbl>
    <w:p>
      <w:pPr>
        <w:pStyle w:val="Heading1"/>
        <w:spacing w:before="240" w:after="100"/>
      </w:pPr>
      <w:r>
        <w:t>Part 11: High value insights</w:t>
      </w:r>
    </w:p>
    <w:p>
      <w:pPr>
        <w:pStyle w:val="ListBullet"/>
        <w:spacing w:after="40"/>
      </w:pPr>
      <w:r>
        <w:t>Most operational problems are not volume problems. They are design problems.</w:t>
      </w:r>
    </w:p>
    <w:p>
      <w:pPr>
        <w:pStyle w:val="ListBullet"/>
        <w:spacing w:after="40"/>
      </w:pPr>
      <w:r>
        <w:t>Do not optimise activity. Fix the structure.</w:t>
      </w:r>
    </w:p>
    <w:p>
      <w:pPr>
        <w:pStyle w:val="ListBullet"/>
        <w:spacing w:after="40"/>
      </w:pPr>
      <w:r>
        <w:t>The right diagnosis is worth more than the fastest fix.</w:t>
      </w:r>
    </w:p>
    <w:p>
      <w:pPr>
        <w:pStyle w:val="ListBullet"/>
        <w:spacing w:after="40"/>
      </w:pPr>
      <w:r>
        <w:t>The most dangerous number in operations is one that looks fine but is measured incorrectly.</w:t>
      </w:r>
    </w:p>
    <w:p>
      <w:pPr>
        <w:pStyle w:val="ListBullet"/>
        <w:spacing w:after="40"/>
      </w:pPr>
      <w:r>
        <w:t>Data opens the door. Trust gets you through it.</w:t>
      </w:r>
    </w:p>
    <w:p>
      <w:pPr>
        <w:pStyle w:val="ListBullet"/>
        <w:spacing w:after="40"/>
      </w:pPr>
      <w:r>
        <w:t>Most stakeholder resistance contains a legitimate concern underneath it.</w:t>
      </w:r>
    </w:p>
    <w:p>
      <w:pPr>
        <w:pStyle w:val="ListBullet"/>
        <w:spacing w:after="40"/>
      </w:pPr>
      <w:r>
        <w:t>The best risk conversation happens before the risk is visible.</w:t>
      </w:r>
    </w:p>
    <w:p>
      <w:pPr>
        <w:pStyle w:val="ListBullet"/>
        <w:spacing w:after="40"/>
      </w:pPr>
      <w:r>
        <w:t>A compromise means two things done poorly. A decision means one thing done well.</w:t>
      </w:r>
    </w:p>
    <w:p>
      <w:pPr>
        <w:pStyle w:val="ListBullet"/>
        <w:spacing w:after="40"/>
      </w:pPr>
      <w:r>
        <w:t>The best managers make themselves less necessary by building capability around them.</w:t>
      </w:r>
    </w:p>
    <w:p>
      <w:pPr>
        <w:pStyle w:val="ListBullet"/>
        <w:spacing w:after="40"/>
      </w:pPr>
      <w:r>
        <w:t>Technical expertise and programme leadership are different jobs.</w:t>
      </w:r>
    </w:p>
    <w:p>
      <w:pPr>
        <w:pStyle w:val="ListBullet"/>
        <w:spacing w:after="40"/>
      </w:pPr>
      <w:r>
        <w:t>A no is data. It may mean this fit is not the right application of your capability.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213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D4ED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F4C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D21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