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PyCity Schools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highest performing schools based on the overall percentage of students that passed both reading and math were Charter schools and the lowest performing schools based on the same criteria were District schools.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Based on the data that analyzes the breakdown of overall passing and the size of the school, the highest performing schools were small and medium sized schools while the larger schools had the lower number of students passing.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