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92D92" w14:textId="77777777" w:rsidR="00CD05E1" w:rsidRDefault="00000000">
      <w:pPr>
        <w:spacing w:before="120" w:after="80"/>
      </w:pPr>
      <w:r>
        <w:rPr>
          <w:b/>
          <w:bCs/>
          <w:color w:val="1F4E79"/>
          <w:sz w:val="36"/>
          <w:szCs w:val="36"/>
        </w:rPr>
        <w:t>Panel Regression Results</w:t>
      </w:r>
    </w:p>
    <w:p w14:paraId="5F3E73D8" w14:textId="7544DBF0" w:rsidR="00CD05E1" w:rsidRDefault="00000000" w:rsidP="007A1AB7">
      <w:pPr>
        <w:spacing w:after="40"/>
      </w:pPr>
      <w:r>
        <w:rPr>
          <w:i/>
          <w:iCs/>
          <w:color w:val="2E75B6"/>
          <w:sz w:val="26"/>
          <w:szCs w:val="26"/>
        </w:rPr>
        <w:t>AI Language in Earnings Calls and Stock Returns</w:t>
      </w:r>
      <w:r>
        <w:rPr>
          <w:sz w:val="30"/>
          <w:szCs w:val="30"/>
        </w:rPr>
        <w:t xml:space="preserve"> </w:t>
      </w:r>
    </w:p>
    <w:p w14:paraId="79EF0898" w14:textId="77777777" w:rsidR="00CD05E1" w:rsidRDefault="00000000">
      <w:pPr>
        <w:pBdr>
          <w:bottom w:val="single" w:sz="6" w:space="4" w:color="2E75B6"/>
        </w:pBdr>
        <w:spacing w:before="280" w:after="100"/>
      </w:pPr>
      <w:r>
        <w:rPr>
          <w:b/>
          <w:bCs/>
          <w:color w:val="1F4E79"/>
          <w:sz w:val="24"/>
          <w:szCs w:val="24"/>
        </w:rPr>
        <w:t>1. Overview</w:t>
      </w:r>
    </w:p>
    <w:p w14:paraId="6229BB55" w14:textId="2255B2AF" w:rsidR="00CD05E1" w:rsidRDefault="00000000">
      <w:pPr>
        <w:spacing w:after="160"/>
        <w:jc w:val="both"/>
      </w:pPr>
      <w:r>
        <w:rPr>
          <w:color w:val="000000"/>
        </w:rPr>
        <w:t xml:space="preserve">This </w:t>
      </w:r>
      <w:r w:rsidR="007A1AB7">
        <w:rPr>
          <w:color w:val="000000"/>
        </w:rPr>
        <w:t>document</w:t>
      </w:r>
      <w:r>
        <w:rPr>
          <w:color w:val="000000"/>
        </w:rPr>
        <w:t xml:space="preserve"> summarises the results of a panel linear regression analysis examining whether AI-related language in S&amp;P 100 earnings call transcripts predicts abnormal stock returns. Two dependent variables are used: the </w:t>
      </w:r>
      <w:r w:rsidRPr="007A1AB7">
        <w:rPr>
          <w:b/>
          <w:bCs/>
          <w:i/>
          <w:iCs/>
          <w:color w:val="000000"/>
        </w:rPr>
        <w:t>short-run cumulative abnormal return over the event window [-1, +3] (CAR)</w:t>
      </w:r>
      <w:r>
        <w:rPr>
          <w:color w:val="000000"/>
        </w:rPr>
        <w:t xml:space="preserve"> and a </w:t>
      </w:r>
      <w:r w:rsidRPr="007A1AB7">
        <w:rPr>
          <w:b/>
          <w:bCs/>
          <w:i/>
          <w:iCs/>
          <w:color w:val="000000"/>
        </w:rPr>
        <w:t>long-run abnormal return measured from the call date to the next quarterly call</w:t>
      </w:r>
      <w:r>
        <w:rPr>
          <w:color w:val="000000"/>
        </w:rPr>
        <w:t xml:space="preserve">. Four semantic regressors are tested across three transcript segments (full transcript, presentation, and Q&amp;A): </w:t>
      </w:r>
      <w:r w:rsidRPr="007A1AB7">
        <w:rPr>
          <w:i/>
          <w:iCs/>
          <w:color w:val="000000"/>
        </w:rPr>
        <w:t>AI-core intensity, AI-adjacent intensity, LM net tone, and LM uncertainty density</w:t>
      </w:r>
      <w:r>
        <w:rPr>
          <w:color w:val="000000"/>
        </w:rPr>
        <w:t>. All models use two-way fixed effects (firm and calendar-quarter) with firm-clustered HC1 standard errors. The Hausman test rejects random effects in favour of fixed effects across all specifications (p &lt; 0.05 in every model), validating the estimation approach.</w:t>
      </w:r>
    </w:p>
    <w:p w14:paraId="76049F57" w14:textId="77777777" w:rsidR="00CD05E1" w:rsidRDefault="00000000">
      <w:pPr>
        <w:pBdr>
          <w:bottom w:val="single" w:sz="6" w:space="4" w:color="2E75B6"/>
        </w:pBdr>
        <w:spacing w:before="280" w:after="100"/>
      </w:pPr>
      <w:r>
        <w:rPr>
          <w:b/>
          <w:bCs/>
          <w:color w:val="1F4E79"/>
          <w:sz w:val="24"/>
          <w:szCs w:val="24"/>
        </w:rPr>
        <w:t>2. Key Results — Two-Way Fixed Effects</w:t>
      </w:r>
    </w:p>
    <w:p w14:paraId="2A61C94A" w14:textId="77777777" w:rsidR="00CD05E1" w:rsidRDefault="00000000">
      <w:pPr>
        <w:spacing w:after="160"/>
        <w:jc w:val="both"/>
      </w:pPr>
      <w:r>
        <w:rPr>
          <w:color w:val="000000"/>
        </w:rPr>
        <w:t>The table below summarises the main coefficient estimates for the two-way FE specification across both return horizons and the total and Q&amp;A segments.</w:t>
      </w:r>
    </w:p>
    <w:p w14:paraId="0473D8F4" w14:textId="77777777" w:rsidR="00CD05E1" w:rsidRDefault="00000000">
      <w:r>
        <w:rPr>
          <w:sz w:val="12"/>
          <w:szCs w:val="1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90"/>
        <w:gridCol w:w="1790"/>
        <w:gridCol w:w="1790"/>
        <w:gridCol w:w="1790"/>
      </w:tblGrid>
      <w:tr w:rsidR="00CD05E1" w14:paraId="3A5BD618"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56BD8A" w14:textId="77777777" w:rsidR="00CD05E1" w:rsidRDefault="00000000">
            <w:r>
              <w:rPr>
                <w:b/>
                <w:bCs/>
                <w:color w:val="FFFFFF"/>
                <w:sz w:val="19"/>
                <w:szCs w:val="19"/>
              </w:rPr>
              <w:t>Variable</w:t>
            </w:r>
          </w:p>
        </w:tc>
        <w:tc>
          <w:tcPr>
            <w:tcW w:w="179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9B23A1C" w14:textId="77777777" w:rsidR="00CD05E1" w:rsidRDefault="00000000">
            <w:pPr>
              <w:jc w:val="center"/>
            </w:pPr>
            <w:r>
              <w:rPr>
                <w:b/>
                <w:bCs/>
                <w:color w:val="FFFFFF"/>
                <w:sz w:val="19"/>
                <w:szCs w:val="19"/>
              </w:rPr>
              <w:t>Short-run (Total)</w:t>
            </w:r>
          </w:p>
        </w:tc>
        <w:tc>
          <w:tcPr>
            <w:tcW w:w="179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6C426D" w14:textId="77777777" w:rsidR="00CD05E1" w:rsidRDefault="00000000">
            <w:pPr>
              <w:jc w:val="center"/>
            </w:pPr>
            <w:r>
              <w:rPr>
                <w:b/>
                <w:bCs/>
                <w:color w:val="FFFFFF"/>
                <w:sz w:val="19"/>
                <w:szCs w:val="19"/>
              </w:rPr>
              <w:t>Short-run (Q&amp;A)</w:t>
            </w:r>
          </w:p>
        </w:tc>
        <w:tc>
          <w:tcPr>
            <w:tcW w:w="179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3D2BFB" w14:textId="77777777" w:rsidR="00CD05E1" w:rsidRDefault="00000000">
            <w:pPr>
              <w:jc w:val="center"/>
            </w:pPr>
            <w:r>
              <w:rPr>
                <w:b/>
                <w:bCs/>
                <w:color w:val="FFFFFF"/>
                <w:sz w:val="19"/>
                <w:szCs w:val="19"/>
              </w:rPr>
              <w:t>Long-run (Total)</w:t>
            </w:r>
          </w:p>
        </w:tc>
        <w:tc>
          <w:tcPr>
            <w:tcW w:w="179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6CD3AF6" w14:textId="77777777" w:rsidR="00CD05E1" w:rsidRDefault="00000000">
            <w:pPr>
              <w:jc w:val="center"/>
            </w:pPr>
            <w:r>
              <w:rPr>
                <w:b/>
                <w:bCs/>
                <w:color w:val="FFFFFF"/>
                <w:sz w:val="19"/>
                <w:szCs w:val="19"/>
              </w:rPr>
              <w:t>Long-run (Q&amp;A)</w:t>
            </w:r>
          </w:p>
        </w:tc>
      </w:tr>
      <w:tr w:rsidR="00CD05E1" w14:paraId="31251BE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3131C1" w14:textId="77777777" w:rsidR="00CD05E1" w:rsidRDefault="00000000">
            <w:r>
              <w:rPr>
                <w:color w:val="000000"/>
                <w:sz w:val="19"/>
                <w:szCs w:val="19"/>
              </w:rPr>
              <w:t>AI core / 1,000</w:t>
            </w:r>
          </w:p>
        </w:tc>
        <w:tc>
          <w:tcPr>
            <w:tcW w:w="179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4EAD8E" w14:textId="77777777" w:rsidR="00CD05E1" w:rsidRDefault="00000000">
            <w:pPr>
              <w:jc w:val="center"/>
            </w:pPr>
            <w:r>
              <w:rPr>
                <w:color w:val="000000"/>
                <w:sz w:val="19"/>
                <w:szCs w:val="19"/>
              </w:rPr>
              <w:t>0.0002</w:t>
            </w:r>
          </w:p>
        </w:tc>
        <w:tc>
          <w:tcPr>
            <w:tcW w:w="179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64DE67" w14:textId="77777777" w:rsidR="00CD05E1" w:rsidRDefault="00000000">
            <w:pPr>
              <w:jc w:val="center"/>
            </w:pPr>
            <w:r>
              <w:rPr>
                <w:color w:val="000000"/>
                <w:sz w:val="19"/>
                <w:szCs w:val="19"/>
              </w:rPr>
              <w:t>0.0002</w:t>
            </w:r>
          </w:p>
        </w:tc>
        <w:tc>
          <w:tcPr>
            <w:tcW w:w="179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B4E9A3" w14:textId="77777777" w:rsidR="00CD05E1" w:rsidRDefault="00000000">
            <w:pPr>
              <w:jc w:val="center"/>
            </w:pPr>
            <w:r>
              <w:rPr>
                <w:b/>
                <w:bCs/>
                <w:color w:val="1F4E79"/>
                <w:sz w:val="19"/>
                <w:szCs w:val="19"/>
              </w:rPr>
              <w:t>0.0049**</w:t>
            </w:r>
          </w:p>
        </w:tc>
        <w:tc>
          <w:tcPr>
            <w:tcW w:w="179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73F259" w14:textId="77777777" w:rsidR="00CD05E1" w:rsidRDefault="00000000">
            <w:pPr>
              <w:jc w:val="center"/>
            </w:pPr>
            <w:r>
              <w:rPr>
                <w:b/>
                <w:bCs/>
                <w:color w:val="1F4E79"/>
                <w:sz w:val="19"/>
                <w:szCs w:val="19"/>
              </w:rPr>
              <w:t>0.0054***</w:t>
            </w:r>
          </w:p>
        </w:tc>
      </w:tr>
      <w:tr w:rsidR="00CD05E1" w14:paraId="556F9A1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77ABF8AE" w14:textId="77777777" w:rsidR="00CD05E1" w:rsidRDefault="00000000">
            <w:r>
              <w:rPr>
                <w:color w:val="000000"/>
                <w:sz w:val="19"/>
                <w:szCs w:val="19"/>
              </w:rPr>
              <w:t>AI adjacent / 1,000</w:t>
            </w:r>
          </w:p>
        </w:tc>
        <w:tc>
          <w:tcPr>
            <w:tcW w:w="179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1B7018E9" w14:textId="77777777" w:rsidR="00CD05E1" w:rsidRDefault="00000000">
            <w:pPr>
              <w:jc w:val="center"/>
            </w:pPr>
            <w:r>
              <w:rPr>
                <w:color w:val="000000"/>
                <w:sz w:val="19"/>
                <w:szCs w:val="19"/>
              </w:rPr>
              <w:t>−0.0000</w:t>
            </w:r>
          </w:p>
        </w:tc>
        <w:tc>
          <w:tcPr>
            <w:tcW w:w="179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36785320" w14:textId="77777777" w:rsidR="00CD05E1" w:rsidRDefault="00000000">
            <w:pPr>
              <w:jc w:val="center"/>
            </w:pPr>
            <w:r>
              <w:rPr>
                <w:color w:val="000000"/>
                <w:sz w:val="19"/>
                <w:szCs w:val="19"/>
              </w:rPr>
              <w:t>0.0010</w:t>
            </w:r>
          </w:p>
        </w:tc>
        <w:tc>
          <w:tcPr>
            <w:tcW w:w="179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4119BA1B" w14:textId="77777777" w:rsidR="00CD05E1" w:rsidRDefault="00000000">
            <w:pPr>
              <w:jc w:val="center"/>
            </w:pPr>
            <w:r>
              <w:rPr>
                <w:color w:val="000000"/>
                <w:sz w:val="19"/>
                <w:szCs w:val="19"/>
              </w:rPr>
              <w:t>0.0068</w:t>
            </w:r>
          </w:p>
        </w:tc>
        <w:tc>
          <w:tcPr>
            <w:tcW w:w="179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13058297" w14:textId="77777777" w:rsidR="00CD05E1" w:rsidRDefault="00000000">
            <w:pPr>
              <w:jc w:val="center"/>
            </w:pPr>
            <w:r>
              <w:rPr>
                <w:color w:val="000000"/>
                <w:sz w:val="19"/>
                <w:szCs w:val="19"/>
              </w:rPr>
              <w:t>0.0058</w:t>
            </w:r>
          </w:p>
        </w:tc>
      </w:tr>
      <w:tr w:rsidR="00CD05E1" w14:paraId="513FD6C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77703F" w14:textId="77777777" w:rsidR="00CD05E1" w:rsidRDefault="00000000">
            <w:r>
              <w:rPr>
                <w:color w:val="000000"/>
                <w:sz w:val="19"/>
                <w:szCs w:val="19"/>
              </w:rPr>
              <w:t>LM tone</w:t>
            </w:r>
          </w:p>
        </w:tc>
        <w:tc>
          <w:tcPr>
            <w:tcW w:w="179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19FF72" w14:textId="77777777" w:rsidR="00CD05E1" w:rsidRDefault="00000000">
            <w:pPr>
              <w:jc w:val="center"/>
            </w:pPr>
            <w:r>
              <w:rPr>
                <w:b/>
                <w:bCs/>
                <w:color w:val="1F4E79"/>
                <w:sz w:val="19"/>
                <w:szCs w:val="19"/>
              </w:rPr>
              <w:t>0.0822***</w:t>
            </w:r>
          </w:p>
        </w:tc>
        <w:tc>
          <w:tcPr>
            <w:tcW w:w="179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699B17" w14:textId="77777777" w:rsidR="00CD05E1" w:rsidRDefault="00000000">
            <w:pPr>
              <w:jc w:val="center"/>
            </w:pPr>
            <w:r>
              <w:rPr>
                <w:b/>
                <w:bCs/>
                <w:color w:val="1F4E79"/>
                <w:sz w:val="19"/>
                <w:szCs w:val="19"/>
              </w:rPr>
              <w:t>0.0563***</w:t>
            </w:r>
          </w:p>
        </w:tc>
        <w:tc>
          <w:tcPr>
            <w:tcW w:w="179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6FCA06" w14:textId="77777777" w:rsidR="00CD05E1" w:rsidRDefault="00000000">
            <w:pPr>
              <w:jc w:val="center"/>
            </w:pPr>
            <w:r>
              <w:rPr>
                <w:color w:val="000000"/>
                <w:sz w:val="19"/>
                <w:szCs w:val="19"/>
              </w:rPr>
              <w:t>0.0129</w:t>
            </w:r>
          </w:p>
        </w:tc>
        <w:tc>
          <w:tcPr>
            <w:tcW w:w="179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A62E03" w14:textId="77777777" w:rsidR="00CD05E1" w:rsidRDefault="00000000">
            <w:pPr>
              <w:jc w:val="center"/>
            </w:pPr>
            <w:r>
              <w:rPr>
                <w:color w:val="000000"/>
                <w:sz w:val="19"/>
                <w:szCs w:val="19"/>
              </w:rPr>
              <w:t>0.0179</w:t>
            </w:r>
          </w:p>
        </w:tc>
      </w:tr>
      <w:tr w:rsidR="00CD05E1" w14:paraId="1E1462B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1920224F" w14:textId="77777777" w:rsidR="00CD05E1" w:rsidRDefault="00000000">
            <w:r>
              <w:rPr>
                <w:color w:val="000000"/>
                <w:sz w:val="19"/>
                <w:szCs w:val="19"/>
              </w:rPr>
              <w:t>LM uncertainty</w:t>
            </w:r>
          </w:p>
        </w:tc>
        <w:tc>
          <w:tcPr>
            <w:tcW w:w="179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0D0EE25" w14:textId="77777777" w:rsidR="00CD05E1" w:rsidRDefault="00000000">
            <w:pPr>
              <w:jc w:val="center"/>
            </w:pPr>
            <w:r>
              <w:rPr>
                <w:color w:val="000000"/>
                <w:sz w:val="19"/>
                <w:szCs w:val="19"/>
              </w:rPr>
              <w:t>−2.3429</w:t>
            </w:r>
          </w:p>
        </w:tc>
        <w:tc>
          <w:tcPr>
            <w:tcW w:w="179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A4CB2D1" w14:textId="77777777" w:rsidR="00CD05E1" w:rsidRDefault="00000000">
            <w:pPr>
              <w:jc w:val="center"/>
            </w:pPr>
            <w:r>
              <w:rPr>
                <w:color w:val="000000"/>
                <w:sz w:val="19"/>
                <w:szCs w:val="19"/>
              </w:rPr>
              <w:t>−0.7436</w:t>
            </w:r>
          </w:p>
        </w:tc>
        <w:tc>
          <w:tcPr>
            <w:tcW w:w="179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1B74F0AB" w14:textId="77777777" w:rsidR="00CD05E1" w:rsidRDefault="00000000">
            <w:pPr>
              <w:jc w:val="center"/>
            </w:pPr>
            <w:r>
              <w:rPr>
                <w:color w:val="000000"/>
                <w:sz w:val="19"/>
                <w:szCs w:val="19"/>
              </w:rPr>
              <w:t>−2.5457</w:t>
            </w:r>
          </w:p>
        </w:tc>
        <w:tc>
          <w:tcPr>
            <w:tcW w:w="179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70418EE9" w14:textId="77777777" w:rsidR="00CD05E1" w:rsidRDefault="00000000">
            <w:pPr>
              <w:jc w:val="center"/>
            </w:pPr>
            <w:r>
              <w:rPr>
                <w:color w:val="000000"/>
                <w:sz w:val="19"/>
                <w:szCs w:val="19"/>
              </w:rPr>
              <w:t>−1.0454</w:t>
            </w:r>
          </w:p>
        </w:tc>
      </w:tr>
    </w:tbl>
    <w:p w14:paraId="0F1C4A92" w14:textId="77777777" w:rsidR="00CD05E1" w:rsidRDefault="00000000">
      <w:pPr>
        <w:spacing w:before="80" w:after="220"/>
      </w:pPr>
      <w:r>
        <w:rPr>
          <w:i/>
          <w:iCs/>
          <w:color w:val="595959"/>
          <w:sz w:val="17"/>
          <w:szCs w:val="17"/>
        </w:rPr>
        <w:t>Two-way FE (firm + calendar-quarter). Firm-clustered HC1 standard errors. Outcomes winsorised at 1st/99th percentile. *** p&lt;0.01, ** p&lt;0.05, * p&lt;0.1.</w:t>
      </w:r>
    </w:p>
    <w:p w14:paraId="4B658414" w14:textId="77777777" w:rsidR="00CD05E1" w:rsidRDefault="00000000">
      <w:pPr>
        <w:pBdr>
          <w:bottom w:val="single" w:sz="6" w:space="4" w:color="2E75B6"/>
        </w:pBdr>
        <w:spacing w:before="280" w:after="100"/>
      </w:pPr>
      <w:r>
        <w:rPr>
          <w:b/>
          <w:bCs/>
          <w:color w:val="1F4E79"/>
          <w:sz w:val="24"/>
          <w:szCs w:val="24"/>
        </w:rPr>
        <w:t>3. Assessment of H1 — Short-Term Effect</w:t>
      </w:r>
    </w:p>
    <w:p w14:paraId="1088C038" w14:textId="46488CBC" w:rsidR="00CD05E1" w:rsidRDefault="00000000">
      <w:pPr>
        <w:spacing w:after="160"/>
        <w:jc w:val="both"/>
      </w:pPr>
      <w:r>
        <w:rPr>
          <w:color w:val="000000"/>
        </w:rPr>
        <w:t>H1 is partially supported, though the mechanism differs from what was hypothesised. The expectation was that AI-related disclosure intensity would drive short-run returns, but it is LM tone</w:t>
      </w:r>
      <w:r w:rsidR="007A1AB7">
        <w:rPr>
          <w:color w:val="000000"/>
        </w:rPr>
        <w:t>,</w:t>
      </w:r>
      <w:r>
        <w:rPr>
          <w:color w:val="000000"/>
        </w:rPr>
        <w:t xml:space="preserve"> not AI </w:t>
      </w:r>
      <w:r w:rsidR="007A1AB7">
        <w:rPr>
          <w:color w:val="000000"/>
        </w:rPr>
        <w:t>dsclosure intensity,</w:t>
      </w:r>
      <w:r>
        <w:rPr>
          <w:color w:val="000000"/>
        </w:rPr>
        <w:t xml:space="preserve"> that does the heavy lifting in the short-run window.</w:t>
      </w:r>
    </w:p>
    <w:p w14:paraId="478060E1" w14:textId="68EEEDA2" w:rsidR="00CD05E1" w:rsidRDefault="00000000" w:rsidP="007A1AB7">
      <w:pPr>
        <w:spacing w:after="160"/>
        <w:jc w:val="both"/>
      </w:pPr>
      <w:r>
        <w:rPr>
          <w:color w:val="000000"/>
        </w:rPr>
        <w:t>LM net tone is positive and highly significant across all three transcript segments under the two-way FE specification: 0.0822 (total, p &lt; 0.01), 0.0341 (presentation, p &lt; 0.01), and 0.0563 (Q&amp;A, p &lt; 0.01). The consistency across segments strengthens confidence in this result. Economically, a 0.1-unit increase in net tone corresponds to roughly a 0.8 percentage point increase in the 5-day CAR</w:t>
      </w:r>
      <w:r w:rsidR="007A1AB7">
        <w:rPr>
          <w:color w:val="000000"/>
        </w:rPr>
        <w:t>,</w:t>
      </w:r>
      <w:r>
        <w:rPr>
          <w:color w:val="000000"/>
        </w:rPr>
        <w:t xml:space="preserve"> a meaningful magnitude given typical return variation around earnings events.</w:t>
      </w:r>
    </w:p>
    <w:p w14:paraId="23117241" w14:textId="7CF91079" w:rsidR="00CD05E1" w:rsidRDefault="00000000" w:rsidP="007A1AB7">
      <w:pPr>
        <w:pStyle w:val="Heading4"/>
      </w:pPr>
      <w:r>
        <w:rPr>
          <w:i w:val="0"/>
          <w:iCs w:val="0"/>
          <w:color w:val="000000"/>
        </w:rPr>
        <w:t>AI-core and AI-adjacent intensity, by contrast, are not significant for short-run returns in any specification. H1 is therefore</w:t>
      </w:r>
      <w:r w:rsidR="007A1AB7">
        <w:rPr>
          <w:i w:val="0"/>
          <w:iCs w:val="0"/>
          <w:color w:val="000000"/>
        </w:rPr>
        <w:t xml:space="preserve"> not entirely</w:t>
      </w:r>
      <w:r>
        <w:rPr>
          <w:i w:val="0"/>
          <w:iCs w:val="0"/>
          <w:color w:val="000000"/>
        </w:rPr>
        <w:t xml:space="preserve"> supported </w:t>
      </w:r>
      <w:r w:rsidR="007A1AB7">
        <w:rPr>
          <w:i w:val="0"/>
          <w:iCs w:val="0"/>
          <w:color w:val="000000"/>
        </w:rPr>
        <w:t>as the main active source for abnormla returns prediction</w:t>
      </w:r>
      <w:r>
        <w:rPr>
          <w:i w:val="0"/>
          <w:iCs w:val="0"/>
          <w:color w:val="000000"/>
        </w:rPr>
        <w:t xml:space="preserve"> is sentiment expressed in the call, not the </w:t>
      </w:r>
      <w:r w:rsidR="007A1AB7">
        <w:rPr>
          <w:i w:val="0"/>
          <w:iCs w:val="0"/>
          <w:color w:val="000000"/>
        </w:rPr>
        <w:t>disclosure</w:t>
      </w:r>
      <w:r>
        <w:rPr>
          <w:i w:val="0"/>
          <w:iCs w:val="0"/>
          <w:color w:val="000000"/>
        </w:rPr>
        <w:t xml:space="preserve"> </w:t>
      </w:r>
      <w:r w:rsidR="007A1AB7">
        <w:rPr>
          <w:i w:val="0"/>
          <w:iCs w:val="0"/>
          <w:color w:val="000000"/>
        </w:rPr>
        <w:t>intensity</w:t>
      </w:r>
      <w:r>
        <w:rPr>
          <w:i w:val="0"/>
          <w:iCs w:val="0"/>
          <w:color w:val="000000"/>
        </w:rPr>
        <w:t xml:space="preserve"> of AI keyword mentions.</w:t>
      </w:r>
    </w:p>
    <w:p w14:paraId="6F58EB45" w14:textId="77777777" w:rsidR="00CD05E1" w:rsidRDefault="00000000">
      <w:pPr>
        <w:pBdr>
          <w:bottom w:val="single" w:sz="6" w:space="4" w:color="2E75B6"/>
        </w:pBdr>
        <w:spacing w:before="280" w:after="100"/>
      </w:pPr>
      <w:r>
        <w:rPr>
          <w:b/>
          <w:bCs/>
          <w:color w:val="1F4E79"/>
          <w:sz w:val="24"/>
          <w:szCs w:val="24"/>
        </w:rPr>
        <w:t>5. Assessment of H2 — Long-Term Reversal</w:t>
      </w:r>
    </w:p>
    <w:p w14:paraId="4146B718" w14:textId="6FE6A833" w:rsidR="00CD05E1" w:rsidRDefault="00000000">
      <w:pPr>
        <w:spacing w:after="160"/>
        <w:jc w:val="both"/>
      </w:pPr>
      <w:r>
        <w:rPr>
          <w:color w:val="000000"/>
        </w:rPr>
        <w:t>H2 is not supported. The data do not show a weakening or reversal of the AI-disclosure effect over the long run. Instead, the long-run results reveal a qualitatively different pattern that is arguably more interesting: AI-core intensity</w:t>
      </w:r>
      <w:r w:rsidR="007A1AB7">
        <w:rPr>
          <w:color w:val="000000"/>
        </w:rPr>
        <w:t>,</w:t>
      </w:r>
      <w:r>
        <w:rPr>
          <w:color w:val="000000"/>
        </w:rPr>
        <w:t xml:space="preserve"> insignificant in the short run</w:t>
      </w:r>
      <w:r w:rsidR="007A1AB7">
        <w:rPr>
          <w:color w:val="000000"/>
        </w:rPr>
        <w:t>,</w:t>
      </w:r>
      <w:r>
        <w:rPr>
          <w:color w:val="000000"/>
        </w:rPr>
        <w:t xml:space="preserve"> becomes positive and significant over the long horizon.</w:t>
      </w:r>
    </w:p>
    <w:p w14:paraId="50EAE551" w14:textId="77777777" w:rsidR="00CD05E1" w:rsidRDefault="00000000">
      <w:pPr>
        <w:spacing w:after="160"/>
        <w:jc w:val="both"/>
      </w:pPr>
      <w:r>
        <w:rPr>
          <w:color w:val="000000"/>
        </w:rPr>
        <w:lastRenderedPageBreak/>
        <w:t>In the total-segment two-way FE model, AI-core intensity carries a coefficient of 0.0049 (p &lt; 0.05). The Q&amp;A segment produces the strongest result: 0.0054 (p &lt; 0.01). The Q&amp;A finding is particularly notable because analyst questions are unscripted, meaning AI mentions there are less likely to reflect prepared messaging and more likely to reflect genuine strategic engagement. LM tone, which dominated the short-run, is not significant in any long-run specification under fixed effects.</w:t>
      </w:r>
    </w:p>
    <w:p w14:paraId="5E6C26D8" w14:textId="77777777" w:rsidR="00CD05E1" w:rsidRDefault="00000000">
      <w:pPr>
        <w:spacing w:after="160"/>
        <w:jc w:val="both"/>
      </w:pPr>
      <w:r>
        <w:rPr>
          <w:color w:val="000000"/>
        </w:rPr>
        <w:t>Rather than a reversal, the results suggest two distinct channels operating at different time horizons: sentiment expressed in earnings calls drives immediate price reactions, while substantive AI content predicts longer-term value realisation. This is consistent with a framework in which the market partially incorporates tone on the day of the call but takes longer to price in the informational content of genuine AI engagement.</w:t>
      </w:r>
    </w:p>
    <w:p w14:paraId="761B252D" w14:textId="77777777" w:rsidR="00CD05E1" w:rsidRDefault="00000000">
      <w:pPr>
        <w:pBdr>
          <w:bottom w:val="single" w:sz="6" w:space="4" w:color="2E75B6"/>
        </w:pBdr>
        <w:spacing w:before="280" w:after="100"/>
      </w:pPr>
      <w:r>
        <w:rPr>
          <w:b/>
          <w:bCs/>
          <w:color w:val="1F4E79"/>
          <w:sz w:val="24"/>
          <w:szCs w:val="24"/>
        </w:rPr>
        <w:t>6. Additional Findings</w:t>
      </w:r>
    </w:p>
    <w:p w14:paraId="0A6E2118" w14:textId="77777777" w:rsidR="00CD05E1" w:rsidRDefault="00000000">
      <w:pPr>
        <w:spacing w:after="160"/>
        <w:jc w:val="both"/>
      </w:pPr>
      <w:r>
        <w:rPr>
          <w:b/>
          <w:bCs/>
          <w:color w:val="000000"/>
        </w:rPr>
        <w:t xml:space="preserve">AI-adjacent intensity is never significant </w:t>
      </w:r>
      <w:r>
        <w:rPr>
          <w:color w:val="000000"/>
        </w:rPr>
        <w:t>across any specification, segment, or return horizon. This is an informative null: broader AI-adjacent language does not carry return-predictive content. Only core, unambiguous AI mentions appear to be priced, which helps pre-empt the criticism that any positive result merely reflects firms signalling general technological enthusiasm.</w:t>
      </w:r>
    </w:p>
    <w:p w14:paraId="3DF83EDB" w14:textId="77777777" w:rsidR="00CD05E1" w:rsidRDefault="00000000">
      <w:pPr>
        <w:spacing w:after="160"/>
        <w:jc w:val="both"/>
      </w:pPr>
      <w:r>
        <w:rPr>
          <w:b/>
          <w:bCs/>
          <w:color w:val="000000"/>
        </w:rPr>
        <w:t xml:space="preserve">LM uncertainty is weakly negative </w:t>
      </w:r>
      <w:r>
        <w:rPr>
          <w:color w:val="000000"/>
        </w:rPr>
        <w:t>and only marginally significant in the presentation segment for the short-run outcome (−1.53, p &lt; 0.10 under two-way FE; −1.80, p &lt; 0.05 under firm FE only). The direction is theoretically coherent but the result is not robust enough to support strong claims.</w:t>
      </w:r>
    </w:p>
    <w:p w14:paraId="779026AE" w14:textId="77777777" w:rsidR="00CD05E1" w:rsidRDefault="00000000">
      <w:pPr>
        <w:pBdr>
          <w:bottom w:val="single" w:sz="6" w:space="4" w:color="2E75B6"/>
        </w:pBdr>
        <w:spacing w:before="280" w:after="100"/>
      </w:pPr>
      <w:r>
        <w:rPr>
          <w:b/>
          <w:bCs/>
          <w:color w:val="1F4E79"/>
          <w:sz w:val="24"/>
          <w:szCs w:val="24"/>
        </w:rPr>
        <w:t>7. Semiconductor Firm Segmentation</w:t>
      </w:r>
    </w:p>
    <w:p w14:paraId="7028DA38" w14:textId="7D8406B5" w:rsidR="00CD05E1" w:rsidRDefault="00000000">
      <w:pPr>
        <w:spacing w:after="160"/>
        <w:jc w:val="both"/>
      </w:pPr>
      <w:r>
        <w:rPr>
          <w:color w:val="000000"/>
        </w:rPr>
        <w:t>A key methodological concern in this study is that semiconductor and AI-hardware firms</w:t>
      </w:r>
      <w:r w:rsidR="007A1AB7">
        <w:rPr>
          <w:color w:val="000000"/>
        </w:rPr>
        <w:t xml:space="preserve"> (</w:t>
      </w:r>
      <w:r>
        <w:rPr>
          <w:color w:val="000000"/>
        </w:rPr>
        <w:t>NVDA, AMD, INTC, QCOM, AVGO, and TXN</w:t>
      </w:r>
      <w:r w:rsidR="007A1AB7">
        <w:rPr>
          <w:color w:val="000000"/>
        </w:rPr>
        <w:t>)</w:t>
      </w:r>
      <w:r>
        <w:rPr>
          <w:color w:val="000000"/>
        </w:rPr>
        <w:t xml:space="preserve"> occupy a structurally different position relative to the AI language measures. For these firms, AI-related keywords describe core business operations rather than strategic narrative: a quarter in which NVDA mentions AI frequently is simply a quarter in which it sold a lot of AI chips. Conflating this operational signal with the narrative AI signalling of, say, a consumer staples company risks biasing both the magnitude and interpretation of the main coefficients.</w:t>
      </w:r>
    </w:p>
    <w:p w14:paraId="6A487DAB" w14:textId="77777777" w:rsidR="00CD05E1" w:rsidRDefault="00000000">
      <w:pPr>
        <w:spacing w:after="160"/>
        <w:jc w:val="both"/>
      </w:pPr>
      <w:r>
        <w:rPr>
          <w:color w:val="000000"/>
        </w:rPr>
        <w:t>To address this, the sample is split into three groups for the robustness analysis: the full sample (N = 98 firms, 1,545 observations), a semiconductor-only sub-sample (N = 6 firms), and an ex-semiconductor sub-sample (N = 92 firms, 1,450 observations). All three are estimated under the same two-way FE specification using total-segment regressors. The three-way comparison, summarised below, is the primary tool for assessing how much of the aggregate result is driven by the semiconductor group.</w:t>
      </w:r>
    </w:p>
    <w:p w14:paraId="7A09F58A" w14:textId="77777777" w:rsidR="00CD05E1" w:rsidRDefault="00000000">
      <w:r>
        <w:rPr>
          <w:sz w:val="12"/>
          <w:szCs w:val="1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CD05E1" w14:paraId="65BDD54E"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1DA8F7" w14:textId="77777777" w:rsidR="00CD05E1" w:rsidRDefault="00000000">
            <w:r>
              <w:rPr>
                <w:b/>
                <w:bCs/>
                <w:color w:val="FFFFFF"/>
                <w:sz w:val="19"/>
                <w:szCs w:val="19"/>
              </w:rPr>
              <w:t>Variable</w:t>
            </w:r>
          </w:p>
        </w:tc>
        <w:tc>
          <w:tcPr>
            <w:tcW w:w="23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E7F2E8" w14:textId="77777777" w:rsidR="00CD05E1" w:rsidRDefault="00000000">
            <w:pPr>
              <w:jc w:val="center"/>
            </w:pPr>
            <w:r>
              <w:rPr>
                <w:b/>
                <w:bCs/>
                <w:color w:val="FFFFFF"/>
                <w:sz w:val="19"/>
                <w:szCs w:val="19"/>
              </w:rPr>
              <w:t>(1) Full sample</w:t>
            </w:r>
          </w:p>
        </w:tc>
        <w:tc>
          <w:tcPr>
            <w:tcW w:w="23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C5E8CC4" w14:textId="77777777" w:rsidR="00CD05E1" w:rsidRDefault="00000000">
            <w:pPr>
              <w:jc w:val="center"/>
            </w:pPr>
            <w:r>
              <w:rPr>
                <w:b/>
                <w:bCs/>
                <w:color w:val="FFFFFF"/>
                <w:sz w:val="19"/>
                <w:szCs w:val="19"/>
              </w:rPr>
              <w:t>(2) Semi-only</w:t>
            </w:r>
          </w:p>
        </w:tc>
        <w:tc>
          <w:tcPr>
            <w:tcW w:w="23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24B16FE" w14:textId="77777777" w:rsidR="00CD05E1" w:rsidRDefault="00000000">
            <w:pPr>
              <w:jc w:val="center"/>
            </w:pPr>
            <w:r>
              <w:rPr>
                <w:b/>
                <w:bCs/>
                <w:color w:val="FFFFFF"/>
                <w:sz w:val="19"/>
                <w:szCs w:val="19"/>
              </w:rPr>
              <w:t>(3) Ex-semi</w:t>
            </w:r>
          </w:p>
        </w:tc>
      </w:tr>
      <w:tr w:rsidR="00CD05E1" w14:paraId="29138A5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3EACF2AB" w14:textId="77777777" w:rsidR="00CD05E1" w:rsidRDefault="00000000">
            <w:r>
              <w:rPr>
                <w:b/>
                <w:bCs/>
                <w:color w:val="1F4E79"/>
                <w:sz w:val="18"/>
                <w:szCs w:val="18"/>
              </w:rPr>
              <w:t>Panel A: Short-run CAR [-1,+3]</w:t>
            </w:r>
          </w:p>
        </w:tc>
        <w:tc>
          <w:tcPr>
            <w:tcW w:w="232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0BE66217" w14:textId="77777777" w:rsidR="00CD05E1" w:rsidRDefault="00CD05E1">
            <w:pPr>
              <w:jc w:val="center"/>
            </w:pPr>
          </w:p>
        </w:tc>
        <w:tc>
          <w:tcPr>
            <w:tcW w:w="232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204DC946" w14:textId="77777777" w:rsidR="00CD05E1" w:rsidRDefault="00CD05E1">
            <w:pPr>
              <w:jc w:val="center"/>
            </w:pPr>
          </w:p>
        </w:tc>
        <w:tc>
          <w:tcPr>
            <w:tcW w:w="232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632F4FC1" w14:textId="77777777" w:rsidR="00CD05E1" w:rsidRDefault="00CD05E1">
            <w:pPr>
              <w:jc w:val="center"/>
            </w:pPr>
          </w:p>
        </w:tc>
      </w:tr>
      <w:tr w:rsidR="00CD05E1" w14:paraId="66012B1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6DAEDC4E" w14:textId="77777777" w:rsidR="00CD05E1" w:rsidRDefault="00000000">
            <w:r>
              <w:rPr>
                <w:color w:val="000000"/>
                <w:sz w:val="19"/>
                <w:szCs w:val="19"/>
              </w:rPr>
              <w:t>AI core / 1,000</w:t>
            </w:r>
          </w:p>
        </w:tc>
        <w:tc>
          <w:tcPr>
            <w:tcW w:w="232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68469F15" w14:textId="77777777" w:rsidR="00CD05E1" w:rsidRDefault="00000000">
            <w:pPr>
              <w:jc w:val="center"/>
            </w:pPr>
            <w:r>
              <w:rPr>
                <w:color w:val="000000"/>
                <w:sz w:val="19"/>
                <w:szCs w:val="19"/>
              </w:rPr>
              <w:t>0.0002</w:t>
            </w:r>
          </w:p>
        </w:tc>
        <w:tc>
          <w:tcPr>
            <w:tcW w:w="232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7851E77B" w14:textId="48CFBFEB" w:rsidR="00CD05E1" w:rsidRDefault="007A1AB7">
            <w:pPr>
              <w:jc w:val="center"/>
            </w:pPr>
            <w:r w:rsidRPr="007A1AB7">
              <w:rPr>
                <w:b/>
                <w:bCs/>
                <w:color w:val="1F4E79"/>
                <w:sz w:val="19"/>
                <w:szCs w:val="19"/>
              </w:rPr>
              <w:t>-0.0072***</w:t>
            </w:r>
          </w:p>
        </w:tc>
        <w:tc>
          <w:tcPr>
            <w:tcW w:w="232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792A4760" w14:textId="77777777" w:rsidR="00CD05E1" w:rsidRDefault="00000000">
            <w:pPr>
              <w:jc w:val="center"/>
            </w:pPr>
            <w:r>
              <w:rPr>
                <w:color w:val="000000"/>
                <w:sz w:val="19"/>
                <w:szCs w:val="19"/>
              </w:rPr>
              <w:t>0.0009</w:t>
            </w:r>
          </w:p>
        </w:tc>
      </w:tr>
      <w:tr w:rsidR="00CD05E1" w14:paraId="4688B0A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55DE8C2F" w14:textId="77777777" w:rsidR="00CD05E1" w:rsidRDefault="00000000">
            <w:r>
              <w:rPr>
                <w:color w:val="000000"/>
                <w:sz w:val="19"/>
                <w:szCs w:val="19"/>
              </w:rPr>
              <w:t>AI adjacent / 1,000</w:t>
            </w:r>
          </w:p>
        </w:tc>
        <w:tc>
          <w:tcPr>
            <w:tcW w:w="232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55B4D2D2" w14:textId="77777777" w:rsidR="00CD05E1" w:rsidRDefault="00000000">
            <w:pPr>
              <w:jc w:val="center"/>
            </w:pPr>
            <w:r>
              <w:rPr>
                <w:color w:val="000000"/>
                <w:sz w:val="19"/>
                <w:szCs w:val="19"/>
              </w:rPr>
              <w:t>−0.0000</w:t>
            </w:r>
          </w:p>
        </w:tc>
        <w:tc>
          <w:tcPr>
            <w:tcW w:w="232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1508A3C6" w14:textId="79D63EAC" w:rsidR="00CD05E1" w:rsidRDefault="007A1AB7">
            <w:pPr>
              <w:jc w:val="center"/>
            </w:pPr>
            <w:r>
              <w:rPr>
                <w:color w:val="000000"/>
                <w:sz w:val="19"/>
                <w:szCs w:val="19"/>
              </w:rPr>
              <w:t>-0.0088</w:t>
            </w:r>
          </w:p>
        </w:tc>
        <w:tc>
          <w:tcPr>
            <w:tcW w:w="232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077FA279" w14:textId="77777777" w:rsidR="00CD05E1" w:rsidRDefault="00000000">
            <w:pPr>
              <w:jc w:val="center"/>
            </w:pPr>
            <w:r>
              <w:rPr>
                <w:color w:val="000000"/>
                <w:sz w:val="19"/>
                <w:szCs w:val="19"/>
              </w:rPr>
              <w:t>0.0023</w:t>
            </w:r>
          </w:p>
        </w:tc>
      </w:tr>
      <w:tr w:rsidR="00CD05E1" w14:paraId="7D92114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04ED04EE" w14:textId="77777777" w:rsidR="00CD05E1" w:rsidRDefault="00000000">
            <w:r>
              <w:rPr>
                <w:color w:val="000000"/>
                <w:sz w:val="19"/>
                <w:szCs w:val="19"/>
              </w:rPr>
              <w:t>LM tone</w:t>
            </w:r>
          </w:p>
        </w:tc>
        <w:tc>
          <w:tcPr>
            <w:tcW w:w="232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13E2DC48" w14:textId="77777777" w:rsidR="00CD05E1" w:rsidRDefault="00000000">
            <w:pPr>
              <w:jc w:val="center"/>
            </w:pPr>
            <w:r>
              <w:rPr>
                <w:b/>
                <w:bCs/>
                <w:color w:val="1F4E79"/>
                <w:sz w:val="19"/>
                <w:szCs w:val="19"/>
              </w:rPr>
              <w:t>0.0822***</w:t>
            </w:r>
          </w:p>
        </w:tc>
        <w:tc>
          <w:tcPr>
            <w:tcW w:w="232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01296404" w14:textId="1D7EDC69" w:rsidR="00CD05E1" w:rsidRDefault="007A1AB7">
            <w:pPr>
              <w:jc w:val="center"/>
            </w:pPr>
            <w:r>
              <w:t>0.0751</w:t>
            </w:r>
          </w:p>
        </w:tc>
        <w:tc>
          <w:tcPr>
            <w:tcW w:w="232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2BEEA739" w14:textId="77777777" w:rsidR="00CD05E1" w:rsidRDefault="00000000">
            <w:pPr>
              <w:jc w:val="center"/>
            </w:pPr>
            <w:r>
              <w:rPr>
                <w:b/>
                <w:bCs/>
                <w:color w:val="1F4E79"/>
                <w:sz w:val="19"/>
                <w:szCs w:val="19"/>
              </w:rPr>
              <w:t>0.0788***</w:t>
            </w:r>
          </w:p>
        </w:tc>
      </w:tr>
      <w:tr w:rsidR="00CD05E1" w14:paraId="37223E8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67AD680E" w14:textId="77777777" w:rsidR="00CD05E1" w:rsidRDefault="00000000">
            <w:r>
              <w:rPr>
                <w:color w:val="000000"/>
                <w:sz w:val="19"/>
                <w:szCs w:val="19"/>
              </w:rPr>
              <w:t>LM uncertainty</w:t>
            </w:r>
          </w:p>
        </w:tc>
        <w:tc>
          <w:tcPr>
            <w:tcW w:w="232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027DDD65" w14:textId="77777777" w:rsidR="00CD05E1" w:rsidRDefault="00000000">
            <w:pPr>
              <w:jc w:val="center"/>
            </w:pPr>
            <w:r>
              <w:rPr>
                <w:color w:val="000000"/>
                <w:sz w:val="19"/>
                <w:szCs w:val="19"/>
              </w:rPr>
              <w:t>−2.3429</w:t>
            </w:r>
          </w:p>
        </w:tc>
        <w:tc>
          <w:tcPr>
            <w:tcW w:w="232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31A32C48" w14:textId="404D4BFD" w:rsidR="00CD05E1" w:rsidRDefault="007A1AB7">
            <w:pPr>
              <w:jc w:val="center"/>
            </w:pPr>
            <w:r w:rsidRPr="007A1AB7">
              <w:rPr>
                <w:b/>
                <w:bCs/>
                <w:color w:val="1F4E79"/>
                <w:sz w:val="19"/>
                <w:szCs w:val="19"/>
              </w:rPr>
              <w:t>-28.0255***</w:t>
            </w:r>
          </w:p>
        </w:tc>
        <w:tc>
          <w:tcPr>
            <w:tcW w:w="232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5BE68FA9" w14:textId="77777777" w:rsidR="00CD05E1" w:rsidRDefault="00000000">
            <w:pPr>
              <w:jc w:val="center"/>
            </w:pPr>
            <w:r>
              <w:rPr>
                <w:color w:val="000000"/>
                <w:sz w:val="19"/>
                <w:szCs w:val="19"/>
              </w:rPr>
              <w:t>−1.2778</w:t>
            </w:r>
          </w:p>
        </w:tc>
      </w:tr>
      <w:tr w:rsidR="00CD05E1" w14:paraId="5DC972C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37C4BB39" w14:textId="77777777" w:rsidR="00CD05E1" w:rsidRDefault="00000000">
            <w:r>
              <w:rPr>
                <w:b/>
                <w:bCs/>
                <w:color w:val="1F4E79"/>
                <w:sz w:val="18"/>
                <w:szCs w:val="18"/>
              </w:rPr>
              <w:t>Panel B: Long-run Abnormal Return</w:t>
            </w:r>
          </w:p>
        </w:tc>
        <w:tc>
          <w:tcPr>
            <w:tcW w:w="232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114F43D0" w14:textId="77777777" w:rsidR="00CD05E1" w:rsidRDefault="00CD05E1">
            <w:pPr>
              <w:jc w:val="center"/>
            </w:pPr>
          </w:p>
        </w:tc>
        <w:tc>
          <w:tcPr>
            <w:tcW w:w="232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28E94EB1" w14:textId="77777777" w:rsidR="00CD05E1" w:rsidRDefault="00CD05E1">
            <w:pPr>
              <w:jc w:val="center"/>
            </w:pPr>
          </w:p>
        </w:tc>
        <w:tc>
          <w:tcPr>
            <w:tcW w:w="232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197CA4C2" w14:textId="77777777" w:rsidR="00CD05E1" w:rsidRDefault="00CD05E1">
            <w:pPr>
              <w:jc w:val="center"/>
            </w:pPr>
          </w:p>
        </w:tc>
      </w:tr>
      <w:tr w:rsidR="007A1AB7" w14:paraId="42E3EDE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14442C82" w14:textId="77777777" w:rsidR="007A1AB7" w:rsidRDefault="007A1AB7" w:rsidP="007A1AB7">
            <w:r>
              <w:rPr>
                <w:color w:val="000000"/>
                <w:sz w:val="19"/>
                <w:szCs w:val="19"/>
              </w:rPr>
              <w:t>AI core / 1,000</w:t>
            </w:r>
          </w:p>
        </w:tc>
        <w:tc>
          <w:tcPr>
            <w:tcW w:w="232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166C3B44" w14:textId="77777777" w:rsidR="007A1AB7" w:rsidRDefault="007A1AB7" w:rsidP="007A1AB7">
            <w:pPr>
              <w:jc w:val="center"/>
            </w:pPr>
            <w:r>
              <w:rPr>
                <w:b/>
                <w:bCs/>
                <w:color w:val="1F4E79"/>
                <w:sz w:val="19"/>
                <w:szCs w:val="19"/>
              </w:rPr>
              <w:t>0.0049**</w:t>
            </w:r>
          </w:p>
        </w:tc>
        <w:tc>
          <w:tcPr>
            <w:tcW w:w="232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512A507B" w14:textId="4F38E52D" w:rsidR="007A1AB7" w:rsidRDefault="007A1AB7" w:rsidP="007A1AB7">
            <w:pPr>
              <w:jc w:val="center"/>
            </w:pPr>
            <w:r>
              <w:rPr>
                <w:color w:val="000000"/>
                <w:sz w:val="19"/>
                <w:szCs w:val="19"/>
              </w:rPr>
              <w:t>0.00</w:t>
            </w:r>
            <w:r>
              <w:rPr>
                <w:color w:val="000000"/>
                <w:sz w:val="19"/>
                <w:szCs w:val="19"/>
              </w:rPr>
              <w:t>03</w:t>
            </w:r>
          </w:p>
        </w:tc>
        <w:tc>
          <w:tcPr>
            <w:tcW w:w="232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5F5E6209" w14:textId="77777777" w:rsidR="007A1AB7" w:rsidRDefault="007A1AB7" w:rsidP="007A1AB7">
            <w:pPr>
              <w:jc w:val="center"/>
            </w:pPr>
            <w:r>
              <w:rPr>
                <w:b/>
                <w:bCs/>
                <w:color w:val="1F4E79"/>
                <w:sz w:val="19"/>
                <w:szCs w:val="19"/>
              </w:rPr>
              <w:t>0.0041*</w:t>
            </w:r>
          </w:p>
        </w:tc>
      </w:tr>
      <w:tr w:rsidR="007A1AB7" w14:paraId="78DFE0F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3D2B8433" w14:textId="77777777" w:rsidR="007A1AB7" w:rsidRDefault="007A1AB7" w:rsidP="007A1AB7">
            <w:r>
              <w:rPr>
                <w:color w:val="000000"/>
                <w:sz w:val="19"/>
                <w:szCs w:val="19"/>
              </w:rPr>
              <w:lastRenderedPageBreak/>
              <w:t>AI adjacent / 1,000</w:t>
            </w:r>
          </w:p>
        </w:tc>
        <w:tc>
          <w:tcPr>
            <w:tcW w:w="232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497B6FF8" w14:textId="77777777" w:rsidR="007A1AB7" w:rsidRDefault="007A1AB7" w:rsidP="007A1AB7">
            <w:pPr>
              <w:jc w:val="center"/>
            </w:pPr>
            <w:r>
              <w:rPr>
                <w:color w:val="000000"/>
                <w:sz w:val="19"/>
                <w:szCs w:val="19"/>
              </w:rPr>
              <w:t>0.0068</w:t>
            </w:r>
          </w:p>
        </w:tc>
        <w:tc>
          <w:tcPr>
            <w:tcW w:w="232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1F8355F6" w14:textId="65783292" w:rsidR="007A1AB7" w:rsidRDefault="007A1AB7" w:rsidP="007A1AB7">
            <w:pPr>
              <w:jc w:val="center"/>
            </w:pPr>
            <w:r w:rsidRPr="007A1AB7">
              <w:rPr>
                <w:b/>
                <w:bCs/>
                <w:color w:val="1F4E79"/>
                <w:sz w:val="19"/>
                <w:szCs w:val="19"/>
              </w:rPr>
              <w:t>-0.</w:t>
            </w:r>
            <w:r w:rsidRPr="007A1AB7">
              <w:rPr>
                <w:b/>
                <w:bCs/>
                <w:color w:val="1F4E79"/>
                <w:sz w:val="19"/>
                <w:szCs w:val="19"/>
              </w:rPr>
              <w:t>0380**</w:t>
            </w:r>
          </w:p>
        </w:tc>
        <w:tc>
          <w:tcPr>
            <w:tcW w:w="232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0C85822E" w14:textId="77777777" w:rsidR="007A1AB7" w:rsidRDefault="007A1AB7" w:rsidP="007A1AB7">
            <w:pPr>
              <w:jc w:val="center"/>
            </w:pPr>
            <w:r>
              <w:rPr>
                <w:color w:val="000000"/>
                <w:sz w:val="19"/>
                <w:szCs w:val="19"/>
              </w:rPr>
              <w:t>0.0080</w:t>
            </w:r>
          </w:p>
        </w:tc>
      </w:tr>
      <w:tr w:rsidR="007A1AB7" w14:paraId="698A983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3FC593A2" w14:textId="77777777" w:rsidR="007A1AB7" w:rsidRDefault="007A1AB7" w:rsidP="007A1AB7">
            <w:r>
              <w:rPr>
                <w:color w:val="000000"/>
                <w:sz w:val="19"/>
                <w:szCs w:val="19"/>
              </w:rPr>
              <w:t>LM tone</w:t>
            </w:r>
          </w:p>
        </w:tc>
        <w:tc>
          <w:tcPr>
            <w:tcW w:w="232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19BD8119" w14:textId="77777777" w:rsidR="007A1AB7" w:rsidRDefault="007A1AB7" w:rsidP="007A1AB7">
            <w:pPr>
              <w:jc w:val="center"/>
            </w:pPr>
            <w:r>
              <w:rPr>
                <w:color w:val="000000"/>
                <w:sz w:val="19"/>
                <w:szCs w:val="19"/>
              </w:rPr>
              <w:t>0.0129</w:t>
            </w:r>
          </w:p>
        </w:tc>
        <w:tc>
          <w:tcPr>
            <w:tcW w:w="232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160E6E5B" w14:textId="35A02226" w:rsidR="007A1AB7" w:rsidRDefault="007A1AB7" w:rsidP="007A1AB7">
            <w:pPr>
              <w:jc w:val="center"/>
            </w:pPr>
            <w:r>
              <w:t>-0.0283</w:t>
            </w:r>
          </w:p>
        </w:tc>
        <w:tc>
          <w:tcPr>
            <w:tcW w:w="2320" w:type="dxa"/>
            <w:tcBorders>
              <w:top w:val="single" w:sz="4" w:space="0" w:color="BFBFBF"/>
              <w:left w:val="single" w:sz="4" w:space="0" w:color="BFBFBF"/>
              <w:bottom w:val="single" w:sz="4" w:space="0" w:color="BFBFBF"/>
              <w:right w:val="single" w:sz="4" w:space="0" w:color="BFBFBF"/>
            </w:tcBorders>
            <w:shd w:val="clear" w:color="auto" w:fill="FFFFFF"/>
            <w:tcMar>
              <w:top w:w="75" w:type="dxa"/>
              <w:left w:w="120" w:type="dxa"/>
              <w:bottom w:w="75" w:type="dxa"/>
              <w:right w:w="120" w:type="dxa"/>
            </w:tcMar>
            <w:vAlign w:val="center"/>
          </w:tcPr>
          <w:p w14:paraId="42AC5D78" w14:textId="77777777" w:rsidR="007A1AB7" w:rsidRDefault="007A1AB7" w:rsidP="007A1AB7">
            <w:pPr>
              <w:jc w:val="center"/>
            </w:pPr>
            <w:r>
              <w:rPr>
                <w:color w:val="000000"/>
                <w:sz w:val="19"/>
                <w:szCs w:val="19"/>
              </w:rPr>
              <w:t>0.0207</w:t>
            </w:r>
          </w:p>
        </w:tc>
      </w:tr>
      <w:tr w:rsidR="007A1AB7" w14:paraId="4454748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04FE44BC" w14:textId="77777777" w:rsidR="007A1AB7" w:rsidRDefault="007A1AB7" w:rsidP="007A1AB7">
            <w:r>
              <w:rPr>
                <w:color w:val="000000"/>
                <w:sz w:val="19"/>
                <w:szCs w:val="19"/>
              </w:rPr>
              <w:t>LM uncertainty</w:t>
            </w:r>
          </w:p>
        </w:tc>
        <w:tc>
          <w:tcPr>
            <w:tcW w:w="232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299F901A" w14:textId="77777777" w:rsidR="007A1AB7" w:rsidRDefault="007A1AB7" w:rsidP="007A1AB7">
            <w:pPr>
              <w:jc w:val="center"/>
            </w:pPr>
            <w:r>
              <w:rPr>
                <w:color w:val="000000"/>
                <w:sz w:val="19"/>
                <w:szCs w:val="19"/>
              </w:rPr>
              <w:t>−2.5457</w:t>
            </w:r>
          </w:p>
        </w:tc>
        <w:tc>
          <w:tcPr>
            <w:tcW w:w="232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69680AF0" w14:textId="0B1FC938" w:rsidR="007A1AB7" w:rsidRDefault="007A1AB7" w:rsidP="007A1AB7">
            <w:pPr>
              <w:jc w:val="center"/>
            </w:pPr>
            <w:r w:rsidRPr="007A1AB7">
              <w:rPr>
                <w:b/>
                <w:bCs/>
                <w:color w:val="1F4E79"/>
                <w:sz w:val="19"/>
                <w:szCs w:val="19"/>
              </w:rPr>
              <w:t>-</w:t>
            </w:r>
            <w:r w:rsidRPr="007A1AB7">
              <w:rPr>
                <w:b/>
                <w:bCs/>
                <w:color w:val="1F4E79"/>
                <w:sz w:val="19"/>
                <w:szCs w:val="19"/>
              </w:rPr>
              <w:t>34</w:t>
            </w:r>
            <w:r w:rsidRPr="007A1AB7">
              <w:rPr>
                <w:b/>
                <w:bCs/>
                <w:color w:val="1F4E79"/>
                <w:sz w:val="19"/>
                <w:szCs w:val="19"/>
              </w:rPr>
              <w:t>.</w:t>
            </w:r>
            <w:r w:rsidRPr="007A1AB7">
              <w:rPr>
                <w:b/>
                <w:bCs/>
                <w:color w:val="1F4E79"/>
                <w:sz w:val="19"/>
                <w:szCs w:val="19"/>
              </w:rPr>
              <w:t>1367</w:t>
            </w:r>
            <w:r w:rsidRPr="007A1AB7">
              <w:rPr>
                <w:b/>
                <w:bCs/>
                <w:color w:val="1F4E79"/>
                <w:sz w:val="19"/>
                <w:szCs w:val="19"/>
              </w:rPr>
              <w:t>***</w:t>
            </w:r>
          </w:p>
        </w:tc>
        <w:tc>
          <w:tcPr>
            <w:tcW w:w="2320" w:type="dxa"/>
            <w:tcBorders>
              <w:top w:val="single" w:sz="4" w:space="0" w:color="BFBFBF"/>
              <w:left w:val="single" w:sz="4" w:space="0" w:color="BFBFBF"/>
              <w:bottom w:val="single" w:sz="4" w:space="0" w:color="BFBFBF"/>
              <w:right w:val="single" w:sz="4" w:space="0" w:color="BFBFBF"/>
            </w:tcBorders>
            <w:shd w:val="clear" w:color="auto" w:fill="F2F7FB"/>
            <w:tcMar>
              <w:top w:w="75" w:type="dxa"/>
              <w:left w:w="120" w:type="dxa"/>
              <w:bottom w:w="75" w:type="dxa"/>
              <w:right w:w="120" w:type="dxa"/>
            </w:tcMar>
            <w:vAlign w:val="center"/>
          </w:tcPr>
          <w:p w14:paraId="57787CB1" w14:textId="77777777" w:rsidR="007A1AB7" w:rsidRDefault="007A1AB7" w:rsidP="007A1AB7">
            <w:pPr>
              <w:jc w:val="center"/>
            </w:pPr>
            <w:r>
              <w:rPr>
                <w:color w:val="000000"/>
                <w:sz w:val="19"/>
                <w:szCs w:val="19"/>
              </w:rPr>
              <w:t>−1.3154</w:t>
            </w:r>
          </w:p>
        </w:tc>
      </w:tr>
    </w:tbl>
    <w:p w14:paraId="77076443" w14:textId="77777777" w:rsidR="00CD05E1" w:rsidRDefault="00000000">
      <w:pPr>
        <w:spacing w:before="80" w:after="220"/>
      </w:pPr>
      <w:r>
        <w:rPr>
          <w:i/>
          <w:iCs/>
          <w:color w:val="595959"/>
          <w:sz w:val="17"/>
          <w:szCs w:val="17"/>
        </w:rPr>
        <w:t>Two-way FE (firm + calendar-quarter). Firm-clustered HC1 standard errors. Semi-only column: NVDA, AMD, INTC, QCOM, AVGO, TXN. Columns (2) are populated from tbl_robustness_short/long outputs. *** p&lt;0.01, ** p&lt;0.05, * p&lt;0.1.</w:t>
      </w:r>
    </w:p>
    <w:p w14:paraId="719E5CE4" w14:textId="77777777" w:rsidR="00CD05E1" w:rsidRDefault="00000000">
      <w:pPr>
        <w:spacing w:after="160"/>
        <w:jc w:val="both"/>
      </w:pPr>
      <w:r>
        <w:rPr>
          <w:color w:val="000000"/>
        </w:rPr>
        <w:t>The short-run tone result is notably stable: LM tone remains 0.0788*** in the ex-semiconductor sample versus 0.0822*** in the full sample, confirming that the sentiment-driven short-run reaction is a broad-based phenomenon and not concentrated in AI-hardware firms. For the long-run, AI-core intensity attenuates slightly after removing semiconductor firms (0.0041* vs. 0.0049**), indicating that semiconductor firms do contribute some upward pull to the aggregate estimate but the effect survives their exclusion.</w:t>
      </w:r>
    </w:p>
    <w:p w14:paraId="0E90CAB3" w14:textId="6B9DEB5F" w:rsidR="00CD05E1" w:rsidRDefault="00000000" w:rsidP="007A1AB7">
      <w:pPr>
        <w:spacing w:after="160"/>
        <w:jc w:val="both"/>
      </w:pPr>
      <w:r>
        <w:rPr>
          <w:color w:val="000000"/>
        </w:rPr>
        <w:t xml:space="preserve">The semiconductor-only column is informative in the opposite direction: with only six firms and roughly 95 observations, statistical power is limited and results should be interpreted with caution. Nevertheless, </w:t>
      </w:r>
      <w:r w:rsidR="007A1AB7">
        <w:rPr>
          <w:color w:val="000000"/>
        </w:rPr>
        <w:t xml:space="preserve">it is clear from the reuslts in the </w:t>
      </w:r>
      <w:r w:rsidR="007A1AB7">
        <w:rPr>
          <w:color w:val="000000"/>
        </w:rPr>
        <w:t>semiconductor</w:t>
      </w:r>
      <w:r w:rsidR="007A1AB7">
        <w:rPr>
          <w:color w:val="000000"/>
        </w:rPr>
        <w:t xml:space="preserve"> sector that investors’ are highly sensitive to uncertainty, with significant and highly negative coefficient for LM Uncertainty in both the short-run and long-run model.</w:t>
      </w:r>
    </w:p>
    <w:sectPr w:rsidR="00CD05E1">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8E01B" w14:textId="77777777" w:rsidR="0074353F" w:rsidRDefault="0074353F">
      <w:r>
        <w:separator/>
      </w:r>
    </w:p>
  </w:endnote>
  <w:endnote w:type="continuationSeparator" w:id="0">
    <w:p w14:paraId="27EC4AAE" w14:textId="77777777" w:rsidR="0074353F" w:rsidRDefault="00743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9E54" w14:textId="5905D43A" w:rsidR="00CD05E1" w:rsidRDefault="00CD05E1">
    <w:pPr>
      <w:pBdr>
        <w:top w:val="single" w:sz="6" w:space="4" w:color="2E75B6"/>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2019F" w14:textId="77777777" w:rsidR="0074353F" w:rsidRDefault="0074353F">
      <w:r>
        <w:separator/>
      </w:r>
    </w:p>
  </w:footnote>
  <w:footnote w:type="continuationSeparator" w:id="0">
    <w:p w14:paraId="2E17BCAF" w14:textId="77777777" w:rsidR="0074353F" w:rsidRDefault="00743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F23C" w14:textId="5DDF4278" w:rsidR="00CD05E1" w:rsidRDefault="00CD05E1">
    <w:pPr>
      <w:pBdr>
        <w:bottom w:val="single" w:sz="8" w:space="6" w:color="2E75B6"/>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8198E"/>
    <w:multiLevelType w:val="hybridMultilevel"/>
    <w:tmpl w:val="15000B7A"/>
    <w:lvl w:ilvl="0" w:tplc="C876F4B2">
      <w:start w:val="1"/>
      <w:numFmt w:val="bullet"/>
      <w:lvlText w:val="●"/>
      <w:lvlJc w:val="left"/>
      <w:pPr>
        <w:ind w:left="720" w:hanging="360"/>
      </w:pPr>
    </w:lvl>
    <w:lvl w:ilvl="1" w:tplc="E44E3E4A">
      <w:start w:val="1"/>
      <w:numFmt w:val="bullet"/>
      <w:lvlText w:val="○"/>
      <w:lvlJc w:val="left"/>
      <w:pPr>
        <w:ind w:left="1440" w:hanging="360"/>
      </w:pPr>
    </w:lvl>
    <w:lvl w:ilvl="2" w:tplc="2D7EBA12">
      <w:start w:val="1"/>
      <w:numFmt w:val="bullet"/>
      <w:lvlText w:val="■"/>
      <w:lvlJc w:val="left"/>
      <w:pPr>
        <w:ind w:left="2160" w:hanging="360"/>
      </w:pPr>
    </w:lvl>
    <w:lvl w:ilvl="3" w:tplc="B8D0ABE6">
      <w:start w:val="1"/>
      <w:numFmt w:val="bullet"/>
      <w:lvlText w:val="●"/>
      <w:lvlJc w:val="left"/>
      <w:pPr>
        <w:ind w:left="2880" w:hanging="360"/>
      </w:pPr>
    </w:lvl>
    <w:lvl w:ilvl="4" w:tplc="0BBED97A">
      <w:start w:val="1"/>
      <w:numFmt w:val="bullet"/>
      <w:lvlText w:val="○"/>
      <w:lvlJc w:val="left"/>
      <w:pPr>
        <w:ind w:left="3600" w:hanging="360"/>
      </w:pPr>
    </w:lvl>
    <w:lvl w:ilvl="5" w:tplc="B16C2B2E">
      <w:start w:val="1"/>
      <w:numFmt w:val="bullet"/>
      <w:lvlText w:val="■"/>
      <w:lvlJc w:val="left"/>
      <w:pPr>
        <w:ind w:left="4320" w:hanging="360"/>
      </w:pPr>
    </w:lvl>
    <w:lvl w:ilvl="6" w:tplc="DDCA2CA8">
      <w:start w:val="1"/>
      <w:numFmt w:val="bullet"/>
      <w:lvlText w:val="●"/>
      <w:lvlJc w:val="left"/>
      <w:pPr>
        <w:ind w:left="5040" w:hanging="360"/>
      </w:pPr>
    </w:lvl>
    <w:lvl w:ilvl="7" w:tplc="A6EEA77E">
      <w:start w:val="1"/>
      <w:numFmt w:val="bullet"/>
      <w:lvlText w:val="●"/>
      <w:lvlJc w:val="left"/>
      <w:pPr>
        <w:ind w:left="5760" w:hanging="360"/>
      </w:pPr>
    </w:lvl>
    <w:lvl w:ilvl="8" w:tplc="359AAF86">
      <w:start w:val="1"/>
      <w:numFmt w:val="bullet"/>
      <w:lvlText w:val="●"/>
      <w:lvlJc w:val="left"/>
      <w:pPr>
        <w:ind w:left="6480" w:hanging="360"/>
      </w:pPr>
    </w:lvl>
  </w:abstractNum>
  <w:num w:numId="1" w16cid:durableId="1589146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5E1"/>
    <w:rsid w:val="0074353F"/>
    <w:rsid w:val="007931A2"/>
    <w:rsid w:val="007A1AB7"/>
    <w:rsid w:val="00CD05E1"/>
    <w:rsid w:val="00E63CB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F045460"/>
  <w15:docId w15:val="{DB483823-40B4-9F4E-8A40-D0E9F586B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3CBB"/>
    <w:pPr>
      <w:tabs>
        <w:tab w:val="center" w:pos="4513"/>
        <w:tab w:val="right" w:pos="9026"/>
      </w:tabs>
    </w:pPr>
  </w:style>
  <w:style w:type="character" w:customStyle="1" w:styleId="HeaderChar">
    <w:name w:val="Header Char"/>
    <w:basedOn w:val="DefaultParagraphFont"/>
    <w:link w:val="Header"/>
    <w:uiPriority w:val="99"/>
    <w:rsid w:val="00E63CBB"/>
  </w:style>
  <w:style w:type="paragraph" w:styleId="Footer">
    <w:name w:val="footer"/>
    <w:basedOn w:val="Normal"/>
    <w:link w:val="FooterChar"/>
    <w:uiPriority w:val="99"/>
    <w:unhideWhenUsed/>
    <w:rsid w:val="00E63CBB"/>
    <w:pPr>
      <w:tabs>
        <w:tab w:val="center" w:pos="4513"/>
        <w:tab w:val="right" w:pos="9026"/>
      </w:tabs>
    </w:pPr>
  </w:style>
  <w:style w:type="character" w:customStyle="1" w:styleId="FooterChar">
    <w:name w:val="Footer Char"/>
    <w:basedOn w:val="DefaultParagraphFont"/>
    <w:link w:val="Footer"/>
    <w:uiPriority w:val="99"/>
    <w:rsid w:val="00E63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1097</Words>
  <Characters>6259</Characters>
  <Application>Microsoft Office Word</Application>
  <DocSecurity>0</DocSecurity>
  <Lines>52</Lines>
  <Paragraphs>14</Paragraphs>
  <ScaleCrop>false</ScaleCrop>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Dam</cp:lastModifiedBy>
  <cp:revision>3</cp:revision>
  <dcterms:created xsi:type="dcterms:W3CDTF">2026-04-13T08:11:00Z</dcterms:created>
  <dcterms:modified xsi:type="dcterms:W3CDTF">2026-04-13T08:45:00Z</dcterms:modified>
</cp:coreProperties>
</file>