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36"/>
          <w:szCs w:val="36"/>
        </w:rPr>
        <w:t xml:space="preserve">Thesis Layout Overview</w:t>
      </w:r>
    </w:p>
    <w:p>
      <w:pPr>
        <w:spacing w:after="60"/>
        <w:jc w:val="center"/>
      </w:pPr>
      <w:r>
        <w:rPr>
          <w:rFonts w:ascii="Arial" w:cs="Arial" w:eastAsia="Arial" w:hAnsi="Arial"/>
          <w:i/>
          <w:iCs/>
          <w:color w:val="444444"/>
          <w:sz w:val="24"/>
          <w:szCs w:val="24"/>
        </w:rPr>
        <w:t xml:space="preserve">AI-Related Disclosure in Earnings Calls: Investor Attention, Valuation Effects, and Market Pricing</w:t>
      </w:r>
    </w:p>
    <w:p>
      <w:pPr>
        <w:spacing w:after="60"/>
        <w:jc w:val="center"/>
      </w:pPr>
      <w:r>
        <w:rPr>
          <w:rFonts w:ascii="Arial" w:cs="Arial" w:eastAsia="Arial" w:hAnsi="Arial"/>
          <w:color w:val="888888"/>
          <w:sz w:val="20"/>
          <w:szCs w:val="20"/>
        </w:rPr>
        <w:t xml:space="preserve">Duy Dam  ·  BAM Thesis  ·  April 2026</w:t>
      </w:r>
    </w:p>
    <w:p>
      <w:pPr>
        <w:pBdr>
          <w:bottom w:val="single" w:color="CCCCCC" w:sz="4" w:space="4"/>
        </w:pBdr>
        <w:spacing w:after="100" w:before="100"/>
      </w:pPr>
      <w:r>
        <w:t xml:space="preserve"/>
      </w:r>
    </w:p>
    <w:p>
      <w:r>
        <w:t xml:space="preserve"/>
      </w:r>
    </w:p>
    <w:p>
      <w:pPr>
        <w:spacing w:after="200"/>
      </w:pPr>
      <w:r>
        <w:rPr>
          <w:rFonts w:ascii="Arial" w:cs="Arial" w:eastAsia="Arial" w:hAnsi="Arial"/>
          <w:b/>
          <w:bCs/>
          <w:sz w:val="22"/>
          <w:szCs w:val="22"/>
        </w:rPr>
        <w:t xml:space="preserve">Purpose of this document: </w:t>
      </w:r>
      <w:r>
        <w:rPr>
          <w:rFonts w:ascii="Arial" w:cs="Arial" w:eastAsia="Arial" w:hAnsi="Arial"/>
          <w:sz w:val="22"/>
          <w:szCs w:val="22"/>
        </w:rPr>
        <w:t xml:space="preserve">This overview maps the thesis structure, summarises each literature review section, presents the refined hypothesis framework, and outlines the key results. It is intended as a working roadmap and story-line guide, not a draft of the thesis itself.</w:t>
      </w:r>
    </w:p>
    <w:p>
      <w:pPr>
        <w:pStyle w:val="Heading1"/>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The introduction establishes AI washing as an empirically meaningful and increasingly scrutinised disclosure phenomenon. It notes the rise of the AI stock rally post-ChatGPT (late 2022), the proliferation of AI-related corporate communication, and early evidence of regulatory and legal pushback against misleading AI claims. The framing positions earnings calls as the appropriate empirical lens: they are interactive, event-dated, and subject to analyst scrutiny, making them well-suited for identifying immediate and longer-horizon stock price reactions to AI disclosure.</w:t>
      </w:r>
    </w:p>
    <w:p>
      <w:pPr>
        <w:spacing w:after="160"/>
      </w:pPr>
      <w:r>
        <w:rPr>
          <w:rFonts w:ascii="Arial" w:cs="Arial" w:eastAsia="Arial" w:hAnsi="Arial"/>
          <w:sz w:val="22"/>
          <w:szCs w:val="22"/>
        </w:rPr>
        <w:t xml:space="preserve">The introduction closes with the research question: does AI-related disclosure in earnings call transcripts influence firm valuation in the short term, and do such effects persist or take a different form over time?</w:t>
      </w:r>
    </w:p>
    <w:p>
      <w:r>
        <w:t xml:space="preserve"/>
      </w:r>
    </w:p>
    <w:p>
      <w:pPr>
        <w:pStyle w:val="Heading1"/>
      </w:pPr>
      <w:r>
        <w:rPr>
          <w:rFonts w:ascii="Arial" w:cs="Arial" w:eastAsia="Arial" w:hAnsi="Arial"/>
          <w:b/>
          <w:bCs/>
          <w:sz w:val="28"/>
          <w:szCs w:val="28"/>
        </w:rPr>
        <w:t xml:space="preserve">2.  Literature Review</w:t>
      </w:r>
    </w:p>
    <w:p>
      <w:pPr>
        <w:spacing w:after="160"/>
      </w:pPr>
      <w:r>
        <w:rPr>
          <w:rFonts w:ascii="Arial" w:cs="Arial" w:eastAsia="Arial" w:hAnsi="Arial"/>
          <w:sz w:val="22"/>
          <w:szCs w:val="22"/>
        </w:rPr>
        <w:t xml:space="preserve">The literature review is structured in three parts that build sequentially toward the hypothesis framework. The structure can largely remain as currently drafted; the following summaries reflect the intended narrative arc.</w:t>
      </w:r>
    </w:p>
    <w:p>
      <w:pPr>
        <w:pStyle w:val="Heading2"/>
      </w:pPr>
      <w:r>
        <w:rPr>
          <w:rFonts w:ascii="Arial" w:cs="Arial" w:eastAsia="Arial" w:hAnsi="Arial"/>
          <w:b/>
          <w:bCs/>
          <w:sz w:val="24"/>
          <w:szCs w:val="24"/>
        </w:rPr>
        <w:t xml:space="preserve">2.1  AI Washing</w:t>
      </w:r>
    </w:p>
    <w:p>
      <w:pPr>
        <w:spacing w:after="160"/>
      </w:pPr>
      <w:r>
        <w:rPr>
          <w:rFonts w:ascii="Arial" w:cs="Arial" w:eastAsia="Arial" w:hAnsi="Arial"/>
          <w:sz w:val="22"/>
          <w:szCs w:val="22"/>
        </w:rPr>
        <w:t xml:space="preserve">This section defines AI washing as a strategic disclosure behaviour in which firms overstate or ambiguously frame AI capabilities to shape investor perception without corresponding technological substance. Key contributions: firms actively deploy AI washing as a signalling strategy to distinguish themselves in a crowded market; paradoxically, higher-capability firms may exaggerate more, not less; and AI disclosure carries a dual signal — some disclosures reflect genuine investment while others function purely as investor-expectation management. The critical takeaway for the thesis is that disclosure intensity alone is insufficient to infer substance, and that the market faces a genuine signal extraction problem.</w:t>
      </w:r>
    </w:p>
    <w:p>
      <w:pPr>
        <w:pStyle w:val="Heading2"/>
      </w:pPr>
      <w:r>
        <w:rPr>
          <w:rFonts w:ascii="Arial" w:cs="Arial" w:eastAsia="Arial" w:hAnsi="Arial"/>
          <w:b/>
          <w:bCs/>
          <w:sz w:val="24"/>
          <w:szCs w:val="24"/>
        </w:rPr>
        <w:t xml:space="preserve">2.2  Investor Hype and Stock Price Association</w:t>
      </w:r>
    </w:p>
    <w:p>
      <w:pPr>
        <w:spacing w:after="160"/>
      </w:pPr>
      <w:r>
        <w:rPr>
          <w:rFonts w:ascii="Arial" w:cs="Arial" w:eastAsia="Arial" w:hAnsi="Arial"/>
          <w:sz w:val="22"/>
          <w:szCs w:val="22"/>
        </w:rPr>
        <w:t xml:space="preserve">This section establishes the behavioural mechanism linking AI washing to observable stock price effects. It draws on investor attention theory, the technophilia literature, and behavioral finance evidence on hype cycles. The key arguments are: (1) stock prices can deviate from fundamentals during periods of elevated technological enthusiasm; (2) investors use narrative cues as heuristic signals, producing disproportionate short-term reactions; and (3) heuristic-based momentum tends to inflate prices in the short run before correcting. The ESG greenwashing precedent is particularly useful here as an established analog for narrative inflation producing mispricing that later unwinds. This section establishes the theoretical mechanism through which AI washing translates into measurable market outcomes.</w:t>
      </w:r>
    </w:p>
    <w:p>
      <w:pPr>
        <w:pStyle w:val="Heading2"/>
      </w:pPr>
      <w:r>
        <w:rPr>
          <w:rFonts w:ascii="Arial" w:cs="Arial" w:eastAsia="Arial" w:hAnsi="Arial"/>
          <w:b/>
          <w:bCs/>
          <w:sz w:val="24"/>
          <w:szCs w:val="24"/>
        </w:rPr>
        <w:t xml:space="preserve">2.3  Earnings Calls Narratives</w:t>
      </w:r>
    </w:p>
    <w:p>
      <w:pPr>
        <w:spacing w:after="160"/>
      </w:pPr>
      <w:r>
        <w:rPr>
          <w:rFonts w:ascii="Arial" w:cs="Arial" w:eastAsia="Arial" w:hAnsi="Arial"/>
          <w:sz w:val="22"/>
          <w:szCs w:val="22"/>
        </w:rPr>
        <w:t xml:space="preserve">This section justifies earnings calls as the empirical medium and arms the study with a rich body of literature on linguistic features and stock returns. Key points: (1) unlike 10-K filings, earnings calls are concise, interactive, and tied to clean, concentrated event windows; (2) tone, sentiment, and narrative richness in transcripts are well-documented predictors of abnormal returns beyond accounting fundamentals; (3) the Q&amp;A segment in particular carries incremental informational content because it is less scripted and analyst-driven; and (4) markets appear to underreact to textual information from earnings calls, producing post-announcement drift and predictable longer-horizon return patterns. This last point is directly relevant to the long-run hypothesis and motivates the two-horizon framework.</w:t>
      </w:r>
    </w:p>
    <w:p>
      <w:r>
        <w:t xml:space="preserve"/>
      </w:r>
    </w:p>
    <w:p>
      <w:pPr>
        <w:pStyle w:val="Heading1"/>
      </w:pPr>
      <w:r>
        <w:rPr>
          <w:rFonts w:ascii="Arial" w:cs="Arial" w:eastAsia="Arial" w:hAnsi="Arial"/>
          <w:b/>
          <w:bCs/>
          <w:sz w:val="28"/>
          <w:szCs w:val="28"/>
        </w:rPr>
        <w:t xml:space="preserve">3.  Hypothesis Development</w:t>
      </w:r>
    </w:p>
    <w:p>
      <w:pPr>
        <w:spacing w:after="160"/>
      </w:pPr>
      <w:r>
        <w:rPr>
          <w:rFonts w:ascii="Arial" w:cs="Arial" w:eastAsia="Arial" w:hAnsi="Arial"/>
          <w:sz w:val="22"/>
          <w:szCs w:val="22"/>
        </w:rPr>
        <w:t xml:space="preserve">The revised hypothesis framework introduces more explicit intellectual tension by pitting two competing short-run mechanisms against each other, before turning to the long-run channel. This structure maps cleanly onto the results and creates a more compelling narrative than the original hype-then-reversal framing.</w:t>
      </w:r>
    </w:p>
    <w:p>
      <w:pPr>
        <w:spacing w:after="80" w:before="160"/>
      </w:pPr>
      <w:r>
        <w:rPr>
          <w:rFonts w:ascii="Arial" w:cs="Arial" w:eastAsia="Arial" w:hAnsi="Arial"/>
          <w:b/>
          <w:bCs/>
          <w:sz w:val="22"/>
          <w:szCs w:val="22"/>
        </w:rPr>
        <w:t xml:space="preserve">The animating question:</w:t>
      </w:r>
    </w:p>
    <w:p>
      <w:pPr>
        <w:spacing w:after="160"/>
        <w:ind w:left="560"/>
      </w:pPr>
      <w:r>
        <w:rPr>
          <w:rFonts w:ascii="Arial" w:cs="Arial" w:eastAsia="Arial" w:hAnsi="Arial"/>
          <w:i/>
          <w:iCs/>
          <w:sz w:val="22"/>
          <w:szCs w:val="22"/>
        </w:rPr>
        <w:t xml:space="preserve">Does the market react to the quantity of AI discourse (keyword frequency as a hype signal) or the quality of communication (linguistic tone as a signal of managerial confidence)? And does this distinction hold differently across time horizons?</w:t>
      </w:r>
    </w:p>
    <w:p>
      <w:pPr>
        <w:pStyle w:val="Heading2"/>
      </w:pPr>
      <w:r>
        <w:rPr>
          <w:rFonts w:ascii="Arial" w:cs="Arial" w:eastAsia="Arial" w:hAnsi="Arial"/>
          <w:b/>
          <w:bCs/>
          <w:sz w:val="24"/>
          <w:szCs w:val="24"/>
        </w:rPr>
        <w:t xml:space="preserve">H1 — Short-Run Hype Channel (AI Intensity)</w:t>
      </w:r>
    </w:p>
    <w:p>
      <w:pPr>
        <w:spacing w:after="160"/>
      </w:pPr>
      <w:r>
        <w:rPr>
          <w:rFonts w:ascii="Arial" w:cs="Arial" w:eastAsia="Arial" w:hAnsi="Arial"/>
          <w:b/>
          <w:bCs/>
          <w:sz w:val="22"/>
          <w:szCs w:val="22"/>
        </w:rPr>
        <w:t xml:space="preserve">Hypothesis: </w:t>
      </w:r>
      <w:r>
        <w:rPr>
          <w:rFonts w:ascii="Arial" w:cs="Arial" w:eastAsia="Arial" w:hAnsi="Arial"/>
          <w:sz w:val="22"/>
          <w:szCs w:val="22"/>
        </w:rPr>
        <w:t xml:space="preserve">Greater AI-core disclosure intensity in earnings calls is positively associated with short-run cumulative abnormal returns, as investors treat AI keyword frequency as a heuristic signal of technological positioning during the current AI stock rally.</w:t>
      </w:r>
    </w:p>
    <w:p>
      <w:pPr>
        <w:spacing w:after="160"/>
      </w:pPr>
      <w:r>
        <w:rPr>
          <w:rFonts w:ascii="Arial" w:cs="Arial" w:eastAsia="Arial" w:hAnsi="Arial"/>
          <w:b/>
          <w:bCs/>
          <w:sz w:val="22"/>
          <w:szCs w:val="22"/>
        </w:rPr>
        <w:t xml:space="preserve">Theoretical grounding: </w:t>
      </w:r>
      <w:r>
        <w:rPr>
          <w:rFonts w:ascii="Arial" w:cs="Arial" w:eastAsia="Arial" w:hAnsi="Arial"/>
          <w:sz w:val="22"/>
          <w:szCs w:val="22"/>
        </w:rPr>
        <w:t xml:space="preserve">Derives from the AI washing literature (Elhajjar &amp; Itani, 2025; Anand et al., 2025) and attention-based finance (Gao et al., 2022; Johnson &amp; Tellis, 2005). If investors use AI keyword frequency as a shortcut for assessing technological capability, higher intensity should translate into positive short-run returns.</w:t>
      </w:r>
    </w:p>
    <w:p>
      <w:pPr>
        <w:spacing w:after="160"/>
      </w:pPr>
      <w:r>
        <w:rPr>
          <w:rFonts w:ascii="Arial" w:cs="Arial" w:eastAsia="Arial" w:hAnsi="Arial"/>
          <w:b/>
          <w:bCs/>
          <w:sz w:val="22"/>
          <w:szCs w:val="22"/>
        </w:rPr>
        <w:t xml:space="preserve">Role in the narrative: </w:t>
      </w:r>
      <w:r>
        <w:rPr>
          <w:rFonts w:ascii="Arial" w:cs="Arial" w:eastAsia="Arial" w:hAnsi="Arial"/>
          <w:sz w:val="22"/>
          <w:szCs w:val="22"/>
        </w:rPr>
        <w:t xml:space="preserve">This is the </w:t>
      </w:r>
      <w:r>
        <w:rPr>
          <w:rFonts w:ascii="Arial" w:cs="Arial" w:eastAsia="Arial" w:hAnsi="Arial"/>
          <w:i/>
          <w:iCs/>
          <w:sz w:val="22"/>
          <w:szCs w:val="22"/>
        </w:rPr>
        <w:t xml:space="preserve">naïve hype prediction</w:t>
      </w:r>
      <w:r>
        <w:rPr>
          <w:rFonts w:ascii="Arial" w:cs="Arial" w:eastAsia="Arial" w:hAnsi="Arial"/>
          <w:sz w:val="22"/>
          <w:szCs w:val="22"/>
        </w:rPr>
        <w:t xml:space="preserve"> and the natural first hypothesis. Its partial rejection in the results creates the first point of intellectual tension: the market does not simply chase AI keyword counts.</w:t>
      </w:r>
    </w:p>
    <w:p>
      <w:pPr>
        <w:pStyle w:val="Heading2"/>
      </w:pPr>
      <w:r>
        <w:rPr>
          <w:rFonts w:ascii="Arial" w:cs="Arial" w:eastAsia="Arial" w:hAnsi="Arial"/>
          <w:b/>
          <w:bCs/>
          <w:sz w:val="24"/>
          <w:szCs w:val="24"/>
        </w:rPr>
        <w:t xml:space="preserve">H2 — Short-Run Signal Quality Channel (Linguistic Tone)</w:t>
      </w:r>
    </w:p>
    <w:p>
      <w:pPr>
        <w:spacing w:after="160"/>
      </w:pPr>
      <w:r>
        <w:rPr>
          <w:rFonts w:ascii="Arial" w:cs="Arial" w:eastAsia="Arial" w:hAnsi="Arial"/>
          <w:b/>
          <w:bCs/>
          <w:sz w:val="22"/>
          <w:szCs w:val="22"/>
        </w:rPr>
        <w:t xml:space="preserve">Hypothesis: </w:t>
      </w:r>
      <w:r>
        <w:rPr>
          <w:rFonts w:ascii="Arial" w:cs="Arial" w:eastAsia="Arial" w:hAnsi="Arial"/>
          <w:sz w:val="22"/>
          <w:szCs w:val="22"/>
        </w:rPr>
        <w:t xml:space="preserve">The linguistic tone of earnings call transcripts is positively associated with short-run cumulative abnormal returns, independently of AI disclosure intensity, reflecting investors’ response to the clarity and confidence of managerial communication rather than the volume of AI references.</w:t>
      </w:r>
    </w:p>
    <w:p>
      <w:pPr>
        <w:spacing w:after="160"/>
      </w:pPr>
      <w:r>
        <w:rPr>
          <w:rFonts w:ascii="Arial" w:cs="Arial" w:eastAsia="Arial" w:hAnsi="Arial"/>
          <w:b/>
          <w:bCs/>
          <w:sz w:val="22"/>
          <w:szCs w:val="22"/>
        </w:rPr>
        <w:t xml:space="preserve">Theoretical grounding: </w:t>
      </w:r>
      <w:r>
        <w:rPr>
          <w:rFonts w:ascii="Arial" w:cs="Arial" w:eastAsia="Arial" w:hAnsi="Arial"/>
          <w:sz w:val="22"/>
          <w:szCs w:val="22"/>
        </w:rPr>
        <w:t xml:space="preserve">Derives from the earnings call sentiment literature (Price et al., 2011; Doran et al., 2010; Fu &amp; Zhang, 2021). Tone is a more immediately processable signal than keyword frequency and captures the overall positivity of managerial communication, which is well-documented as a short-run return predictor.</w:t>
      </w:r>
    </w:p>
    <w:p>
      <w:pPr>
        <w:spacing w:after="160"/>
      </w:pPr>
      <w:r>
        <w:rPr>
          <w:rFonts w:ascii="Arial" w:cs="Arial" w:eastAsia="Arial" w:hAnsi="Arial"/>
          <w:b/>
          <w:bCs/>
          <w:sz w:val="22"/>
          <w:szCs w:val="22"/>
        </w:rPr>
        <w:t xml:space="preserve">Role in the narrative: </w:t>
      </w:r>
      <w:r>
        <w:rPr>
          <w:rFonts w:ascii="Arial" w:cs="Arial" w:eastAsia="Arial" w:hAnsi="Arial"/>
          <w:sz w:val="22"/>
          <w:szCs w:val="22"/>
        </w:rPr>
        <w:t xml:space="preserve">H1 and H2 are </w:t>
      </w:r>
      <w:r>
        <w:rPr>
          <w:rFonts w:ascii="Arial" w:cs="Arial" w:eastAsia="Arial" w:hAnsi="Arial"/>
          <w:i/>
          <w:iCs/>
          <w:sz w:val="22"/>
          <w:szCs w:val="22"/>
        </w:rPr>
        <w:t xml:space="preserve">competing short-run mechanisms</w:t>
      </w:r>
      <w:r>
        <w:rPr>
          <w:rFonts w:ascii="Arial" w:cs="Arial" w:eastAsia="Arial" w:hAnsi="Arial"/>
          <w:sz w:val="22"/>
          <w:szCs w:val="22"/>
        </w:rPr>
        <w:t xml:space="preserve"> derived from different strands of the literature. The results resolve this tension unambiguously in favour of H2: it is </w:t>
      </w:r>
      <w:r>
        <w:rPr>
          <w:rFonts w:ascii="Arial" w:cs="Arial" w:eastAsia="Arial" w:hAnsi="Arial"/>
          <w:i/>
          <w:iCs/>
          <w:sz w:val="22"/>
          <w:szCs w:val="22"/>
        </w:rPr>
        <w:t xml:space="preserve">how</w:t>
      </w:r>
      <w:r>
        <w:rPr>
          <w:rFonts w:ascii="Arial" w:cs="Arial" w:eastAsia="Arial" w:hAnsi="Arial"/>
          <w:sz w:val="22"/>
          <w:szCs w:val="22"/>
        </w:rPr>
        <w:t xml:space="preserve"> firms communicate, not </w:t>
      </w:r>
      <w:r>
        <w:rPr>
          <w:rFonts w:ascii="Arial" w:cs="Arial" w:eastAsia="Arial" w:hAnsi="Arial"/>
          <w:i/>
          <w:iCs/>
          <w:sz w:val="22"/>
          <w:szCs w:val="22"/>
        </w:rPr>
        <w:t xml:space="preserve">what</w:t>
      </w:r>
      <w:r>
        <w:rPr>
          <w:rFonts w:ascii="Arial" w:cs="Arial" w:eastAsia="Arial" w:hAnsi="Arial"/>
          <w:sz w:val="22"/>
          <w:szCs w:val="22"/>
        </w:rPr>
        <w:t xml:space="preserve"> they mention, that drives immediate price reactions.</w:t>
      </w:r>
    </w:p>
    <w:p>
      <w:pPr>
        <w:pStyle w:val="Heading2"/>
      </w:pPr>
      <w:r>
        <w:rPr>
          <w:rFonts w:ascii="Arial" w:cs="Arial" w:eastAsia="Arial" w:hAnsi="Arial"/>
          <w:b/>
          <w:bCs/>
          <w:sz w:val="24"/>
          <w:szCs w:val="24"/>
        </w:rPr>
        <w:t xml:space="preserve">H3 — Long-Run Genuine Engagement Signal (AI Intensity)</w:t>
      </w:r>
    </w:p>
    <w:p>
      <w:pPr>
        <w:spacing w:after="160"/>
      </w:pPr>
      <w:r>
        <w:rPr>
          <w:rFonts w:ascii="Arial" w:cs="Arial" w:eastAsia="Arial" w:hAnsi="Arial"/>
          <w:b/>
          <w:bCs/>
          <w:sz w:val="22"/>
          <w:szCs w:val="22"/>
        </w:rPr>
        <w:t xml:space="preserve">Hypothesis: </w:t>
      </w:r>
      <w:r>
        <w:rPr>
          <w:rFonts w:ascii="Arial" w:cs="Arial" w:eastAsia="Arial" w:hAnsi="Arial"/>
          <w:sz w:val="22"/>
          <w:szCs w:val="22"/>
        </w:rPr>
        <w:t xml:space="preserve">AI-core disclosure intensity is positively associated with long-run abnormal returns, consistent with the market gradually incorporating substantive AI engagement signals that are not fully priced at the time of the earnings call.</w:t>
      </w:r>
    </w:p>
    <w:p>
      <w:pPr>
        <w:spacing w:after="160"/>
      </w:pPr>
      <w:r>
        <w:rPr>
          <w:rFonts w:ascii="Arial" w:cs="Arial" w:eastAsia="Arial" w:hAnsi="Arial"/>
          <w:b/>
          <w:bCs/>
          <w:sz w:val="22"/>
          <w:szCs w:val="22"/>
        </w:rPr>
        <w:t xml:space="preserve">Theoretical grounding: </w:t>
      </w:r>
      <w:r>
        <w:rPr>
          <w:rFonts w:ascii="Arial" w:cs="Arial" w:eastAsia="Arial" w:hAnsi="Arial"/>
          <w:sz w:val="22"/>
          <w:szCs w:val="22"/>
        </w:rPr>
        <w:t xml:space="preserve">Grounded in the underreaction and post-announcement drift literature (Bodmeier &amp; Hartzmark, 2017; Price et al., 2011), which shows that textual signals from earnings calls are only gradually priced. The Q&amp;A segment provides particularly clean identification because analyst questions are unscripted, making AI mentions there less likely to reflect rehearsed messaging and more likely to reflect genuine strategic engagement.</w:t>
      </w:r>
    </w:p>
    <w:p>
      <w:pPr>
        <w:spacing w:after="160"/>
      </w:pPr>
      <w:r>
        <w:rPr>
          <w:rFonts w:ascii="Arial" w:cs="Arial" w:eastAsia="Arial" w:hAnsi="Arial"/>
          <w:b/>
          <w:bCs/>
          <w:sz w:val="22"/>
          <w:szCs w:val="22"/>
        </w:rPr>
        <w:t xml:space="preserve">Role in the narrative: </w:t>
      </w:r>
      <w:r>
        <w:rPr>
          <w:rFonts w:ascii="Arial" w:cs="Arial" w:eastAsia="Arial" w:hAnsi="Arial"/>
          <w:sz w:val="22"/>
          <w:szCs w:val="22"/>
        </w:rPr>
        <w:t xml:space="preserve">This hypothesis replaces the original long-run reversal hypothesis. Rather than a hype-and-correct cycle, the data reveal a </w:t>
      </w:r>
      <w:r>
        <w:rPr>
          <w:rFonts w:ascii="Arial" w:cs="Arial" w:eastAsia="Arial" w:hAnsi="Arial"/>
          <w:i/>
          <w:iCs/>
          <w:sz w:val="22"/>
          <w:szCs w:val="22"/>
        </w:rPr>
        <w:t xml:space="preserve">two-channel pricing mechanism</w:t>
      </w:r>
      <w:r>
        <w:rPr>
          <w:rFonts w:ascii="Arial" w:cs="Arial" w:eastAsia="Arial" w:hAnsi="Arial"/>
          <w:sz w:val="22"/>
          <w:szCs w:val="22"/>
        </w:rPr>
        <w:t xml:space="preserve">: sentiment prices the immediate signal, genuine AI engagement prices the longer-horizon value. This is a richer and more defensible story. The results confirm H3 across all three transcript segments.</w:t>
      </w:r>
    </w:p>
    <w:p>
      <w:pPr>
        <w:spacing w:after="120" w:before="160"/>
      </w:pPr>
      <w:r>
        <w:rPr>
          <w:rFonts w:ascii="Arial" w:cs="Arial" w:eastAsia="Arial" w:hAnsi="Arial"/>
          <w:b/>
          <w:bCs/>
          <w:i/>
          <w:iCs/>
          <w:sz w:val="22"/>
          <w:szCs w:val="22"/>
        </w:rPr>
        <w:t xml:space="preserve">Note on the original H2 (long-run reversal):</w:t>
      </w:r>
    </w:p>
    <w:p>
      <w:pPr>
        <w:spacing w:after="160"/>
      </w:pPr>
      <w:r>
        <w:rPr>
          <w:rFonts w:ascii="Arial" w:cs="Arial" w:eastAsia="Arial" w:hAnsi="Arial"/>
          <w:sz w:val="22"/>
          <w:szCs w:val="22"/>
        </w:rPr>
        <w:t xml:space="preserve">The original hypothesis that short-run AI disclosure effects would weaken or reverse over time is not supported. The long-run effect of AI-core intensity is positive across the CAR [+2,+30] window, with no sign of correction. This makes the story more interesting: rather than a hype-and-reversal narrative, the thesis tells a story of differentiated information processing across horizons — tone prices the call itself, AI content prices the period that follows.</w:t>
      </w:r>
    </w:p>
    <w:p>
      <w:r>
        <w:t xml:space="preserve"/>
      </w:r>
    </w:p>
    <w:p>
      <w:pPr>
        <w:pStyle w:val="Heading1"/>
      </w:pPr>
      <w:r>
        <w:rPr>
          <w:rFonts w:ascii="Arial" w:cs="Arial" w:eastAsia="Arial" w:hAnsi="Arial"/>
          <w:b/>
          <w:bCs/>
          <w:sz w:val="28"/>
          <w:szCs w:val="28"/>
        </w:rPr>
        <w:t xml:space="preserve">4.  Methodology (Brief)</w:t>
      </w:r>
    </w:p>
    <w:p>
      <w:pPr>
        <w:spacing w:after="160"/>
      </w:pPr>
      <w:r>
        <w:rPr>
          <w:rFonts w:ascii="Arial" w:cs="Arial" w:eastAsia="Arial" w:hAnsi="Arial"/>
          <w:sz w:val="22"/>
          <w:szCs w:val="22"/>
        </w:rPr>
        <w:t xml:space="preserve">Sample: S&amp;P 100 firms, 2022–2024, 1,533 firm-quarter observations. Earnings call transcripts from LSEG; stock returns and accounting fundamentals from WRDS/LSEG.</w:t>
      </w:r>
    </w:p>
    <w:p>
      <w:pPr>
        <w:spacing w:after="160"/>
      </w:pPr>
      <w:r>
        <w:rPr>
          <w:rFonts w:ascii="Arial" w:cs="Arial" w:eastAsia="Arial" w:hAnsi="Arial"/>
          <w:sz w:val="22"/>
          <w:szCs w:val="22"/>
        </w:rPr>
        <w:t xml:space="preserve">Textual measures: AI-core intensity (unambiguous AI keyword mentions per 1,000 words), AI-adjacent intensity (broader technology language), LM net tone, and LM uncertainty density. Each measure computed separately for the full transcript, the prepared presentation segment, and the analyst Q&amp;A segment.</w:t>
      </w:r>
    </w:p>
    <w:p>
      <w:pPr>
        <w:spacing w:after="160"/>
      </w:pPr>
      <w:r>
        <w:rPr>
          <w:rFonts w:ascii="Arial" w:cs="Arial" w:eastAsia="Arial" w:hAnsi="Arial"/>
          <w:sz w:val="22"/>
          <w:szCs w:val="22"/>
        </w:rPr>
        <w:t xml:space="preserve">Outcome variables: Short-run CAR [-1,+1] around the earnings announcement date; long-run CAR [+2,+30] starting the day after the announcement to avoid overlap with the short-run window and to prevent contamination from the subsequent quarterly earnings event.</w:t>
      </w:r>
    </w:p>
    <w:p>
      <w:pPr>
        <w:spacing w:after="160"/>
      </w:pPr>
      <w:r>
        <w:rPr>
          <w:rFonts w:ascii="Arial" w:cs="Arial" w:eastAsia="Arial" w:hAnsi="Arial"/>
          <w:sz w:val="22"/>
          <w:szCs w:val="22"/>
        </w:rPr>
        <w:t xml:space="preserve">Estimation: Two-way fixed effects (firm + calendar-quarter) with firm-clustered HC1 standard errors. Controls: SUE score, analyst coverage, ROA, book-to-market, firm size (ln MktCap), leverage. Hausman tests confirm fixed effects over random effects across all specifications.</w:t>
      </w:r>
    </w:p>
    <w:p>
      <w:r>
        <w:t xml:space="preserve"/>
      </w:r>
    </w:p>
    <w:p>
      <w:pPr>
        <w:pStyle w:val="Heading1"/>
      </w:pPr>
      <w:r>
        <w:rPr>
          <w:rFonts w:ascii="Arial" w:cs="Arial" w:eastAsia="Arial" w:hAnsi="Arial"/>
          <w:b/>
          <w:bCs/>
          <w:sz w:val="28"/>
          <w:szCs w:val="28"/>
        </w:rPr>
        <w:t xml:space="preserve">5.  Results</w:t>
      </w:r>
    </w:p>
    <w:p>
      <w:pPr>
        <w:pStyle w:val="Heading2"/>
      </w:pPr>
      <w:r>
        <w:rPr>
          <w:rFonts w:ascii="Arial" w:cs="Arial" w:eastAsia="Arial" w:hAnsi="Arial"/>
          <w:b/>
          <w:bCs/>
          <w:sz w:val="24"/>
          <w:szCs w:val="24"/>
        </w:rPr>
        <w:t xml:space="preserve">5.1  Short-Run: Tone Dominates, AI Intensity is Silent</w:t>
      </w:r>
    </w:p>
    <w:p>
      <w:pPr>
        <w:spacing w:after="160"/>
      </w:pPr>
      <w:r>
        <w:rPr>
          <w:rFonts w:ascii="Arial" w:cs="Arial" w:eastAsia="Arial" w:hAnsi="Arial"/>
          <w:sz w:val="22"/>
          <w:szCs w:val="22"/>
        </w:rPr>
        <w:t xml:space="preserve">LM tone is positive and highly significant across all three transcript segments: total transcript (0.065***, SE 0.016), presentation (0.022*, SE 0.011), and Q&amp;A (0.043***, SE 0.013). This result is robust to the full set of controls and survives semiconductor exclusion almost unchanged (0.065*** in both the full and ex-semiconductor samples), confirming that the sentiment channel is a broad market phenomenon, not a hardware sector artefact.</w:t>
      </w:r>
    </w:p>
    <w:p>
      <w:pPr>
        <w:spacing w:after="160"/>
      </w:pPr>
      <w:r>
        <w:rPr>
          <w:rFonts w:ascii="Arial" w:cs="Arial" w:eastAsia="Arial" w:hAnsi="Arial"/>
          <w:sz w:val="22"/>
          <w:szCs w:val="22"/>
        </w:rPr>
        <w:t xml:space="preserve">AI-core intensity is insignificant in all short-run specifications. This directly resolves the H1 vs. H2 tension in favour of H2: investors in the immediate window respond to the confidence and tone of managerial communication, not to how frequently management invokes AI terminology.</w:t>
      </w:r>
    </w:p>
    <w:p>
      <w:pPr>
        <w:spacing w:after="160"/>
      </w:pPr>
      <w:r>
        <w:rPr>
          <w:rFonts w:ascii="Arial" w:cs="Arial" w:eastAsia="Arial" w:hAnsi="Arial"/>
          <w:sz w:val="22"/>
          <w:szCs w:val="22"/>
        </w:rPr>
        <w:t xml:space="preserve">Among the controls, SUE score (0.005***) and book-to-market (0.056***) are consistently significant, validating the control set. Larger firms exhibit systematically smaller short-run CARs (−0.033***), consistent with lower information asymmetry.</w:t>
      </w:r>
    </w:p>
    <w:p>
      <w:pPr>
        <w:pStyle w:val="Heading2"/>
      </w:pPr>
      <w:r>
        <w:rPr>
          <w:rFonts w:ascii="Arial" w:cs="Arial" w:eastAsia="Arial" w:hAnsi="Arial"/>
          <w:b/>
          <w:bCs/>
          <w:sz w:val="24"/>
          <w:szCs w:val="24"/>
        </w:rPr>
        <w:t xml:space="preserve">5.2  Long-Run [+2,+30]: AI-Core Intensity Predicts Subsequent Returns</w:t>
      </w:r>
    </w:p>
    <w:p>
      <w:pPr>
        <w:spacing w:after="160"/>
      </w:pPr>
      <w:r>
        <w:rPr>
          <w:rFonts w:ascii="Arial" w:cs="Arial" w:eastAsia="Arial" w:hAnsi="Arial"/>
          <w:sz w:val="22"/>
          <w:szCs w:val="22"/>
        </w:rPr>
        <w:t xml:space="preserve">The results shift markedly at the longer horizon. AI-core intensity is positive and significant across all three transcript segments in the CAR [+2,+30] window: total (0.0043***, SE 0.001), presentation (0.0028**, SE 0.001), and Q&amp;A (0.0039***, SE 0.001). The coefficients are smaller than in the prior inter-call specification, which is expected given the tighter and cleaner window, but remain highly significant. LM tone is entirely absent in every long-run model — in fact the point estimates are near zero or slightly negative — completing the two-channel picture.</w:t>
      </w:r>
    </w:p>
    <w:p>
      <w:pPr>
        <w:spacing w:after="160"/>
      </w:pPr>
      <w:r>
        <w:rPr>
          <w:rFonts w:ascii="Arial" w:cs="Arial" w:eastAsia="Arial" w:hAnsi="Arial"/>
          <w:sz w:val="22"/>
          <w:szCs w:val="22"/>
        </w:rPr>
        <w:t xml:space="preserve">The Q&amp;A result remains theoretically important: unscripted AI mentions are less susceptible to strategic framing, making the Q&amp;A channel a more credible indicator of genuine AI engagement. Firm size (−0.058***) and, marginally, ROA (0.317*) are the only controls with consistent long-run significance.</w:t>
      </w:r>
    </w:p>
    <w:p>
      <w:pPr>
        <w:pStyle w:val="Heading2"/>
      </w:pPr>
      <w:r>
        <w:rPr>
          <w:rFonts w:ascii="Arial" w:cs="Arial" w:eastAsia="Arial" w:hAnsi="Arial"/>
          <w:b/>
          <w:bCs/>
          <w:sz w:val="24"/>
          <w:szCs w:val="24"/>
        </w:rPr>
        <w:t xml:space="preserve">5.3  Robustness: Semiconductor Segmentation</w:t>
      </w:r>
    </w:p>
    <w:p>
      <w:pPr>
        <w:spacing w:after="160"/>
      </w:pPr>
      <w:r>
        <w:rPr>
          <w:rFonts w:ascii="Arial" w:cs="Arial" w:eastAsia="Arial" w:hAnsi="Arial"/>
          <w:sz w:val="22"/>
          <w:szCs w:val="22"/>
        </w:rPr>
        <w:t xml:space="preserve">The sample is split into full (N = 98, 1,533 obs.), semiconductor-only (NVDA, AMD, INTC, QCOM, AVGO, TXN; N = 6, 95 obs.), and ex-semiconductor (N = 92, 1,438 obs.) sub-samples estimated under identical specifications.</w:t>
      </w:r>
    </w:p>
    <w:p>
      <w:pPr>
        <w:spacing w:after="160"/>
      </w:pPr>
      <w:r>
        <w:rPr>
          <w:rFonts w:ascii="Arial" w:cs="Arial" w:eastAsia="Arial" w:hAnsi="Arial"/>
          <w:sz w:val="22"/>
          <w:szCs w:val="22"/>
        </w:rPr>
        <w:t xml:space="preserve">For the short run, LM tone is essentially invariant to the split (0.065*** full, 0.065*** ex-semiconductor), confirming that the sentiment channel is entirely broad-based and not a semiconductor artefact. In the semiconductor-only sub-sample, tone is insignificant and LM uncertainty becomes strongly negative (−26.1***), reflecting extreme investor sensitivity to uncertainty in AI-hardware earnings — consistent with supply chain and demand visibility concerns for that sector.</w:t>
      </w:r>
    </w:p>
    <w:p>
      <w:pPr>
        <w:spacing w:after="160"/>
      </w:pPr>
      <w:r>
        <w:rPr>
          <w:rFonts w:ascii="Arial" w:cs="Arial" w:eastAsia="Arial" w:hAnsi="Arial"/>
          <w:sz w:val="22"/>
          <w:szCs w:val="22"/>
        </w:rPr>
        <w:t xml:space="preserve">For the long run, AI-core intensity attenuates modestly but remains significant after removing semiconductor firms (0.0032** vs. 0.0043***). This is a clean result: the long-run AI engagement channel is not driven by a handful of hardware firms and holds across the broader S&amp;P 100. Notably, LM uncertainty is no longer significant for semiconductors in the long-run [+2,+30] window, suggesting that uncertainty sensitivity is concentrated in the immediate reaction rather than persisting over the following month.</w:t>
      </w:r>
    </w:p>
    <w:p>
      <w:pPr>
        <w:pStyle w:val="Heading2"/>
      </w:pPr>
      <w:r>
        <w:rPr>
          <w:rFonts w:ascii="Arial" w:cs="Arial" w:eastAsia="Arial" w:hAnsi="Arial"/>
          <w:b/>
          <w:bCs/>
          <w:sz w:val="24"/>
          <w:szCs w:val="24"/>
        </w:rPr>
        <w:t xml:space="preserve">5.4  Additional: AI-Adjacent Intensity — A More Prominent Long-Run Finding</w:t>
      </w:r>
    </w:p>
    <w:p>
      <w:pPr>
        <w:spacing w:after="160"/>
      </w:pPr>
      <w:r>
        <w:rPr>
          <w:rFonts w:ascii="Arial" w:cs="Arial" w:eastAsia="Arial" w:hAnsi="Arial"/>
          <w:sz w:val="22"/>
          <w:szCs w:val="22"/>
        </w:rPr>
        <w:t xml:space="preserve">AI-adjacent intensity (broader technology-oriented language) remains insignificant in all short-run specifications, consistent with investors not reacting to general tech language in the immediate event window.</w:t>
      </w:r>
    </w:p>
    <w:p>
      <w:pPr>
        <w:spacing w:after="160"/>
      </w:pPr>
      <w:r>
        <w:rPr>
          <w:rFonts w:ascii="Arial" w:cs="Arial" w:eastAsia="Arial" w:hAnsi="Arial"/>
          <w:sz w:val="22"/>
          <w:szCs w:val="22"/>
        </w:rPr>
        <w:t xml:space="preserve">In the long-run [+2,+30] window, however, AI-adjacent intensity is now positive and highly significant: total (0.0138***, SE 0.005), presentation (0.0079**, SE 0.004), and Q&amp;A (0.0094**, SE 0.005). Crucially, this result survives semiconductor exclusion (0.0118**, SE 0.005), ruling out the possibility that it is driven by hardware firms for whom broad tech language reflects core operations. This is a more prominent result than in earlier specifications and warrants treatment as a substantive secondary finding rather than a robustness footnote.</w:t>
      </w:r>
    </w:p>
    <w:p>
      <w:pPr>
        <w:spacing w:after="160"/>
      </w:pPr>
      <w:r>
        <w:rPr>
          <w:rFonts w:ascii="Arial" w:cs="Arial" w:eastAsia="Arial" w:hAnsi="Arial"/>
          <w:sz w:val="22"/>
          <w:szCs w:val="22"/>
        </w:rPr>
        <w:t xml:space="preserve">The co-existence of significant AI-core and AI-adjacent effects in the long run suggests that the market prices both explicit AI engagement and broader technology-oriented positioning over the post-announcement horizon. The AI-core effect remains the primary finding given its theoretical grounding, but the AI-adjacent result adds nuance: general tech narrative also carries some longer-run informational content, just not in the immediate window.</w:t>
      </w:r>
    </w:p>
    <w:p>
      <w:r>
        <w:t xml:space="preserve"/>
      </w:r>
    </w:p>
    <w:p>
      <w:pPr>
        <w:pStyle w:val="Heading1"/>
      </w:pPr>
      <w:r>
        <w:rPr>
          <w:rFonts w:ascii="Arial" w:cs="Arial" w:eastAsia="Arial" w:hAnsi="Arial"/>
          <w:b/>
          <w:bCs/>
          <w:sz w:val="28"/>
          <w:szCs w:val="28"/>
        </w:rPr>
        <w:t xml:space="preserve">6.  Thesis Story Line</w:t>
      </w:r>
    </w:p>
    <w:p>
      <w:pPr>
        <w:pBdr>
          <w:bottom w:val="single" w:color="CCCCCC" w:sz="4" w:space="4"/>
        </w:pBdr>
        <w:spacing w:after="100" w:before="100"/>
      </w:pPr>
      <w:r>
        <w:t xml:space="preserve"/>
      </w:r>
    </w:p>
    <w:p>
      <w:pPr>
        <w:spacing w:after="160" w:before="160"/>
      </w:pPr>
      <w:r>
        <w:rPr>
          <w:rFonts w:ascii="Arial" w:cs="Arial" w:eastAsia="Arial" w:hAnsi="Arial"/>
          <w:b/>
          <w:bCs/>
          <w:sz w:val="22"/>
          <w:szCs w:val="22"/>
        </w:rPr>
        <w:t xml:space="preserve">The overall narrative: </w:t>
      </w:r>
      <w:r>
        <w:rPr>
          <w:rFonts w:ascii="Arial" w:cs="Arial" w:eastAsia="Arial" w:hAnsi="Arial"/>
          <w:sz w:val="22"/>
          <w:szCs w:val="22"/>
        </w:rPr>
        <w:t xml:space="preserve">The market does not blindly chase AI keyword counts in the immediate window (H1 rejected), but it does respond to how positively management communicates (H2 supported). Over the following month, both AI-core intensity and broader AI-adjacent language predict positive returns (H3 supported), consistent with gradual information incorporation. This tells a story of differentiated information processing: tone is the fast channel, AI content is the slow one. Rather than a hype-and-correction cycle, the thesis documents two distinct pricing mechanisms operating at different horizons — a richer and more defensible finding than the original reversal framing.</w:t>
      </w:r>
    </w:p>
    <w:p>
      <w:pPr>
        <w:pBdr>
          <w:bottom w:val="single" w:color="CCCCCC" w:sz="4" w:space="4"/>
        </w:pBdr>
        <w:spacing w:after="100" w:before="10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2026-05-01T14:01:34.791Z</dcterms:created>
  <dcterms:modified xsi:type="dcterms:W3CDTF">2026-05-01T14:01:34.791Z</dcterms:modified>
</cp:coreProperties>
</file>

<file path=docProps/custom.xml><?xml version="1.0" encoding="utf-8"?>
<Properties xmlns="http://schemas.openxmlformats.org/officeDocument/2006/custom-properties" xmlns:vt="http://schemas.openxmlformats.org/officeDocument/2006/docPropsVTypes"/>
</file>