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Times New Roman" w:cs="Times New Roman" w:eastAsia="Times New Roman" w:hAnsi="Times New Roman"/>
          <w:b/>
          <w:bCs/>
          <w:color w:val="1F3864"/>
          <w:sz w:val="52"/>
          <w:szCs w:val="52"/>
        </w:rPr>
        <w:t xml:space="preserve">BNPL Safeguard</w:t>
      </w:r>
    </w:p>
    <w:p>
      <w:pPr>
        <w:spacing w:after="200"/>
        <w:jc w:val="center"/>
      </w:pPr>
      <w:r>
        <w:rPr>
          <w:rFonts w:ascii="Times New Roman" w:cs="Times New Roman" w:eastAsia="Times New Roman" w:hAnsi="Times New Roman"/>
          <w:i/>
          <w:iCs/>
          <w:color w:val="4472C4"/>
          <w:sz w:val="26"/>
          <w:szCs w:val="26"/>
        </w:rPr>
        <w:t xml:space="preserve">A Consumer-Side Buy Now, Pay Later Protection Platform</w:t>
      </w:r>
    </w:p>
    <w:p>
      <w:pPr>
        <w:spacing w:after="80"/>
        <w:jc w:val="center"/>
      </w:pPr>
      <w:r>
        <w:rPr>
          <w:rFonts w:ascii="Times New Roman" w:cs="Times New Roman" w:eastAsia="Times New Roman" w:hAnsi="Times New Roman"/>
          <w:color w:val="555555"/>
          <w:sz w:val="26"/>
          <w:szCs w:val="26"/>
        </w:rPr>
        <w:t xml:space="preserve">Business Plan</w:t>
      </w:r>
    </w:p>
    <w:p>
      <w:pPr>
        <w:spacing w:after="2400"/>
        <w:jc w:val="center"/>
      </w:pPr>
      <w:r>
        <w:rPr>
          <w:rFonts w:ascii="Times New Roman" w:cs="Times New Roman" w:eastAsia="Times New Roman" w:hAnsi="Times New Roman"/>
          <w:color w:val="888888"/>
          <w:sz w:val="22"/>
          <w:szCs w:val="22"/>
        </w:rPr>
        <w:t xml:space="preserve">May 2026</w:t>
      </w:r>
    </w:p>
    <w:p>
      <w:pPr>
        <w:pBdr>
          <w:bottom w:val="single" w:color="1F3864" w:sz="6" w:space="4"/>
        </w:pBdr>
        <w:spacing w:after="120" w:before="320" w:line="360" w:lineRule="auto"/>
      </w:pPr>
      <w:r>
        <w:rPr>
          <w:rFonts w:ascii="Times New Roman" w:cs="Times New Roman" w:eastAsia="Times New Roman" w:hAnsi="Times New Roman"/>
          <w:b/>
          <w:bCs/>
          <w:color w:val="1F3864"/>
          <w:sz w:val="28"/>
          <w:szCs w:val="28"/>
        </w:rPr>
        <w:t xml:space="preserve">Executive Summary</w:t>
      </w:r>
    </w:p>
    <w:p>
      <w:pPr>
        <w:spacing w:after="160" w:line="360" w:lineRule="auto"/>
      </w:pPr>
      <w:r>
        <w:rPr>
          <w:rFonts w:ascii="Times New Roman" w:cs="Times New Roman" w:eastAsia="Times New Roman" w:hAnsi="Times New Roman"/>
          <w:sz w:val="22"/>
          <w:szCs w:val="22"/>
        </w:rPr>
        <w:t xml:space="preserve">BNPL Safeguard is a financial technology startup that provides consumers with a neutral, cross-provider dashboard to track, manage, and pre-empt Buy Now, Pay Later (BNPL) debt. Unlike safeguards built by the BNPL providers themselves — who have an inherent conflict of interest — BNPL Safeguard acts exclusively on behalf of the consumer. The platform leverages open banking infrastructure, AI-driven affordability forecasting, and a point-of-purchase browser extension to intervene before debt accumulates. A secondary B2B revenue stream monetises anonymised behavioural data through a proprietary BNPL Reliability Score sold to lenders and financial institutions.</w:t>
      </w:r>
    </w:p>
    <w:p>
      <w:pPr>
        <w:spacing w:after="80"/>
      </w:pPr>
      <w:r>
        <w:t xml:space="preserve"/>
      </w:r>
    </w:p>
    <w:p>
      <w:pPr>
        <w:pBdr>
          <w:bottom w:val="single" w:color="1F3864" w:sz="6" w:space="4"/>
        </w:pBdr>
        <w:spacing w:after="120" w:before="320" w:line="360" w:lineRule="auto"/>
      </w:pPr>
      <w:r>
        <w:rPr>
          <w:rFonts w:ascii="Times New Roman" w:cs="Times New Roman" w:eastAsia="Times New Roman" w:hAnsi="Times New Roman"/>
          <w:b/>
          <w:bCs/>
          <w:color w:val="1F3864"/>
          <w:sz w:val="28"/>
          <w:szCs w:val="28"/>
        </w:rPr>
        <w:t xml:space="preserve">1. Pain Point</w:t>
      </w:r>
    </w:p>
    <w:p>
      <w:pPr>
        <w:spacing w:after="160" w:line="360" w:lineRule="auto"/>
      </w:pPr>
      <w:r>
        <w:rPr>
          <w:rFonts w:ascii="Times New Roman" w:cs="Times New Roman" w:eastAsia="Times New Roman" w:hAnsi="Times New Roman"/>
          <w:sz w:val="22"/>
          <w:szCs w:val="22"/>
        </w:rPr>
        <w:t xml:space="preserve">Buy Now, Pay Later has grown into a mainstream credit product, yet its regulatory and consumer-protection infrastructure has not kept pace. In North America, 37% of consumers now use at least one BNPL service, and adoption in Europe — historically lower — has accelerated sharply following the entry of Klarna, Clearpay (Afterpay), and Scalapay into those markets.</w:t>
      </w:r>
    </w:p>
    <w:p>
      <w:pPr>
        <w:spacing w:after="160" w:line="360" w:lineRule="auto"/>
      </w:pPr>
      <w:r>
        <w:rPr>
          <w:rFonts w:ascii="Times New Roman" w:cs="Times New Roman" w:eastAsia="Times New Roman" w:hAnsi="Times New Roman"/>
          <w:sz w:val="22"/>
          <w:szCs w:val="22"/>
        </w:rPr>
        <w:t xml:space="preserve">The fundamental inefficiency lies in the architecture of BNPL itself. Unlike credit cards, BNPL products are designed to minimise the psychological weight of spending: instalments are small, repayment periods are short, and there is no centralised credit-reporting obligation. The result is a fragmented debt landscape in which a single consumer may simultaneously carry obligations across three or four providers — Klarna, Afterpay, Affirm, Zip — with no unified view of their total exposure.</w:t>
      </w:r>
    </w:p>
    <w:p>
      <w:pPr>
        <w:spacing w:after="160" w:line="360" w:lineRule="auto"/>
      </w:pPr>
      <w:r>
        <w:rPr>
          <w:rFonts w:ascii="Times New Roman" w:cs="Times New Roman" w:eastAsia="Times New Roman" w:hAnsi="Times New Roman"/>
          <w:sz w:val="22"/>
          <w:szCs w:val="22"/>
        </w:rPr>
        <w:t xml:space="preserve">Industry data underscores the harm: approximately 34–41% of BNPL users report having missed at least one payment. Approximately 70% of users who miss payments do so not because of unwillingness to pay, but because they had lost track of overlapping obligations. The CFPB's December 2025 market report confirmed that BNPL obligations remain largely invisible to traditional credit-scoring systems, which means lenders cannot adequately assess a borrower's true indebtedness, and consumers receive no external signal that they are overextended.</w:t>
      </w:r>
    </w:p>
    <w:p>
      <w:pPr>
        <w:spacing w:after="160" w:line="360" w:lineRule="auto"/>
      </w:pPr>
      <w:r>
        <w:rPr>
          <w:rFonts w:ascii="Times New Roman" w:cs="Times New Roman" w:eastAsia="Times New Roman" w:hAnsi="Times New Roman"/>
          <w:sz w:val="22"/>
          <w:szCs w:val="22"/>
        </w:rPr>
        <w:t xml:space="preserve">In short: the financial service is currently organised around provider silos, with no neutral third-party layer to aggregate obligations, alert consumers before commitments are made, or feed BNPL behaviour into credit assessments. This structural gap is the problem BNPL Safeguard exists to solve.</w:t>
      </w:r>
    </w:p>
    <w:p>
      <w:pPr>
        <w:spacing w:after="80"/>
      </w:pPr>
      <w:r>
        <w:t xml:space="preserve"/>
      </w:r>
    </w:p>
    <w:p>
      <w:pPr>
        <w:pBdr>
          <w:bottom w:val="single" w:color="1F3864" w:sz="6" w:space="4"/>
        </w:pBdr>
        <w:spacing w:after="120" w:before="320" w:line="360" w:lineRule="auto"/>
      </w:pPr>
      <w:r>
        <w:rPr>
          <w:rFonts w:ascii="Times New Roman" w:cs="Times New Roman" w:eastAsia="Times New Roman" w:hAnsi="Times New Roman"/>
          <w:b/>
          <w:bCs/>
          <w:color w:val="1F3864"/>
          <w:sz w:val="28"/>
          <w:szCs w:val="28"/>
        </w:rPr>
        <w:t xml:space="preserve">2. Innovation</w:t>
      </w:r>
    </w:p>
    <w:p>
      <w:pPr>
        <w:spacing w:after="80" w:before="200" w:line="360" w:lineRule="auto"/>
      </w:pPr>
      <w:r>
        <w:rPr>
          <w:rFonts w:ascii="Times New Roman" w:cs="Times New Roman" w:eastAsia="Times New Roman" w:hAnsi="Times New Roman"/>
          <w:b/>
          <w:bCs/>
          <w:i/>
          <w:iCs/>
          <w:color w:val="2E4057"/>
          <w:sz w:val="26"/>
          <w:szCs w:val="26"/>
        </w:rPr>
        <w:t xml:space="preserve">2.1  Conceptual Innovation</w:t>
      </w:r>
    </w:p>
    <w:p>
      <w:pPr>
        <w:spacing w:after="160" w:line="360" w:lineRule="auto"/>
      </w:pPr>
      <w:r>
        <w:rPr>
          <w:rFonts w:ascii="Times New Roman" w:cs="Times New Roman" w:eastAsia="Times New Roman" w:hAnsi="Times New Roman"/>
          <w:sz w:val="22"/>
          <w:szCs w:val="22"/>
        </w:rPr>
        <w:t xml:space="preserve">The core conceptual innovation is the consumer-side safeguard layer: a neutral intermediary positioned between BNPL providers and the consumer, with no financial incentive to encourage spending. Every existing safeguard is either built in-house by a provider (conflict of interest), embedded in a generic budgeting app (not BNPL-specific and entirely reactive), or absent. BNPL Safeguard is the first purpose-built, proactive, cross-provider BNPL protection product.</w:t>
      </w:r>
    </w:p>
    <w:p>
      <w:pPr>
        <w:spacing w:after="80" w:before="200" w:line="360" w:lineRule="auto"/>
      </w:pPr>
      <w:r>
        <w:rPr>
          <w:rFonts w:ascii="Times New Roman" w:cs="Times New Roman" w:eastAsia="Times New Roman" w:hAnsi="Times New Roman"/>
          <w:b/>
          <w:bCs/>
          <w:i/>
          <w:iCs/>
          <w:color w:val="2E4057"/>
          <w:sz w:val="26"/>
          <w:szCs w:val="26"/>
        </w:rPr>
        <w:t xml:space="preserve">2.2  Technology Stack</w:t>
      </w:r>
    </w:p>
    <w:p>
      <w:pPr>
        <w:spacing w:after="160" w:line="360" w:lineRule="auto"/>
      </w:pPr>
      <w:r>
        <w:rPr>
          <w:rFonts w:ascii="Times New Roman" w:cs="Times New Roman" w:eastAsia="Times New Roman" w:hAnsi="Times New Roman"/>
          <w:sz w:val="22"/>
          <w:szCs w:val="22"/>
        </w:rPr>
        <w:t xml:space="preserve">The platform depends on four interlocking technologies:</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Open Banking Aggregation — Using PSD2-compliant APIs in Europe (via TrueLayer or Tink) and emerging open banking rails in North America (via Plaid), the app connects to a user's bank account to automatically detect and categorise BNPL transactions across all providers. No manual input is required; no direct API relationship with BNPL companies is needed. This is the critical data-access breakthrough that makes cross-provider visibility possible without requiring provider cooperation.</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Point-of-Purchase Browser Extension — A lightweight extension activates at checkout whenever a BNPL payment option appears. Before the user commits, the extension surfaces their real-time BNPL burden and a traffic-light affordability signal (green / amber / red). This is the proactive moment that no competitor — including the BNPL providers themselves — currently addresses.</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AI Affordability Forecasting Engine — Using a user's income patterns and upcoming BNPL obligations (identified via open banking), the engine models future cash flow to flag weeks where multiple repayments converge. It shifts the product from reactive tracking to predictive protection.</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Email and Receipt Parsing (Fallback) — For BNPL providers not yet reachable via open banking, the app parses confirmation emails to extract obligation data automatically. This ensures near-complete coverage from day one.</w:t>
      </w:r>
    </w:p>
    <w:p>
      <w:pPr>
        <w:spacing w:after="80" w:before="200" w:line="360" w:lineRule="auto"/>
      </w:pPr>
      <w:r>
        <w:rPr>
          <w:rFonts w:ascii="Times New Roman" w:cs="Times New Roman" w:eastAsia="Times New Roman" w:hAnsi="Times New Roman"/>
          <w:b/>
          <w:bCs/>
          <w:i/>
          <w:iCs/>
          <w:color w:val="2E4057"/>
          <w:sz w:val="26"/>
          <w:szCs w:val="26"/>
        </w:rPr>
        <w:t xml:space="preserve">2.3  Why This Technology Is Appropriate</w:t>
      </w:r>
    </w:p>
    <w:p>
      <w:pPr>
        <w:spacing w:after="160" w:line="360" w:lineRule="auto"/>
      </w:pPr>
      <w:r>
        <w:rPr>
          <w:rFonts w:ascii="Times New Roman" w:cs="Times New Roman" w:eastAsia="Times New Roman" w:hAnsi="Times New Roman"/>
          <w:sz w:val="22"/>
          <w:szCs w:val="22"/>
        </w:rPr>
        <w:t xml:space="preserve">Open banking has reached the maturity required to make this product viable today. PSD2 has been in force across Europe since 2019; the UK's Financial Conduct Authority has expanded open banking access significantly since 2023; and US open banking (enabled by CFPB Section 1033 rulemaking) is now actively developing. The timing is optimal: infrastructure is mature, regulatory mandates are aligning, and consumer comfort with bank-account linking (evidenced by the mass adoption of Plaid-connected apps) has passed the tipping point. The browser extension exploits the one moment — the checkout screen — where intervention is both most needed and most tolerated by users.</w:t>
      </w:r>
    </w:p>
    <w:p>
      <w:pPr>
        <w:spacing w:after="80"/>
      </w:pPr>
      <w:r>
        <w:t xml:space="preserve"/>
      </w:r>
    </w:p>
    <w:p>
      <w:pPr>
        <w:pBdr>
          <w:bottom w:val="single" w:color="1F3864" w:sz="6" w:space="4"/>
        </w:pBdr>
        <w:spacing w:after="120" w:before="320" w:line="360" w:lineRule="auto"/>
      </w:pPr>
      <w:r>
        <w:rPr>
          <w:rFonts w:ascii="Times New Roman" w:cs="Times New Roman" w:eastAsia="Times New Roman" w:hAnsi="Times New Roman"/>
          <w:b/>
          <w:bCs/>
          <w:color w:val="1F3864"/>
          <w:sz w:val="28"/>
          <w:szCs w:val="28"/>
        </w:rPr>
        <w:t xml:space="preserve">3. Revenue Model</w:t>
      </w:r>
    </w:p>
    <w:p>
      <w:pPr>
        <w:spacing w:after="80" w:before="200" w:line="360" w:lineRule="auto"/>
      </w:pPr>
      <w:r>
        <w:rPr>
          <w:rFonts w:ascii="Times New Roman" w:cs="Times New Roman" w:eastAsia="Times New Roman" w:hAnsi="Times New Roman"/>
          <w:b/>
          <w:bCs/>
          <w:i/>
          <w:iCs/>
          <w:color w:val="2E4057"/>
          <w:sz w:val="26"/>
          <w:szCs w:val="26"/>
        </w:rPr>
        <w:t xml:space="preserve">3.1  B2C — Subscription (Consumer Tier)</w:t>
      </w:r>
    </w:p>
    <w:p>
      <w:pPr>
        <w:spacing w:after="160" w:line="360" w:lineRule="auto"/>
      </w:pPr>
      <w:r>
        <w:rPr>
          <w:rFonts w:ascii="Times New Roman" w:cs="Times New Roman" w:eastAsia="Times New Roman" w:hAnsi="Times New Roman"/>
          <w:sz w:val="22"/>
          <w:szCs w:val="22"/>
        </w:rPr>
        <w:t xml:space="preserve">The consumer product operates on a freemium model. A free tier provides a basic BNPL dashboard and payment reminders, driving user acquisition and data accumulation. A premium tier (target price: €6–8/month) unlocks the AI affordability forecaster, the browser extension with real-time intervention, and advanced analytics. Given that the average BNPL user carries €300–500 in live obligations at any time, a subscription priced at roughly one missed-payment fee represents an easily justified expenditure.</w:t>
      </w:r>
    </w:p>
    <w:p>
      <w:pPr>
        <w:spacing w:after="80" w:before="200" w:line="360" w:lineRule="auto"/>
      </w:pPr>
      <w:r>
        <w:rPr>
          <w:rFonts w:ascii="Times New Roman" w:cs="Times New Roman" w:eastAsia="Times New Roman" w:hAnsi="Times New Roman"/>
          <w:b/>
          <w:bCs/>
          <w:i/>
          <w:iCs/>
          <w:color w:val="2E4057"/>
          <w:sz w:val="26"/>
          <w:szCs w:val="26"/>
        </w:rPr>
        <w:t xml:space="preserve">3.2  B2B — BNPL Reliability Score</w:t>
      </w:r>
    </w:p>
    <w:p>
      <w:pPr>
        <w:spacing w:after="160" w:line="360" w:lineRule="auto"/>
      </w:pPr>
      <w:r>
        <w:rPr>
          <w:rFonts w:ascii="Times New Roman" w:cs="Times New Roman" w:eastAsia="Times New Roman" w:hAnsi="Times New Roman"/>
          <w:sz w:val="22"/>
          <w:szCs w:val="22"/>
        </w:rPr>
        <w:t xml:space="preserve">The more defensible and scalable revenue stream is a B2B data product. As the platform accumulates cross-provider payment behaviour — specifically how far in advance of deadlines users pay, and patterns of early versus late repayment — it builds a dataset that no single BNPL provider can replicate, because each provider only sees their own customers' behaviour.</w:t>
      </w:r>
    </w:p>
    <w:p>
      <w:pPr>
        <w:spacing w:after="160" w:line="360" w:lineRule="auto"/>
      </w:pPr>
      <w:r>
        <w:rPr>
          <w:rFonts w:ascii="Times New Roman" w:cs="Times New Roman" w:eastAsia="Times New Roman" w:hAnsi="Times New Roman"/>
          <w:sz w:val="22"/>
          <w:szCs w:val="22"/>
        </w:rPr>
        <w:t xml:space="preserve">This dataset powers a proprietary BNPL Reliability Score, sold to:</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BNPL providers seeking to improve underwriting accuracy and reduce default rates.</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Banks and credit bureaus (Experian, Equifax) integrating BNPL behaviour into mainstream credit files.</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Financial wellness platforms and employers offering salary-linked financial health benefits.</w:t>
      </w:r>
    </w:p>
    <w:p>
      <w:pPr>
        <w:spacing w:after="160" w:line="360" w:lineRule="auto"/>
      </w:pPr>
      <w:r>
        <w:rPr>
          <w:rFonts w:ascii="Times New Roman" w:cs="Times New Roman" w:eastAsia="Times New Roman" w:hAnsi="Times New Roman"/>
          <w:sz w:val="22"/>
          <w:szCs w:val="22"/>
        </w:rPr>
        <w:t xml:space="preserve">The B2B product is priced on a per-query or API-access basis, creating recurring, volume-driven revenue that scales independently of the consumer subscription base.</w:t>
      </w:r>
    </w:p>
    <w:p>
      <w:pPr>
        <w:spacing w:after="80"/>
      </w:pPr>
      <w:r>
        <w:t xml:space="preserve"/>
      </w:r>
    </w:p>
    <w:p>
      <w:pPr>
        <w:pBdr>
          <w:bottom w:val="single" w:color="1F3864" w:sz="6" w:space="4"/>
        </w:pBdr>
        <w:spacing w:after="120" w:before="320" w:line="360" w:lineRule="auto"/>
      </w:pPr>
      <w:r>
        <w:rPr>
          <w:rFonts w:ascii="Times New Roman" w:cs="Times New Roman" w:eastAsia="Times New Roman" w:hAnsi="Times New Roman"/>
          <w:b/>
          <w:bCs/>
          <w:color w:val="1F3864"/>
          <w:sz w:val="28"/>
          <w:szCs w:val="28"/>
        </w:rPr>
        <w:t xml:space="preserve">4. Competitive Advantage</w:t>
      </w:r>
    </w:p>
    <w:p>
      <w:pPr>
        <w:spacing w:after="160" w:line="360" w:lineRule="auto"/>
      </w:pPr>
      <w:r>
        <w:rPr>
          <w:rFonts w:ascii="Times New Roman" w:cs="Times New Roman" w:eastAsia="Times New Roman" w:hAnsi="Times New Roman"/>
          <w:b/>
          <w:bCs/>
          <w:sz w:val="22"/>
          <w:szCs w:val="22"/>
        </w:rPr>
        <w:t xml:space="preserve">First-mover position. </w:t>
      </w:r>
      <w:r>
        <w:rPr>
          <w:rFonts w:ascii="Times New Roman" w:cs="Times New Roman" w:eastAsia="Times New Roman" w:hAnsi="Times New Roman"/>
          <w:sz w:val="22"/>
          <w:szCs w:val="22"/>
        </w:rPr>
        <w:t xml:space="preserve">No standalone, consumer-side BNPL safeguard product currently exists. Generic budgeting apps (YNAB, Copilot, Emma) treat BNPL as a transaction category but offer no proactive intervention and no cross-provider aggregation. BNPL providers' own safeguard features (Klarna's spending controls, Afterpay's limits) are structurally conflicted and cover only their own product.</w:t>
      </w:r>
    </w:p>
    <w:p>
      <w:pPr>
        <w:spacing w:after="160" w:line="360" w:lineRule="auto"/>
      </w:pPr>
      <w:r>
        <w:rPr>
          <w:rFonts w:ascii="Times New Roman" w:cs="Times New Roman" w:eastAsia="Times New Roman" w:hAnsi="Times New Roman"/>
          <w:b/>
          <w:bCs/>
          <w:sz w:val="22"/>
          <w:szCs w:val="22"/>
        </w:rPr>
        <w:t xml:space="preserve">Structural neutrality. </w:t>
      </w:r>
      <w:r>
        <w:rPr>
          <w:rFonts w:ascii="Times New Roman" w:cs="Times New Roman" w:eastAsia="Times New Roman" w:hAnsi="Times New Roman"/>
          <w:sz w:val="22"/>
          <w:szCs w:val="22"/>
        </w:rPr>
        <w:t xml:space="preserve">BNPL Safeguard has no financial incentive to encourage spending. This is a genuine and communicable distinction: the pitch to consumers is simply, 'The BNPL companies are not going to protect you. We will.'</w:t>
      </w:r>
    </w:p>
    <w:p>
      <w:pPr>
        <w:spacing w:after="160" w:line="360" w:lineRule="auto"/>
      </w:pPr>
      <w:r>
        <w:rPr>
          <w:rFonts w:ascii="Times New Roman" w:cs="Times New Roman" w:eastAsia="Times New Roman" w:hAnsi="Times New Roman"/>
          <w:b/>
          <w:bCs/>
          <w:sz w:val="22"/>
          <w:szCs w:val="22"/>
        </w:rPr>
        <w:t xml:space="preserve">Cross-provider data moat. </w:t>
      </w:r>
      <w:r>
        <w:rPr>
          <w:rFonts w:ascii="Times New Roman" w:cs="Times New Roman" w:eastAsia="Times New Roman" w:hAnsi="Times New Roman"/>
          <w:sz w:val="22"/>
          <w:szCs w:val="22"/>
        </w:rPr>
        <w:t xml:space="preserve">Each new user strengthens the reliability of the BNPL Reliability Score. This data network effect is impossible for any single BNPL provider to replicate, as they cannot see customers' obligations with competitors. The moat widens with scale.</w:t>
      </w:r>
    </w:p>
    <w:p>
      <w:pPr>
        <w:spacing w:after="160" w:line="360" w:lineRule="auto"/>
      </w:pPr>
      <w:r>
        <w:rPr>
          <w:rFonts w:ascii="Times New Roman" w:cs="Times New Roman" w:eastAsia="Times New Roman" w:hAnsi="Times New Roman"/>
          <w:b/>
          <w:bCs/>
          <w:sz w:val="22"/>
          <w:szCs w:val="22"/>
        </w:rPr>
        <w:t xml:space="preserve">Regulatory tailwinds. </w:t>
      </w:r>
      <w:r>
        <w:rPr>
          <w:rFonts w:ascii="Times New Roman" w:cs="Times New Roman" w:eastAsia="Times New Roman" w:hAnsi="Times New Roman"/>
          <w:sz w:val="22"/>
          <w:szCs w:val="22"/>
        </w:rPr>
        <w:t xml:space="preserve">The UK FCA's BNPL regulatory framework takes effect in mid-2026, requiring affordability checks and greater disclosure. New York State's BNPL licensing legislation (signed May 2025) reflects a broader regulatory trend. These developments increase institutional demand for exactly the kind of independent, consumer-protective infrastructure that BNPL Safeguard provides.</w:t>
      </w:r>
    </w:p>
    <w:p>
      <w:pPr>
        <w:spacing w:after="160" w:line="360" w:lineRule="auto"/>
      </w:pPr>
      <w:r>
        <w:rPr>
          <w:rFonts w:ascii="Times New Roman" w:cs="Times New Roman" w:eastAsia="Times New Roman" w:hAnsi="Times New Roman"/>
          <w:b/>
          <w:bCs/>
          <w:sz w:val="22"/>
          <w:szCs w:val="22"/>
        </w:rPr>
        <w:t xml:space="preserve">Open banking infrastructure advantage. </w:t>
      </w:r>
      <w:r>
        <w:rPr>
          <w:rFonts w:ascii="Times New Roman" w:cs="Times New Roman" w:eastAsia="Times New Roman" w:hAnsi="Times New Roman"/>
          <w:sz w:val="22"/>
          <w:szCs w:val="22"/>
        </w:rPr>
        <w:t xml:space="preserve">Competitors built before the maturation of open banking rely on manual import or screen scraping. BNPL Safeguard is designed from the ground up around open banking APIs, giving it a cleaner, more reliable, and more privacy-respecting data pipeline.</w:t>
      </w:r>
    </w:p>
    <w:p>
      <w:pPr>
        <w:spacing w:after="80"/>
      </w:pPr>
      <w:r>
        <w:t xml:space="preserve"/>
      </w:r>
    </w:p>
    <w:p>
      <w:pPr>
        <w:pBdr>
          <w:bottom w:val="single" w:color="1F3864" w:sz="6" w:space="4"/>
        </w:pBdr>
        <w:spacing w:after="120" w:before="320" w:line="360" w:lineRule="auto"/>
      </w:pPr>
      <w:r>
        <w:rPr>
          <w:rFonts w:ascii="Times New Roman" w:cs="Times New Roman" w:eastAsia="Times New Roman" w:hAnsi="Times New Roman"/>
          <w:b/>
          <w:bCs/>
          <w:color w:val="1F3864"/>
          <w:sz w:val="28"/>
          <w:szCs w:val="28"/>
        </w:rPr>
        <w:t xml:space="preserve">5. Timeline &amp; Milestones</w:t>
      </w:r>
    </w:p>
    <w:p>
      <w:pPr>
        <w:spacing w:after="160" w:line="360" w:lineRule="auto"/>
      </w:pPr>
      <w:r>
        <w:rPr>
          <w:rFonts w:ascii="Times New Roman" w:cs="Times New Roman" w:eastAsia="Times New Roman" w:hAnsi="Times New Roman"/>
          <w:sz w:val="22"/>
          <w:szCs w:val="22"/>
        </w:rPr>
        <w:t xml:space="preserve">The venture is structured as a startup, with a phased roadmap tied to the conditions required for long-run financial viability.</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Months 1–6 (MVP): Open banking integration for EU and UK markets, basic cross-provider dashboard, iOS and Android app launch. Target: 5,000 active users. Condition: Validate that users will link bank accounts and engage weekly.</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Months 6–9 (Engagement): Browser extension launch; premium tier introduced. Target: 25,000 users, 8% premium conversion rate. Condition: Validate willingness to pay at the €6–8 price point.</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Months 9–15 (B2B Pilot): AI affordability engine live; first B2B Reliability Score pilot with two BNPL providers or credit bureaus. Condition: Demonstrate score predictive validity against actual default data.</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Months 15–24 (Scale): Series A fundraise; US market entry via Plaid integration; B2B Reliability Score commercially launched. Target: 150,000 users, break-even on operating costs.</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Year 3+: Potential acquisition by a major credit bureau or financial data aggregator, or standalone profitability driven by B2B SaaS revenue.</w:t>
      </w:r>
    </w:p>
    <w:p>
      <w:pPr>
        <w:spacing w:after="80"/>
      </w:pPr>
      <w:r>
        <w:t xml:space="preserve"/>
      </w:r>
    </w:p>
    <w:p>
      <w:pPr>
        <w:pBdr>
          <w:bottom w:val="single" w:color="1F3864" w:sz="6" w:space="4"/>
        </w:pBdr>
        <w:spacing w:after="120" w:before="320" w:line="360" w:lineRule="auto"/>
      </w:pPr>
      <w:r>
        <w:rPr>
          <w:rFonts w:ascii="Times New Roman" w:cs="Times New Roman" w:eastAsia="Times New Roman" w:hAnsi="Times New Roman"/>
          <w:b/>
          <w:bCs/>
          <w:color w:val="1F3864"/>
          <w:sz w:val="28"/>
          <w:szCs w:val="28"/>
        </w:rPr>
        <w:t xml:space="preserve">6. Obstacles</w:t>
      </w:r>
    </w:p>
    <w:p>
      <w:pPr>
        <w:spacing w:after="80" w:before="200" w:line="360" w:lineRule="auto"/>
      </w:pPr>
      <w:r>
        <w:rPr>
          <w:rFonts w:ascii="Times New Roman" w:cs="Times New Roman" w:eastAsia="Times New Roman" w:hAnsi="Times New Roman"/>
          <w:b/>
          <w:bCs/>
          <w:i/>
          <w:iCs/>
          <w:color w:val="2E4057"/>
          <w:sz w:val="26"/>
          <w:szCs w:val="26"/>
        </w:rPr>
        <w:t xml:space="preserve">6.1  Regulatory and Compliance Risk</w:t>
      </w:r>
    </w:p>
    <w:p>
      <w:pPr>
        <w:spacing w:after="160" w:line="360" w:lineRule="auto"/>
      </w:pPr>
      <w:r>
        <w:rPr>
          <w:rFonts w:ascii="Times New Roman" w:cs="Times New Roman" w:eastAsia="Times New Roman" w:hAnsi="Times New Roman"/>
          <w:sz w:val="22"/>
          <w:szCs w:val="22"/>
        </w:rPr>
        <w:t xml:space="preserve">Operating across bank-account data in multiple jurisdictions requires compliance with GDPR (EU), UK GDPR, and CCPA (California), as well as financial services licensing where applicable. Mitigation: Partner with licensed open banking providers (TrueLayer, Tink, Plaid) who handle regulatory obligations on the data infrastructure side. Retain a data protection officer from inception. Engage proactively with the FCA and CFPB as a pro-consumer actor — the regulatory posture of these bodies currently favours the kind of transparency infrastructure BNPL Safeguard provides.</w:t>
      </w:r>
    </w:p>
    <w:p>
      <w:pPr>
        <w:spacing w:after="80" w:before="200" w:line="360" w:lineRule="auto"/>
      </w:pPr>
      <w:r>
        <w:rPr>
          <w:rFonts w:ascii="Times New Roman" w:cs="Times New Roman" w:eastAsia="Times New Roman" w:hAnsi="Times New Roman"/>
          <w:b/>
          <w:bCs/>
          <w:i/>
          <w:iCs/>
          <w:color w:val="2E4057"/>
          <w:sz w:val="26"/>
          <w:szCs w:val="26"/>
        </w:rPr>
        <w:t xml:space="preserve">6.2  User Trust and Bank-Account Linking</w:t>
      </w:r>
    </w:p>
    <w:p>
      <w:pPr>
        <w:spacing w:after="160" w:line="360" w:lineRule="auto"/>
      </w:pPr>
      <w:r>
        <w:rPr>
          <w:rFonts w:ascii="Times New Roman" w:cs="Times New Roman" w:eastAsia="Times New Roman" w:hAnsi="Times New Roman"/>
          <w:sz w:val="22"/>
          <w:szCs w:val="22"/>
        </w:rPr>
        <w:t xml:space="preserve">Persuading users to link bank accounts requires a high threshold of trust. Mitigation: Adopt a strict data minimisation policy (read-only access, no transaction data sold at individual level). Obtain third-party security certification (ISO 27001) early. The success of Plaid-connected apps (Robinhood, Venmo, Acorns) demonstrates that this trust barrier is crossable with transparent communication.</w:t>
      </w:r>
    </w:p>
    <w:p>
      <w:pPr>
        <w:spacing w:after="80" w:before="200" w:line="360" w:lineRule="auto"/>
      </w:pPr>
      <w:r>
        <w:rPr>
          <w:rFonts w:ascii="Times New Roman" w:cs="Times New Roman" w:eastAsia="Times New Roman" w:hAnsi="Times New Roman"/>
          <w:b/>
          <w:bCs/>
          <w:i/>
          <w:iCs/>
          <w:color w:val="2E4057"/>
          <w:sz w:val="26"/>
          <w:szCs w:val="26"/>
        </w:rPr>
        <w:t xml:space="preserve">6.3  BNPL Provider Resistance</w:t>
      </w:r>
    </w:p>
    <w:p>
      <w:pPr>
        <w:spacing w:after="160" w:line="360" w:lineRule="auto"/>
      </w:pPr>
      <w:r>
        <w:rPr>
          <w:rFonts w:ascii="Times New Roman" w:cs="Times New Roman" w:eastAsia="Times New Roman" w:hAnsi="Times New Roman"/>
          <w:sz w:val="22"/>
          <w:szCs w:val="22"/>
        </w:rPr>
        <w:t xml:space="preserve">Large BNPL providers may view BNPL Safeguard as a threat and attempt to restrict data access. Mitigation: Open banking does not require BNPL provider cooperation — it accesses bank transaction data, which is consumer-owned and regulated as such. Email parsing provides a secondary fallback. Over time, the B2B Reliability Score creates a commercial incentive for providers to collaborate rather than resist.</w:t>
      </w:r>
    </w:p>
    <w:p>
      <w:pPr>
        <w:spacing w:after="80" w:before="200" w:line="360" w:lineRule="auto"/>
      </w:pPr>
      <w:r>
        <w:rPr>
          <w:rFonts w:ascii="Times New Roman" w:cs="Times New Roman" w:eastAsia="Times New Roman" w:hAnsi="Times New Roman"/>
          <w:b/>
          <w:bCs/>
          <w:i/>
          <w:iCs/>
          <w:color w:val="2E4057"/>
          <w:sz w:val="26"/>
          <w:szCs w:val="26"/>
        </w:rPr>
        <w:t xml:space="preserve">6.4  In-house Replication by BNPL Providers</w:t>
      </w:r>
    </w:p>
    <w:p>
      <w:pPr>
        <w:spacing w:after="160" w:line="360" w:lineRule="auto"/>
      </w:pPr>
      <w:r>
        <w:rPr>
          <w:rFonts w:ascii="Times New Roman" w:cs="Times New Roman" w:eastAsia="Times New Roman" w:hAnsi="Times New Roman"/>
          <w:sz w:val="22"/>
          <w:szCs w:val="22"/>
        </w:rPr>
        <w:t xml:space="preserve">A provider such as Klarna could attempt to build a similar dashboard. Mitigation: A single provider can only show data from their own product. The cross-provider aggregation that constitutes BNPL Safeguard's core value proposition is structurally impossible for any individual BNPL company to replicate without industry cooperation.</w:t>
      </w:r>
    </w:p>
    <w:p>
      <w:pPr>
        <w:spacing w:after="80"/>
      </w:pPr>
      <w:r>
        <w:t xml:space="preserve"/>
      </w:r>
    </w:p>
    <w:p>
      <w:pPr>
        <w:pBdr>
          <w:bottom w:val="single" w:color="1F3864" w:sz="6" w:space="4"/>
        </w:pBdr>
        <w:spacing w:after="120" w:before="320" w:line="360" w:lineRule="auto"/>
      </w:pPr>
      <w:r>
        <w:rPr>
          <w:rFonts w:ascii="Times New Roman" w:cs="Times New Roman" w:eastAsia="Times New Roman" w:hAnsi="Times New Roman"/>
          <w:b/>
          <w:bCs/>
          <w:color w:val="1F3864"/>
          <w:sz w:val="28"/>
          <w:szCs w:val="28"/>
        </w:rPr>
        <w:t xml:space="preserve">7. Synergies</w:t>
      </w:r>
    </w:p>
    <w:p>
      <w:pPr>
        <w:spacing w:after="160" w:line="360" w:lineRule="auto"/>
      </w:pPr>
      <w:r>
        <w:rPr>
          <w:rFonts w:ascii="Times New Roman" w:cs="Times New Roman" w:eastAsia="Times New Roman" w:hAnsi="Times New Roman"/>
          <w:sz w:val="22"/>
          <w:szCs w:val="22"/>
        </w:rPr>
        <w:t xml:space="preserve">BNPL Safeguard is designed to interact with the broader financial ecosystem rather than operate in isolation.</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Open Banking Infrastructure Providers (TrueLayer, Tink, Plaid): Strategic API partnerships form the data backbone of the platform. These providers benefit from a high-engagement use case that demonstrates open banking's consumer value.</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BNPL Providers (Klarna, Afterpay, Affirm, Zip): Initially a watch relationship, this evolves toward collaboration as the B2B Reliability Score becomes commercially valuable. BNPL providers benefit from better underwriting; BNPL Safeguard benefits from richer data and potential co-marketing.</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Credit Bureaus (Experian, Equifax, TransUnion): The BNPL Reliability Score fills a gap that bureaus have publicly acknowledged — BNPL behaviour is currently absent from most credit files. A data-licensing or acquisition relationship is a plausible long-term outcome.</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Regulatory Bodies (FCA, CFPB): Positioning BNPL Safeguard as infrastructure aligned with consumer protection mandates opens doors to regulatory endorsement, sandbox participation, and indirect distribution through compliance-driven financial institutions.</w:t>
      </w:r>
    </w:p>
    <w:p>
      <w:pPr>
        <w:pStyle w:val="ListParagraph"/>
        <w:numPr>
          <w:ilvl w:val="0"/>
          <w:numId w:val="2"/>
        </w:numPr>
        <w:spacing w:after="80" w:line="360" w:lineRule="auto"/>
      </w:pPr>
      <w:r>
        <w:rPr>
          <w:rFonts w:ascii="Times New Roman" w:cs="Times New Roman" w:eastAsia="Times New Roman" w:hAnsi="Times New Roman"/>
          <w:sz w:val="22"/>
          <w:szCs w:val="22"/>
        </w:rPr>
        <w:t xml:space="preserve">Employers and Financial Wellness Platforms: B2B2C distribution — offering BNPL Safeguard as part of employee financial wellness benefits — provides a low-cost acquisition channel for the premium consumer tier.</w:t>
      </w:r>
    </w:p>
    <w:p>
      <w:pPr>
        <w:spacing w:after="80"/>
      </w:pPr>
      <w:r>
        <w:t xml:space="preserve"/>
      </w:r>
    </w:p>
    <w:p>
      <w:pPr>
        <w:pBdr>
          <w:bottom w:val="single" w:color="1F3864" w:sz="6" w:space="4"/>
        </w:pBdr>
        <w:spacing w:after="120" w:before="320" w:line="360" w:lineRule="auto"/>
      </w:pPr>
      <w:r>
        <w:rPr>
          <w:rFonts w:ascii="Times New Roman" w:cs="Times New Roman" w:eastAsia="Times New Roman" w:hAnsi="Times New Roman"/>
          <w:b/>
          <w:bCs/>
          <w:color w:val="1F3864"/>
          <w:sz w:val="28"/>
          <w:szCs w:val="28"/>
        </w:rPr>
        <w:t xml:space="preserve">8. Customers</w:t>
      </w:r>
    </w:p>
    <w:p>
      <w:pPr>
        <w:spacing w:after="80" w:before="200" w:line="360" w:lineRule="auto"/>
      </w:pPr>
      <w:r>
        <w:rPr>
          <w:rFonts w:ascii="Times New Roman" w:cs="Times New Roman" w:eastAsia="Times New Roman" w:hAnsi="Times New Roman"/>
          <w:b/>
          <w:bCs/>
          <w:i/>
          <w:iCs/>
          <w:color w:val="2E4057"/>
          <w:sz w:val="26"/>
          <w:szCs w:val="26"/>
        </w:rPr>
        <w:t xml:space="preserve">8.1  B2C — Primary Consumer Segment</w:t>
      </w:r>
    </w:p>
    <w:p>
      <w:pPr>
        <w:spacing w:after="160" w:line="360" w:lineRule="auto"/>
      </w:pPr>
      <w:r>
        <w:rPr>
          <w:rFonts w:ascii="Times New Roman" w:cs="Times New Roman" w:eastAsia="Times New Roman" w:hAnsi="Times New Roman"/>
          <w:sz w:val="22"/>
          <w:szCs w:val="22"/>
        </w:rPr>
        <w:t xml:space="preserve">The primary consumer target is adults aged 18–35 (Millennials and Gen Z) in North America and Europe who actively use two or more BNPL services simultaneously. This demographic is digitally native, comfortable with app-based financial management, and disproportionately represented among BNPL late-payers. A secondary segment includes budget-conscious consumers of any age who are proactively seeking financial control tools.</w:t>
      </w:r>
    </w:p>
    <w:p>
      <w:pPr>
        <w:spacing w:after="80" w:before="200" w:line="360" w:lineRule="auto"/>
      </w:pPr>
      <w:r>
        <w:rPr>
          <w:rFonts w:ascii="Times New Roman" w:cs="Times New Roman" w:eastAsia="Times New Roman" w:hAnsi="Times New Roman"/>
          <w:b/>
          <w:bCs/>
          <w:i/>
          <w:iCs/>
          <w:color w:val="2E4057"/>
          <w:sz w:val="26"/>
          <w:szCs w:val="26"/>
        </w:rPr>
        <w:t xml:space="preserve">8.2  B2B — Institutional Clients</w:t>
      </w:r>
    </w:p>
    <w:p>
      <w:pPr>
        <w:spacing w:after="160" w:line="360" w:lineRule="auto"/>
      </w:pPr>
      <w:r>
        <w:rPr>
          <w:rFonts w:ascii="Times New Roman" w:cs="Times New Roman" w:eastAsia="Times New Roman" w:hAnsi="Times New Roman"/>
          <w:sz w:val="22"/>
          <w:szCs w:val="22"/>
        </w:rPr>
        <w:t xml:space="preserve">B2B clients include BNPL providers seeking to reduce default rates through better pre-issuance data, banks and credit bureaus integrating BNPL behaviour into credit files, and financial wellness platforms seeking differentiated content. These clients are reached through direct enterprise sales and API licensing.</w:t>
      </w:r>
    </w:p>
    <w:p>
      <w:pPr>
        <w:spacing w:after="80" w:before="200" w:line="360" w:lineRule="auto"/>
      </w:pPr>
      <w:r>
        <w:rPr>
          <w:rFonts w:ascii="Times New Roman" w:cs="Times New Roman" w:eastAsia="Times New Roman" w:hAnsi="Times New Roman"/>
          <w:b/>
          <w:bCs/>
          <w:i/>
          <w:iCs/>
          <w:color w:val="2E4057"/>
          <w:sz w:val="26"/>
          <w:szCs w:val="26"/>
        </w:rPr>
        <w:t xml:space="preserve">8.3  Organisational Form</w:t>
      </w:r>
    </w:p>
    <w:p>
      <w:pPr>
        <w:spacing w:after="160" w:line="360" w:lineRule="auto"/>
      </w:pPr>
      <w:r>
        <w:rPr>
          <w:rFonts w:ascii="Times New Roman" w:cs="Times New Roman" w:eastAsia="Times New Roman" w:hAnsi="Times New Roman"/>
          <w:sz w:val="22"/>
          <w:szCs w:val="22"/>
        </w:rPr>
        <w:t xml:space="preserve">BNPL Safeguard is structured as an independent startup. A startup structure is appropriate because speed of iteration and first-mover capture are critical in an emerging space. The company would seek a pre-seed round of €500k–1M to fund the MVP and initial regulatory setup, followed by a Series A of €5–8M at the 18-month mark to fund the US expansion and B2B product commercialisation. Acquisition by a major credit bureau or financial data aggregator represents the most likely exit pathway, given the strategic value of the cross-provider BNPL dataset.</w:t>
      </w:r>
    </w:p>
    <w:p>
      <w:pPr>
        <w:spacing w:after="80"/>
      </w:pPr>
      <w:r>
        <w:t xml:space="preserve"/>
      </w:r>
    </w:p>
    <w:p>
      <w:pPr>
        <w:pBdr>
          <w:bottom w:val="single" w:color="1F3864" w:sz="6" w:space="4"/>
        </w:pBdr>
        <w:spacing w:after="120" w:before="320" w:line="360" w:lineRule="auto"/>
      </w:pPr>
      <w:r>
        <w:rPr>
          <w:rFonts w:ascii="Times New Roman" w:cs="Times New Roman" w:eastAsia="Times New Roman" w:hAnsi="Times New Roman"/>
          <w:b/>
          <w:bCs/>
          <w:color w:val="1F3864"/>
          <w:sz w:val="28"/>
          <w:szCs w:val="28"/>
        </w:rPr>
        <w:t xml:space="preserve">Conclusion</w:t>
      </w:r>
    </w:p>
    <w:p>
      <w:pPr>
        <w:spacing w:after="160" w:line="360" w:lineRule="auto"/>
      </w:pPr>
      <w:r>
        <w:rPr>
          <w:rFonts w:ascii="Times New Roman" w:cs="Times New Roman" w:eastAsia="Times New Roman" w:hAnsi="Times New Roman"/>
          <w:sz w:val="22"/>
          <w:szCs w:val="22"/>
        </w:rPr>
        <w:t xml:space="preserve">The BNPL safeguard market is currently unoccupied. Consumer credit in BNPL is growing, regulation is tightening, and the psychological design of BNPL products continues to obscure true debt burdens. BNPL Safeguard is positioned at the intersection of open banking maturity, AI-driven personalisation, and a genuine consumer protection gap. The B2C product provides immediate value and user acquisition; the B2B Reliability Score provides the long-term, defensible revenue engine. The business is viable as an independent startup with a clear path to institutional partnership or acquisition.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BNPL Safeguard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2026-05-06T18:58:09.253Z</dcterms:created>
  <dcterms:modified xsi:type="dcterms:W3CDTF">2026-05-06T18:58:09.253Z</dcterms:modified>
</cp:coreProperties>
</file>

<file path=docProps/custom.xml><?xml version="1.0" encoding="utf-8"?>
<Properties xmlns="http://schemas.openxmlformats.org/officeDocument/2006/custom-properties" xmlns:vt="http://schemas.openxmlformats.org/officeDocument/2006/docPropsVTypes"/>
</file>