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86834" w14:textId="77777777" w:rsidR="00782E62" w:rsidRDefault="00000000">
      <w:pPr>
        <w:spacing w:before="1800" w:after="240"/>
        <w:jc w:val="center"/>
      </w:pPr>
      <w:r>
        <w:rPr>
          <w:b/>
          <w:bCs/>
          <w:color w:val="1F3864"/>
          <w:sz w:val="52"/>
          <w:szCs w:val="52"/>
        </w:rPr>
        <w:t>BNPL Safeguard</w:t>
      </w:r>
    </w:p>
    <w:p w14:paraId="7202610A" w14:textId="77777777" w:rsidR="00782E62" w:rsidRDefault="00000000">
      <w:pPr>
        <w:spacing w:after="200"/>
        <w:jc w:val="center"/>
      </w:pPr>
      <w:r>
        <w:rPr>
          <w:i/>
          <w:iCs/>
          <w:color w:val="4472C4"/>
          <w:sz w:val="26"/>
          <w:szCs w:val="26"/>
        </w:rPr>
        <w:t>A Consumer-Side Buy Now, Pay Later Protection Platform</w:t>
      </w:r>
    </w:p>
    <w:p w14:paraId="6051A7C7" w14:textId="77777777" w:rsidR="00782E62" w:rsidRDefault="00000000">
      <w:pPr>
        <w:spacing w:after="80"/>
        <w:jc w:val="center"/>
      </w:pPr>
      <w:r>
        <w:rPr>
          <w:color w:val="555555"/>
          <w:sz w:val="26"/>
          <w:szCs w:val="26"/>
        </w:rPr>
        <w:t>Business Plan</w:t>
      </w:r>
    </w:p>
    <w:p w14:paraId="379E73C1" w14:textId="77777777" w:rsidR="00782E62" w:rsidRDefault="00000000">
      <w:pPr>
        <w:spacing w:after="2400"/>
        <w:jc w:val="center"/>
      </w:pPr>
      <w:r>
        <w:rPr>
          <w:color w:val="888888"/>
        </w:rPr>
        <w:t>May 2026</w:t>
      </w:r>
    </w:p>
    <w:p w14:paraId="54CB939F" w14:textId="77777777" w:rsidR="00782E62" w:rsidRDefault="00000000">
      <w:pPr>
        <w:pBdr>
          <w:bottom w:val="single" w:sz="6" w:space="4" w:color="1F3864"/>
        </w:pBdr>
        <w:spacing w:before="320" w:after="120"/>
      </w:pPr>
      <w:r>
        <w:rPr>
          <w:b/>
          <w:bCs/>
          <w:color w:val="1F3864"/>
          <w:sz w:val="28"/>
          <w:szCs w:val="28"/>
        </w:rPr>
        <w:t>Executive Summary</w:t>
      </w:r>
    </w:p>
    <w:p w14:paraId="20EB12CE" w14:textId="77777777" w:rsidR="00782E62" w:rsidRDefault="00000000">
      <w:pPr>
        <w:spacing w:after="160"/>
      </w:pPr>
      <w:r>
        <w:t>BNPL Safeguard is a financial technology startup that provides consumers with a neutral, cross-provider dashboard to track, manage, and pre-empt Buy Now, Pay Later (BNPL) debt. Unlike safeguards built by the BNPL providers themselves — who have an inherent conflict of interest — BNPL Safeguard acts exclusively on behalf of the consumer. The platform leverages open banking infrastructure, AI-driven affordability forecasting, and a point-of-purchase browser extension to intervene before debt accumulates. A secondary B2B revenue stream monetises anonymised behavioural data through a proprietary BNPL Reliability Score sold to lenders and financial institutions.</w:t>
      </w:r>
    </w:p>
    <w:p w14:paraId="753D2CB8" w14:textId="77777777" w:rsidR="00782E62" w:rsidRDefault="00782E62">
      <w:pPr>
        <w:spacing w:after="80"/>
      </w:pPr>
    </w:p>
    <w:p w14:paraId="46E97E69" w14:textId="77777777" w:rsidR="00782E62" w:rsidRDefault="00000000">
      <w:pPr>
        <w:pBdr>
          <w:bottom w:val="single" w:sz="6" w:space="4" w:color="1F3864"/>
        </w:pBdr>
        <w:spacing w:before="320" w:after="120"/>
      </w:pPr>
      <w:r>
        <w:rPr>
          <w:b/>
          <w:bCs/>
          <w:color w:val="1F3864"/>
          <w:sz w:val="28"/>
          <w:szCs w:val="28"/>
        </w:rPr>
        <w:t>1. Pain Point</w:t>
      </w:r>
    </w:p>
    <w:p w14:paraId="06A36DD2" w14:textId="77777777" w:rsidR="00782E62" w:rsidRDefault="00000000">
      <w:pPr>
        <w:spacing w:after="160"/>
      </w:pPr>
      <w:r>
        <w:t>Buy Now, Pay Later has grown into a mainstream credit product, yet its regulatory and consumer-protection infrastructure has not kept pace. In North America, 37% of consumers now use at least one BNPL service, and adoption in Europe — historically lower — has accelerated sharply following the entry of Klarna, Clearpay (Afterpay), and Scalapay into those markets.</w:t>
      </w:r>
    </w:p>
    <w:p w14:paraId="46B8C570" w14:textId="77777777" w:rsidR="00782E62" w:rsidRDefault="00000000">
      <w:pPr>
        <w:spacing w:after="160"/>
      </w:pPr>
      <w:r>
        <w:lastRenderedPageBreak/>
        <w:t>The fundamental inefficiency lies in the architecture of BNPL itself. Unlike credit cards, BNPL products are designed to minimise the psychological weight of spending: instalments are small, repayment periods are short, and there is no centralised credit-reporting obligation. The result is a fragmented debt landscape in which a single consumer may simultaneously carry obligations across three or four providers — Klarna, Afterpay, Affirm, Zip — with no unified view of their total exposure.</w:t>
      </w:r>
    </w:p>
    <w:p w14:paraId="397B43B6" w14:textId="77777777" w:rsidR="00782E62" w:rsidRDefault="00000000">
      <w:pPr>
        <w:spacing w:after="160"/>
      </w:pPr>
      <w:r>
        <w:t>Industry data underscores the harm: approximately 34–41% of BNPL users report having missed at least one payment. Approximately 70% of users who miss payments do so not because of unwillingness to pay, but because they had lost track of overlapping obligations. The CFPB's December 2025 market report confirmed that BNPL obligations remain largely invisible to traditional credit-scoring systems, which means lenders cannot adequately assess a borrower's true indebtedness, and consumers receive no external signal that they are overextended.</w:t>
      </w:r>
    </w:p>
    <w:p w14:paraId="48E177C8" w14:textId="77777777" w:rsidR="00782E62" w:rsidRDefault="00000000">
      <w:pPr>
        <w:spacing w:after="160"/>
      </w:pPr>
      <w:r>
        <w:t>In short: the financial service is currently organised around provider silos, with no neutral third-party layer to aggregate obligations, alert consumers before commitments are made, or feed BNPL behaviour into credit assessments. This structural gap is the problem BNPL Safeguard exists to solve.</w:t>
      </w:r>
    </w:p>
    <w:p w14:paraId="0CBD0542" w14:textId="77777777" w:rsidR="00782E62" w:rsidRDefault="00782E62">
      <w:pPr>
        <w:spacing w:after="80"/>
      </w:pPr>
    </w:p>
    <w:p w14:paraId="4A7F6109" w14:textId="77777777" w:rsidR="00782E62" w:rsidRDefault="00000000">
      <w:pPr>
        <w:pBdr>
          <w:bottom w:val="single" w:sz="6" w:space="4" w:color="1F3864"/>
        </w:pBdr>
        <w:spacing w:before="320" w:after="120"/>
      </w:pPr>
      <w:r>
        <w:rPr>
          <w:b/>
          <w:bCs/>
          <w:color w:val="1F3864"/>
          <w:sz w:val="28"/>
          <w:szCs w:val="28"/>
        </w:rPr>
        <w:t>2. Innovation</w:t>
      </w:r>
    </w:p>
    <w:p w14:paraId="13BA689E" w14:textId="77777777" w:rsidR="00782E62" w:rsidRDefault="00000000">
      <w:pPr>
        <w:spacing w:before="200" w:after="80"/>
      </w:pPr>
      <w:r>
        <w:rPr>
          <w:b/>
          <w:bCs/>
          <w:i/>
          <w:iCs/>
          <w:color w:val="2E4057"/>
          <w:sz w:val="26"/>
          <w:szCs w:val="26"/>
        </w:rPr>
        <w:t>2.1  Conceptual Innovation</w:t>
      </w:r>
    </w:p>
    <w:p w14:paraId="714C40C6" w14:textId="77777777" w:rsidR="00782E62" w:rsidRDefault="00000000">
      <w:pPr>
        <w:spacing w:after="160"/>
      </w:pPr>
      <w:r>
        <w:t>The core conceptual innovation is the consumer-side safeguard layer: a neutral intermediary positioned between BNPL providers and the consumer, with no financial incentive to encourage spending. Every existing safeguard is either built in-house by a provider (conflict of interest), embedded in a generic budgeting app (not BNPL-specific and entirely reactive), or absent. BNPL Safeguard is the first purpose-built, proactive, cross-provider BNPL protection product.</w:t>
      </w:r>
    </w:p>
    <w:p w14:paraId="155DE1CB" w14:textId="77777777" w:rsidR="00782E62" w:rsidRDefault="00000000">
      <w:pPr>
        <w:spacing w:before="200" w:after="80"/>
      </w:pPr>
      <w:r>
        <w:rPr>
          <w:b/>
          <w:bCs/>
          <w:i/>
          <w:iCs/>
          <w:color w:val="2E4057"/>
          <w:sz w:val="26"/>
          <w:szCs w:val="26"/>
        </w:rPr>
        <w:t>2.2  Technology Stack</w:t>
      </w:r>
    </w:p>
    <w:p w14:paraId="4DABF7F2" w14:textId="77777777" w:rsidR="00782E62" w:rsidRDefault="00000000">
      <w:pPr>
        <w:spacing w:after="160"/>
      </w:pPr>
      <w:r>
        <w:t>The platform depends on four interlocking technologies:</w:t>
      </w:r>
    </w:p>
    <w:p w14:paraId="5953D887" w14:textId="77777777" w:rsidR="00782E62" w:rsidRDefault="00000000">
      <w:pPr>
        <w:pStyle w:val="ListParagraph"/>
        <w:numPr>
          <w:ilvl w:val="0"/>
          <w:numId w:val="2"/>
        </w:numPr>
        <w:spacing w:after="80"/>
      </w:pPr>
      <w:r>
        <w:t>Open Banking Aggregation — Using PSD2-compliant APIs in Europe (via TrueLayer or Tink) and emerging open banking rails in North America (via Plaid), the app connects to a user's bank account to automatically detect and categorise BNPL transactions across all providers. No manual input is required; no direct API relationship with BNPL companies is needed. This is the critical data-access breakthrough that makes cross-provider visibility possible without requiring provider cooperation.</w:t>
      </w:r>
    </w:p>
    <w:p w14:paraId="00A6962D" w14:textId="77777777" w:rsidR="00782E62" w:rsidRDefault="00000000">
      <w:pPr>
        <w:pStyle w:val="ListParagraph"/>
        <w:numPr>
          <w:ilvl w:val="0"/>
          <w:numId w:val="2"/>
        </w:numPr>
        <w:spacing w:after="80"/>
      </w:pPr>
      <w:r>
        <w:lastRenderedPageBreak/>
        <w:t>Point-of-Purchase Browser Extension — A lightweight extension activates at checkout whenever a BNPL payment option appears. Before the user commits, the extension surfaces their real-time BNPL burden and a traffic-light affordability signal (green / amber / red). This is the proactive moment that no competitor — including the BNPL providers themselves — currently addresses.</w:t>
      </w:r>
    </w:p>
    <w:p w14:paraId="11DBFBBD" w14:textId="77777777" w:rsidR="00782E62" w:rsidRDefault="00000000">
      <w:pPr>
        <w:pStyle w:val="ListParagraph"/>
        <w:numPr>
          <w:ilvl w:val="0"/>
          <w:numId w:val="2"/>
        </w:numPr>
        <w:spacing w:after="80"/>
      </w:pPr>
      <w:r>
        <w:t>AI Affordability Forecasting Engine — Using a user's income patterns and upcoming BNPL obligations (identified via open banking), the engine models future cash flow to flag weeks where multiple repayments converge. It shifts the product from reactive tracking to predictive protection.</w:t>
      </w:r>
    </w:p>
    <w:p w14:paraId="3F554EC3" w14:textId="77777777" w:rsidR="00782E62" w:rsidRDefault="00000000">
      <w:pPr>
        <w:pStyle w:val="ListParagraph"/>
        <w:numPr>
          <w:ilvl w:val="0"/>
          <w:numId w:val="2"/>
        </w:numPr>
        <w:spacing w:after="80"/>
      </w:pPr>
      <w:r>
        <w:t>Email and Receipt Parsing (Fallback) — For BNPL providers not yet reachable via open banking, the app parses confirmation emails to extract obligation data automatically. This ensures near-complete coverage from day one.</w:t>
      </w:r>
    </w:p>
    <w:p w14:paraId="46BB70A9" w14:textId="77777777" w:rsidR="00782E62" w:rsidRDefault="00000000">
      <w:pPr>
        <w:spacing w:before="200" w:after="80"/>
      </w:pPr>
      <w:r>
        <w:rPr>
          <w:b/>
          <w:bCs/>
          <w:i/>
          <w:iCs/>
          <w:color w:val="2E4057"/>
          <w:sz w:val="26"/>
          <w:szCs w:val="26"/>
        </w:rPr>
        <w:t>2.3  Why This Technology Is Appropriate</w:t>
      </w:r>
    </w:p>
    <w:p w14:paraId="1FDDCF26" w14:textId="77777777" w:rsidR="00782E62" w:rsidRDefault="00000000">
      <w:pPr>
        <w:spacing w:after="160"/>
      </w:pPr>
      <w:r>
        <w:t>Open banking has reached the maturity required to make this product viable today. PSD2 has been in force across Europe since 2019; the UK's Financial Conduct Authority has expanded open banking access significantly since 2023; and US open banking (enabled by CFPB Section 1033 rulemaking) is now actively developing. The timing is optimal: infrastructure is mature, regulatory mandates are aligning, and consumer comfort with bank-account linking (evidenced by the mass adoption of Plaid-connected apps) has passed the tipping point. The browser extension exploits the one moment — the checkout screen — where intervention is both most needed and most tolerated by users.</w:t>
      </w:r>
    </w:p>
    <w:p w14:paraId="1B60B0C9" w14:textId="77777777" w:rsidR="00782E62" w:rsidRDefault="00782E62">
      <w:pPr>
        <w:spacing w:after="80"/>
      </w:pPr>
    </w:p>
    <w:p w14:paraId="676AC989" w14:textId="77777777" w:rsidR="00782E62" w:rsidRDefault="00000000">
      <w:pPr>
        <w:pBdr>
          <w:bottom w:val="single" w:sz="6" w:space="4" w:color="1F3864"/>
        </w:pBdr>
        <w:spacing w:before="320" w:after="120"/>
      </w:pPr>
      <w:r>
        <w:rPr>
          <w:b/>
          <w:bCs/>
          <w:color w:val="1F3864"/>
          <w:sz w:val="28"/>
          <w:szCs w:val="28"/>
        </w:rPr>
        <w:t>3. Revenue Model</w:t>
      </w:r>
    </w:p>
    <w:p w14:paraId="7257AC6B" w14:textId="77777777" w:rsidR="007D104F" w:rsidRDefault="007D104F">
      <w:pPr>
        <w:spacing w:before="200" w:after="80"/>
      </w:pPr>
      <w:r w:rsidRPr="007D104F">
        <w:t>The platform operates across three distribution channels that are deliberately designed to reinforce one another. Consumer adoption generates the cross-provider behavioural dataset that powers the B2B data product; enterprise distribution accelerates consumer adoption at zero acquisition cost; and the data product grows more accurate as the user base scales. Each channel feeds the others.</w:t>
      </w:r>
    </w:p>
    <w:p w14:paraId="06C287A8" w14:textId="568974EE" w:rsidR="00782E62" w:rsidRDefault="00000000">
      <w:pPr>
        <w:spacing w:before="200" w:after="80"/>
      </w:pPr>
      <w:r>
        <w:rPr>
          <w:b/>
          <w:bCs/>
          <w:i/>
          <w:iCs/>
          <w:color w:val="2E4057"/>
          <w:sz w:val="26"/>
          <w:szCs w:val="26"/>
        </w:rPr>
        <w:t>3.1  B2C — Subscription (Consumer Tier)</w:t>
      </w:r>
    </w:p>
    <w:p w14:paraId="6FDAE74F" w14:textId="77777777" w:rsidR="00782E62" w:rsidRDefault="00000000">
      <w:pPr>
        <w:spacing w:after="160"/>
      </w:pPr>
      <w:r>
        <w:t xml:space="preserve">The consumer product operates on a freemium model. A free tier provides a basic BNPL dashboard and payment reminders, driving user acquisition and data accumulation. A premium tier (target price: €6–8/month) unlocks the AI affordability forecaster, the browser extension with real-time intervention, and advanced analytics. Given that the average BNPL user carries €300–500 in live </w:t>
      </w:r>
      <w:r>
        <w:lastRenderedPageBreak/>
        <w:t>obligations at any time, a subscription priced at roughly one missed-payment fee represents an easily justified expenditure.</w:t>
      </w:r>
    </w:p>
    <w:p w14:paraId="3BE8B324" w14:textId="402B45A3" w:rsidR="00782E62" w:rsidRDefault="00000000">
      <w:pPr>
        <w:spacing w:before="200" w:after="80"/>
        <w:rPr>
          <w:b/>
          <w:bCs/>
          <w:i/>
          <w:iCs/>
          <w:color w:val="2E4057"/>
          <w:sz w:val="26"/>
          <w:szCs w:val="26"/>
        </w:rPr>
      </w:pPr>
      <w:r>
        <w:rPr>
          <w:b/>
          <w:bCs/>
          <w:i/>
          <w:iCs/>
          <w:color w:val="2E4057"/>
          <w:sz w:val="26"/>
          <w:szCs w:val="26"/>
        </w:rPr>
        <w:t>3.</w:t>
      </w:r>
      <w:r w:rsidR="007D104F">
        <w:rPr>
          <w:b/>
          <w:bCs/>
          <w:i/>
          <w:iCs/>
          <w:color w:val="2E4057"/>
          <w:sz w:val="26"/>
          <w:szCs w:val="26"/>
        </w:rPr>
        <w:t>2</w:t>
      </w:r>
      <w:r>
        <w:rPr>
          <w:b/>
          <w:bCs/>
          <w:i/>
          <w:iCs/>
          <w:color w:val="2E4057"/>
          <w:sz w:val="26"/>
          <w:szCs w:val="26"/>
        </w:rPr>
        <w:t xml:space="preserve">  B2B</w:t>
      </w:r>
      <w:r w:rsidR="007D104F">
        <w:rPr>
          <w:b/>
          <w:bCs/>
          <w:i/>
          <w:iCs/>
          <w:color w:val="2E4057"/>
          <w:sz w:val="26"/>
          <w:szCs w:val="26"/>
        </w:rPr>
        <w:t>2C</w:t>
      </w:r>
      <w:r>
        <w:rPr>
          <w:b/>
          <w:bCs/>
          <w:i/>
          <w:iCs/>
          <w:color w:val="2E4057"/>
          <w:sz w:val="26"/>
          <w:szCs w:val="26"/>
        </w:rPr>
        <w:t xml:space="preserve"> — </w:t>
      </w:r>
      <w:r w:rsidR="007D104F" w:rsidRPr="007D104F">
        <w:rPr>
          <w:b/>
          <w:bCs/>
          <w:i/>
          <w:iCs/>
          <w:color w:val="2E4057"/>
          <w:sz w:val="26"/>
          <w:szCs w:val="26"/>
        </w:rPr>
        <w:t>Enterprise Distribution</w:t>
      </w:r>
    </w:p>
    <w:p w14:paraId="0FEC3C3A" w14:textId="77777777" w:rsidR="007D104F" w:rsidRDefault="007D104F">
      <w:pPr>
        <w:spacing w:before="200" w:after="80"/>
      </w:pPr>
      <w:r w:rsidRPr="007D104F">
        <w:t>Banks, neo-banks, and large employers license the platform and offer it to their users or workforce as a free financial health benefit. This channel eliminates consumer acquisition cost while dramatically accelerating data accumulation — two outcomes that directly strengthen the B2B data product described below. Corporate buyers are charged either on a per-employee-per-month basis (€1.00–2.50 PEPM for employer licenses) or on a per-active-linked-user basis (€0.20/month for banking integrations).</w:t>
      </w:r>
      <w:r w:rsidRPr="007D104F">
        <w:t xml:space="preserve"> </w:t>
      </w:r>
    </w:p>
    <w:p w14:paraId="27B374C2" w14:textId="07598266" w:rsidR="007D104F" w:rsidRDefault="007D104F">
      <w:pPr>
        <w:spacing w:before="200" w:after="80"/>
      </w:pPr>
      <w:r>
        <w:rPr>
          <w:b/>
          <w:bCs/>
          <w:i/>
          <w:iCs/>
          <w:color w:val="2E4057"/>
          <w:sz w:val="26"/>
          <w:szCs w:val="26"/>
        </w:rPr>
        <w:t>3.</w:t>
      </w:r>
      <w:r>
        <w:rPr>
          <w:b/>
          <w:bCs/>
          <w:i/>
          <w:iCs/>
          <w:color w:val="2E4057"/>
          <w:sz w:val="26"/>
          <w:szCs w:val="26"/>
        </w:rPr>
        <w:t>3</w:t>
      </w:r>
      <w:r>
        <w:rPr>
          <w:b/>
          <w:bCs/>
          <w:i/>
          <w:iCs/>
          <w:color w:val="2E4057"/>
          <w:sz w:val="26"/>
          <w:szCs w:val="26"/>
        </w:rPr>
        <w:t xml:space="preserve">  B2B — BNPL Reliability Score</w:t>
      </w:r>
    </w:p>
    <w:p w14:paraId="692D4611" w14:textId="77777777" w:rsidR="00782E62" w:rsidRDefault="00000000">
      <w:pPr>
        <w:spacing w:after="160"/>
      </w:pPr>
      <w:r>
        <w:t>The more defensible and scalable revenue stream is a B2B data product. As the platform accumulates cross-provider payment behaviour — specifically how far in advance of deadlines users pay, and patterns of early versus late repayment — it builds a dataset that no single BNPL provider can replicate, because each provider only sees their own customers' behaviour.</w:t>
      </w:r>
    </w:p>
    <w:p w14:paraId="08E5D9CA" w14:textId="77777777" w:rsidR="00782E62" w:rsidRDefault="00000000">
      <w:pPr>
        <w:spacing w:after="160"/>
      </w:pPr>
      <w:r>
        <w:t>This dataset powers a proprietary BNPL Reliability Score, sold to:</w:t>
      </w:r>
    </w:p>
    <w:p w14:paraId="74E0C52A" w14:textId="77777777" w:rsidR="00782E62" w:rsidRDefault="00000000">
      <w:pPr>
        <w:pStyle w:val="ListParagraph"/>
        <w:numPr>
          <w:ilvl w:val="0"/>
          <w:numId w:val="2"/>
        </w:numPr>
        <w:spacing w:after="80"/>
      </w:pPr>
      <w:r>
        <w:t>BNPL providers seeking to improve underwriting accuracy and reduce default rates.</w:t>
      </w:r>
    </w:p>
    <w:p w14:paraId="6DF8D198" w14:textId="77777777" w:rsidR="00782E62" w:rsidRDefault="00000000">
      <w:pPr>
        <w:pStyle w:val="ListParagraph"/>
        <w:numPr>
          <w:ilvl w:val="0"/>
          <w:numId w:val="2"/>
        </w:numPr>
        <w:spacing w:after="80"/>
      </w:pPr>
      <w:r>
        <w:t>Banks and credit bureaus (Experian, Equifax) integrating BNPL behaviour into mainstream credit files.</w:t>
      </w:r>
    </w:p>
    <w:p w14:paraId="7D8D9F4A" w14:textId="77777777" w:rsidR="00782E62" w:rsidRDefault="00000000">
      <w:pPr>
        <w:pStyle w:val="ListParagraph"/>
        <w:numPr>
          <w:ilvl w:val="0"/>
          <w:numId w:val="2"/>
        </w:numPr>
        <w:spacing w:after="80"/>
      </w:pPr>
      <w:r>
        <w:t>Financial wellness platforms and employers offering salary-linked financial health benefits.</w:t>
      </w:r>
    </w:p>
    <w:p w14:paraId="3D24C974" w14:textId="77777777" w:rsidR="00782E62" w:rsidRDefault="00000000">
      <w:pPr>
        <w:spacing w:after="160"/>
      </w:pPr>
      <w:r>
        <w:t>The B2B product is priced on a per-query or API-access basis, creating recurring, volume-driven revenue that scales independently of the consumer subscription base.</w:t>
      </w:r>
    </w:p>
    <w:p w14:paraId="47512C73" w14:textId="77777777" w:rsidR="00782E62" w:rsidRDefault="00782E62">
      <w:pPr>
        <w:spacing w:after="80"/>
      </w:pPr>
    </w:p>
    <w:p w14:paraId="1023124B" w14:textId="77777777" w:rsidR="00782E62" w:rsidRDefault="00000000">
      <w:pPr>
        <w:pBdr>
          <w:bottom w:val="single" w:sz="6" w:space="4" w:color="1F3864"/>
        </w:pBdr>
        <w:spacing w:before="320" w:after="120"/>
      </w:pPr>
      <w:r>
        <w:rPr>
          <w:b/>
          <w:bCs/>
          <w:color w:val="1F3864"/>
          <w:sz w:val="28"/>
          <w:szCs w:val="28"/>
        </w:rPr>
        <w:t>4. Competitive Advantage</w:t>
      </w:r>
    </w:p>
    <w:p w14:paraId="2C818AE8" w14:textId="77777777" w:rsidR="00782E62" w:rsidRDefault="00000000">
      <w:pPr>
        <w:spacing w:after="160"/>
      </w:pPr>
      <w:r>
        <w:rPr>
          <w:b/>
          <w:bCs/>
        </w:rPr>
        <w:t xml:space="preserve">First-mover position. </w:t>
      </w:r>
      <w:r>
        <w:t>No standalone, consumer-side BNPL safeguard product currently exists. Generic budgeting apps (YNAB, Copilot, Emma) treat BNPL as a transaction category but offer no proactive intervention and no cross-provider aggregation. BNPL providers' own safeguard features (Klarna's spending controls, Afterpay's limits) are structurally conflicted and cover only their own product.</w:t>
      </w:r>
    </w:p>
    <w:p w14:paraId="00BAC0F3" w14:textId="77777777" w:rsidR="00782E62" w:rsidRDefault="00000000">
      <w:pPr>
        <w:spacing w:after="160"/>
      </w:pPr>
      <w:r>
        <w:rPr>
          <w:b/>
          <w:bCs/>
        </w:rPr>
        <w:lastRenderedPageBreak/>
        <w:t xml:space="preserve">Structural neutrality. </w:t>
      </w:r>
      <w:r>
        <w:t>BNPL Safeguard has no financial incentive to encourage spending. This is a genuine and communicable distinction: the pitch to consumers is simply, 'The BNPL companies are not going to protect you. We will.'</w:t>
      </w:r>
    </w:p>
    <w:p w14:paraId="1788D584" w14:textId="77777777" w:rsidR="00782E62" w:rsidRDefault="00000000">
      <w:pPr>
        <w:spacing w:after="160"/>
      </w:pPr>
      <w:r>
        <w:rPr>
          <w:b/>
          <w:bCs/>
        </w:rPr>
        <w:t xml:space="preserve">Cross-provider data moat. </w:t>
      </w:r>
      <w:r>
        <w:t>Each new user strengthens the reliability of the BNPL Reliability Score. This data network effect is impossible for any single BNPL provider to replicate, as they cannot see customers' obligations with competitors. The moat widens with scale.</w:t>
      </w:r>
    </w:p>
    <w:p w14:paraId="7773D502" w14:textId="77777777" w:rsidR="00782E62" w:rsidRDefault="00000000">
      <w:pPr>
        <w:spacing w:after="160"/>
      </w:pPr>
      <w:r>
        <w:rPr>
          <w:b/>
          <w:bCs/>
        </w:rPr>
        <w:t xml:space="preserve">Regulatory tailwinds. </w:t>
      </w:r>
      <w:r>
        <w:t>The UK FCA's BNPL regulatory framework takes effect in mid-2026, requiring affordability checks and greater disclosure. New York State's BNPL licensing legislation (signed May 2025) reflects a broader regulatory trend. These developments increase institutional demand for exactly the kind of independent, consumer-protective infrastructure that BNPL Safeguard provides.</w:t>
      </w:r>
    </w:p>
    <w:p w14:paraId="31BFB1F0" w14:textId="77777777" w:rsidR="00782E62" w:rsidRDefault="00000000">
      <w:pPr>
        <w:spacing w:after="160"/>
      </w:pPr>
      <w:r>
        <w:rPr>
          <w:b/>
          <w:bCs/>
        </w:rPr>
        <w:t xml:space="preserve">Open banking infrastructure advantage. </w:t>
      </w:r>
      <w:r>
        <w:t>Competitors built before the maturation of open banking rely on manual import or screen scraping. BNPL Safeguard is designed from the ground up around open banking APIs, giving it a cleaner, more reliable, and more privacy-respecting data pipeline.</w:t>
      </w:r>
    </w:p>
    <w:p w14:paraId="221A1E2E" w14:textId="77777777" w:rsidR="00782E62" w:rsidRDefault="00782E62">
      <w:pPr>
        <w:spacing w:after="80"/>
      </w:pPr>
    </w:p>
    <w:p w14:paraId="5F0483F4" w14:textId="77777777" w:rsidR="00782E62" w:rsidRDefault="00000000">
      <w:pPr>
        <w:pBdr>
          <w:bottom w:val="single" w:sz="6" w:space="4" w:color="1F3864"/>
        </w:pBdr>
        <w:spacing w:before="320" w:after="120"/>
      </w:pPr>
      <w:r>
        <w:rPr>
          <w:b/>
          <w:bCs/>
          <w:color w:val="1F3864"/>
          <w:sz w:val="28"/>
          <w:szCs w:val="28"/>
        </w:rPr>
        <w:t>5. Timeline &amp; Milestones</w:t>
      </w:r>
    </w:p>
    <w:p w14:paraId="4B471F27" w14:textId="77777777" w:rsidR="00782E62" w:rsidRDefault="00000000">
      <w:pPr>
        <w:spacing w:after="160"/>
      </w:pPr>
      <w:r>
        <w:t>The venture is structured as a startup, with a phased roadmap tied to the conditions required for long-run financial viability.</w:t>
      </w:r>
    </w:p>
    <w:p w14:paraId="0282EA25" w14:textId="77777777" w:rsidR="00782E62" w:rsidRDefault="00000000">
      <w:pPr>
        <w:pStyle w:val="ListParagraph"/>
        <w:numPr>
          <w:ilvl w:val="0"/>
          <w:numId w:val="2"/>
        </w:numPr>
        <w:spacing w:after="80"/>
      </w:pPr>
      <w:r>
        <w:t>Months 1–6 (MVP): Open banking integration for EU and UK markets, basic cross-provider dashboard, iOS and Android app launch. Target: 5,000 active users. Condition: Validate that users will link bank accounts and engage weekly.</w:t>
      </w:r>
    </w:p>
    <w:p w14:paraId="735D5226" w14:textId="77777777" w:rsidR="00782E62" w:rsidRDefault="00000000">
      <w:pPr>
        <w:pStyle w:val="ListParagraph"/>
        <w:numPr>
          <w:ilvl w:val="0"/>
          <w:numId w:val="2"/>
        </w:numPr>
        <w:spacing w:after="80"/>
      </w:pPr>
      <w:r>
        <w:t>Months 6–9 (Engagement): Browser extension launch; premium tier introduced. Target: 25,000 users, 8% premium conversion rate. Condition: Validate willingness to pay at the €6–8 price point.</w:t>
      </w:r>
    </w:p>
    <w:p w14:paraId="5E256B4C" w14:textId="77777777" w:rsidR="00782E62" w:rsidRDefault="00000000">
      <w:pPr>
        <w:pStyle w:val="ListParagraph"/>
        <w:numPr>
          <w:ilvl w:val="0"/>
          <w:numId w:val="2"/>
        </w:numPr>
        <w:spacing w:after="80"/>
      </w:pPr>
      <w:r>
        <w:t>Months 9–15 (B2B Pilot): AI affordability engine live; first B2B Reliability Score pilot with two BNPL providers or credit bureaus. Condition: Demonstrate score predictive validity against actual default data.</w:t>
      </w:r>
    </w:p>
    <w:p w14:paraId="5C923E2A" w14:textId="77777777" w:rsidR="00782E62" w:rsidRDefault="00000000">
      <w:pPr>
        <w:pStyle w:val="ListParagraph"/>
        <w:numPr>
          <w:ilvl w:val="0"/>
          <w:numId w:val="2"/>
        </w:numPr>
        <w:spacing w:after="80"/>
      </w:pPr>
      <w:r>
        <w:t>Months 15–24 (Scale): Series A fundraise; US market entry via Plaid integration; B2B Reliability Score commercially launched. Target: 150,000 users, break-even on operating costs.</w:t>
      </w:r>
    </w:p>
    <w:p w14:paraId="7167BF40" w14:textId="77777777" w:rsidR="00782E62" w:rsidRDefault="00000000">
      <w:pPr>
        <w:pStyle w:val="ListParagraph"/>
        <w:numPr>
          <w:ilvl w:val="0"/>
          <w:numId w:val="2"/>
        </w:numPr>
        <w:spacing w:after="80"/>
      </w:pPr>
      <w:r>
        <w:t>Year 3+: Potential acquisition by a major credit bureau or financial data aggregator, or standalone profitability driven by B2B SaaS revenue.</w:t>
      </w:r>
    </w:p>
    <w:p w14:paraId="3420ECF7" w14:textId="77777777" w:rsidR="00782E62" w:rsidRDefault="00782E62">
      <w:pPr>
        <w:spacing w:after="80"/>
      </w:pPr>
    </w:p>
    <w:p w14:paraId="6E2F9D2A" w14:textId="77777777" w:rsidR="00782E62" w:rsidRDefault="00000000">
      <w:pPr>
        <w:pBdr>
          <w:bottom w:val="single" w:sz="6" w:space="4" w:color="1F3864"/>
        </w:pBdr>
        <w:spacing w:before="320" w:after="120"/>
      </w:pPr>
      <w:r>
        <w:rPr>
          <w:b/>
          <w:bCs/>
          <w:color w:val="1F3864"/>
          <w:sz w:val="28"/>
          <w:szCs w:val="28"/>
        </w:rPr>
        <w:t>6. Obstacles</w:t>
      </w:r>
    </w:p>
    <w:p w14:paraId="33AD4181" w14:textId="77777777" w:rsidR="00782E62" w:rsidRDefault="00000000">
      <w:pPr>
        <w:spacing w:before="200" w:after="80"/>
      </w:pPr>
      <w:r>
        <w:rPr>
          <w:b/>
          <w:bCs/>
          <w:i/>
          <w:iCs/>
          <w:color w:val="2E4057"/>
          <w:sz w:val="26"/>
          <w:szCs w:val="26"/>
        </w:rPr>
        <w:t>6.1  Regulatory and Compliance Risk</w:t>
      </w:r>
    </w:p>
    <w:p w14:paraId="18B6C543" w14:textId="77777777" w:rsidR="00782E62" w:rsidRDefault="00000000">
      <w:pPr>
        <w:spacing w:after="160"/>
      </w:pPr>
      <w:r>
        <w:t>Operating across bank-account data in multiple jurisdictions requires compliance with GDPR (EU), UK GDPR, and CCPA (California), as well as financial services licensing where applicable. Mitigation: Partner with licensed open banking providers (TrueLayer, Tink, Plaid) who handle regulatory obligations on the data infrastructure side. Retain a data protection officer from inception. Engage proactively with the FCA and CFPB as a pro-consumer actor — the regulatory posture of these bodies currently favours the kind of transparency infrastructure BNPL Safeguard provides.</w:t>
      </w:r>
    </w:p>
    <w:p w14:paraId="36BA552F" w14:textId="77777777" w:rsidR="00782E62" w:rsidRDefault="00000000">
      <w:pPr>
        <w:spacing w:before="200" w:after="80"/>
      </w:pPr>
      <w:r>
        <w:rPr>
          <w:b/>
          <w:bCs/>
          <w:i/>
          <w:iCs/>
          <w:color w:val="2E4057"/>
          <w:sz w:val="26"/>
          <w:szCs w:val="26"/>
        </w:rPr>
        <w:t>6.2  User Trust and Bank-Account Linking</w:t>
      </w:r>
    </w:p>
    <w:p w14:paraId="2562CE9B" w14:textId="77777777" w:rsidR="00782E62" w:rsidRDefault="00000000">
      <w:pPr>
        <w:spacing w:after="160"/>
      </w:pPr>
      <w:r>
        <w:t>Persuading users to link bank accounts requires a high threshold of trust. Mitigation: Adopt a strict data minimisation policy (read-only access, no transaction data sold at individual level). Obtain third-party security certification (ISO 27001) early. The success of Plaid-connected apps (Robinhood, Venmo, Acorns) demonstrates that this trust barrier is crossable with transparent communication.</w:t>
      </w:r>
    </w:p>
    <w:p w14:paraId="5A9CE4AD" w14:textId="77777777" w:rsidR="00782E62" w:rsidRDefault="00000000">
      <w:pPr>
        <w:spacing w:before="200" w:after="80"/>
      </w:pPr>
      <w:r>
        <w:rPr>
          <w:b/>
          <w:bCs/>
          <w:i/>
          <w:iCs/>
          <w:color w:val="2E4057"/>
          <w:sz w:val="26"/>
          <w:szCs w:val="26"/>
        </w:rPr>
        <w:t>6.3  BNPL Provider Resistance</w:t>
      </w:r>
    </w:p>
    <w:p w14:paraId="4FFDAEEB" w14:textId="77777777" w:rsidR="00782E62" w:rsidRDefault="00000000">
      <w:pPr>
        <w:spacing w:after="160"/>
      </w:pPr>
      <w:r>
        <w:t>Large BNPL providers may view BNPL Safeguard as a threat and attempt to restrict data access. Mitigation: Open banking does not require BNPL provider cooperation — it accesses bank transaction data, which is consumer-owned and regulated as such. Email parsing provides a secondary fallback. Over time, the B2B Reliability Score creates a commercial incentive for providers to collaborate rather than resist.</w:t>
      </w:r>
    </w:p>
    <w:p w14:paraId="522C40B1" w14:textId="77777777" w:rsidR="00782E62" w:rsidRDefault="00000000">
      <w:pPr>
        <w:spacing w:before="200" w:after="80"/>
      </w:pPr>
      <w:r>
        <w:rPr>
          <w:b/>
          <w:bCs/>
          <w:i/>
          <w:iCs/>
          <w:color w:val="2E4057"/>
          <w:sz w:val="26"/>
          <w:szCs w:val="26"/>
        </w:rPr>
        <w:t>6.4  In-house Replication by BNPL Providers</w:t>
      </w:r>
    </w:p>
    <w:p w14:paraId="06BA9F8B" w14:textId="77777777" w:rsidR="00782E62" w:rsidRDefault="00000000">
      <w:pPr>
        <w:spacing w:after="160"/>
      </w:pPr>
      <w:r>
        <w:t>A provider such as Klarna could attempt to build a similar dashboard. Mitigation: A single provider can only show data from their own product. The cross-provider aggregation that constitutes BNPL Safeguard's core value proposition is structurally impossible for any individual BNPL company to replicate without industry cooperation.</w:t>
      </w:r>
    </w:p>
    <w:p w14:paraId="408757C9" w14:textId="77777777" w:rsidR="00782E62" w:rsidRDefault="00782E62">
      <w:pPr>
        <w:spacing w:after="80"/>
      </w:pPr>
    </w:p>
    <w:p w14:paraId="233F8E04" w14:textId="77777777" w:rsidR="00782E62" w:rsidRDefault="00000000">
      <w:pPr>
        <w:pBdr>
          <w:bottom w:val="single" w:sz="6" w:space="4" w:color="1F3864"/>
        </w:pBdr>
        <w:spacing w:before="320" w:after="120"/>
      </w:pPr>
      <w:r>
        <w:rPr>
          <w:b/>
          <w:bCs/>
          <w:color w:val="1F3864"/>
          <w:sz w:val="28"/>
          <w:szCs w:val="28"/>
        </w:rPr>
        <w:t>7. Synergies</w:t>
      </w:r>
    </w:p>
    <w:p w14:paraId="5837FAAE" w14:textId="77777777" w:rsidR="00782E62" w:rsidRDefault="00000000">
      <w:pPr>
        <w:spacing w:after="160"/>
      </w:pPr>
      <w:r>
        <w:t>BNPL Safeguard is designed to interact with the broader financial ecosystem rather than operate in isolation.</w:t>
      </w:r>
    </w:p>
    <w:p w14:paraId="7698CD22" w14:textId="77777777" w:rsidR="00782E62" w:rsidRDefault="00000000">
      <w:pPr>
        <w:pStyle w:val="ListParagraph"/>
        <w:numPr>
          <w:ilvl w:val="0"/>
          <w:numId w:val="2"/>
        </w:numPr>
        <w:spacing w:after="80"/>
      </w:pPr>
      <w:r>
        <w:lastRenderedPageBreak/>
        <w:t>Open Banking Infrastructure Providers (TrueLayer, Tink, Plaid): Strategic API partnerships form the data backbone of the platform. These providers benefit from a high-engagement use case that demonstrates open banking's consumer value.</w:t>
      </w:r>
    </w:p>
    <w:p w14:paraId="5F028F14" w14:textId="77777777" w:rsidR="00782E62" w:rsidRDefault="00000000">
      <w:pPr>
        <w:pStyle w:val="ListParagraph"/>
        <w:numPr>
          <w:ilvl w:val="0"/>
          <w:numId w:val="2"/>
        </w:numPr>
        <w:spacing w:after="80"/>
      </w:pPr>
      <w:r>
        <w:t>BNPL Providers (Klarna, Afterpay, Affirm, Zip): Initially a watch relationship, this evolves toward collaboration as the B2B Reliability Score becomes commercially valuable. BNPL providers benefit from better underwriting; BNPL Safeguard benefits from richer data and potential co-marketing.</w:t>
      </w:r>
    </w:p>
    <w:p w14:paraId="0037EA88" w14:textId="77777777" w:rsidR="00782E62" w:rsidRDefault="00000000">
      <w:pPr>
        <w:pStyle w:val="ListParagraph"/>
        <w:numPr>
          <w:ilvl w:val="0"/>
          <w:numId w:val="2"/>
        </w:numPr>
        <w:spacing w:after="80"/>
      </w:pPr>
      <w:r>
        <w:t>Credit Bureaus (Experian, Equifax, TransUnion): The BNPL Reliability Score fills a gap that bureaus have publicly acknowledged — BNPL behaviour is currently absent from most credit files. A data-licensing or acquisition relationship is a plausible long-term outcome.</w:t>
      </w:r>
    </w:p>
    <w:p w14:paraId="7C2D04F9" w14:textId="77777777" w:rsidR="00782E62" w:rsidRDefault="00000000">
      <w:pPr>
        <w:pStyle w:val="ListParagraph"/>
        <w:numPr>
          <w:ilvl w:val="0"/>
          <w:numId w:val="2"/>
        </w:numPr>
        <w:spacing w:after="80"/>
      </w:pPr>
      <w:r>
        <w:t>Regulatory Bodies (FCA, CFPB): Positioning BNPL Safeguard as infrastructure aligned with consumer protection mandates opens doors to regulatory endorsement, sandbox participation, and indirect distribution through compliance-driven financial institutions.</w:t>
      </w:r>
    </w:p>
    <w:p w14:paraId="6624ACAF" w14:textId="77777777" w:rsidR="00782E62" w:rsidRDefault="00000000">
      <w:pPr>
        <w:pStyle w:val="ListParagraph"/>
        <w:numPr>
          <w:ilvl w:val="0"/>
          <w:numId w:val="2"/>
        </w:numPr>
        <w:spacing w:after="80"/>
      </w:pPr>
      <w:r>
        <w:t>Employers and Financial Wellness Platforms: B2B2C distribution — offering BNPL Safeguard as part of employee financial wellness benefits — provides a low-cost acquisition channel for the premium consumer tier.</w:t>
      </w:r>
    </w:p>
    <w:p w14:paraId="280190C4" w14:textId="77777777" w:rsidR="00782E62" w:rsidRDefault="00782E62">
      <w:pPr>
        <w:spacing w:after="80"/>
      </w:pPr>
    </w:p>
    <w:p w14:paraId="5F1B64DA" w14:textId="77777777" w:rsidR="00782E62" w:rsidRDefault="00000000">
      <w:pPr>
        <w:pBdr>
          <w:bottom w:val="single" w:sz="6" w:space="4" w:color="1F3864"/>
        </w:pBdr>
        <w:spacing w:before="320" w:after="120"/>
      </w:pPr>
      <w:r>
        <w:rPr>
          <w:b/>
          <w:bCs/>
          <w:color w:val="1F3864"/>
          <w:sz w:val="28"/>
          <w:szCs w:val="28"/>
        </w:rPr>
        <w:t>8. Customers</w:t>
      </w:r>
    </w:p>
    <w:p w14:paraId="38F8DB22" w14:textId="77777777" w:rsidR="00782E62" w:rsidRDefault="00000000">
      <w:pPr>
        <w:spacing w:before="200" w:after="80"/>
      </w:pPr>
      <w:r>
        <w:rPr>
          <w:b/>
          <w:bCs/>
          <w:i/>
          <w:iCs/>
          <w:color w:val="2E4057"/>
          <w:sz w:val="26"/>
          <w:szCs w:val="26"/>
        </w:rPr>
        <w:t>8.1  B2C — Primary Consumer Segment</w:t>
      </w:r>
    </w:p>
    <w:p w14:paraId="3DFB7C52" w14:textId="77777777" w:rsidR="00782E62" w:rsidRDefault="00000000">
      <w:pPr>
        <w:spacing w:after="160"/>
      </w:pPr>
      <w:r>
        <w:t>The primary consumer target is adults aged 18–35 (Millennials and Gen Z) in North America and Europe who actively use two or more BNPL services simultaneously. This demographic is digitally native, comfortable with app-based financial management, and disproportionately represented among BNPL late-payers. A secondary segment includes budget-conscious consumers of any age who are proactively seeking financial control tools.</w:t>
      </w:r>
    </w:p>
    <w:p w14:paraId="73DD2EE0" w14:textId="77777777" w:rsidR="00782E62" w:rsidRDefault="00000000">
      <w:pPr>
        <w:spacing w:before="200" w:after="80"/>
      </w:pPr>
      <w:r>
        <w:rPr>
          <w:b/>
          <w:bCs/>
          <w:i/>
          <w:iCs/>
          <w:color w:val="2E4057"/>
          <w:sz w:val="26"/>
          <w:szCs w:val="26"/>
        </w:rPr>
        <w:t>8.2  B2B — Institutional Clients</w:t>
      </w:r>
    </w:p>
    <w:p w14:paraId="075C4675" w14:textId="77777777" w:rsidR="00782E62" w:rsidRDefault="00000000">
      <w:pPr>
        <w:spacing w:after="160"/>
      </w:pPr>
      <w:r>
        <w:t>B2B clients include BNPL providers seeking to reduce default rates through better pre-issuance data, banks and credit bureaus integrating BNPL behaviour into credit files, and financial wellness platforms seeking differentiated content. These clients are reached through direct enterprise sales and API licensing.</w:t>
      </w:r>
    </w:p>
    <w:p w14:paraId="7A07AC60" w14:textId="77777777" w:rsidR="00782E62" w:rsidRDefault="00000000">
      <w:pPr>
        <w:spacing w:before="200" w:after="80"/>
      </w:pPr>
      <w:r>
        <w:rPr>
          <w:b/>
          <w:bCs/>
          <w:i/>
          <w:iCs/>
          <w:color w:val="2E4057"/>
          <w:sz w:val="26"/>
          <w:szCs w:val="26"/>
        </w:rPr>
        <w:t>8.3  Organisational Form</w:t>
      </w:r>
    </w:p>
    <w:p w14:paraId="136CCFB8" w14:textId="77777777" w:rsidR="00782E62" w:rsidRDefault="00000000">
      <w:pPr>
        <w:spacing w:after="160"/>
      </w:pPr>
      <w:r>
        <w:lastRenderedPageBreak/>
        <w:t>BNPL Safeguard is structured as an independent startup. A startup structure is appropriate because speed of iteration and first-mover capture are critical in an emerging space. The company would seek a pre-seed round of €500k–1M to fund the MVP and initial regulatory setup, followed by a Series A of €5–8M at the 18-month mark to fund the US expansion and B2B product commercialisation. Acquisition by a major credit bureau or financial data aggregator represents the most likely exit pathway, given the strategic value of the cross-provider BNPL dataset.</w:t>
      </w:r>
    </w:p>
    <w:p w14:paraId="50698E73" w14:textId="77777777" w:rsidR="00782E62" w:rsidRDefault="00782E62">
      <w:pPr>
        <w:spacing w:after="80"/>
      </w:pPr>
    </w:p>
    <w:p w14:paraId="7C8AABFD" w14:textId="77777777" w:rsidR="00782E62" w:rsidRDefault="00000000">
      <w:pPr>
        <w:pBdr>
          <w:bottom w:val="single" w:sz="6" w:space="4" w:color="1F3864"/>
        </w:pBdr>
        <w:spacing w:before="320" w:after="120"/>
      </w:pPr>
      <w:r>
        <w:rPr>
          <w:b/>
          <w:bCs/>
          <w:color w:val="1F3864"/>
          <w:sz w:val="28"/>
          <w:szCs w:val="28"/>
        </w:rPr>
        <w:t>Conclusion</w:t>
      </w:r>
    </w:p>
    <w:p w14:paraId="6EF4FD6C" w14:textId="77777777" w:rsidR="00782E62" w:rsidRDefault="00000000">
      <w:pPr>
        <w:spacing w:after="160"/>
      </w:pPr>
      <w:r>
        <w:t>The BNPL safeguard market is currently unoccupied. Consumer credit in BNPL is growing, regulation is tightening, and the psychological design of BNPL products continues to obscure true debt burdens. BNPL Safeguard is positioned at the intersection of open banking maturity, AI-driven personalisation, and a genuine consumer protection gap. The B2C product provides immediate value and user acquisition; the B2B Reliability Score provides the long-term, defensible revenue engine. The business is viable as an independent startup with a clear path to institutional partnership or acquisition.</w:t>
      </w:r>
    </w:p>
    <w:sectPr w:rsidR="00782E6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7F636" w14:textId="77777777" w:rsidR="005C6185" w:rsidRDefault="005C6185">
      <w:pPr>
        <w:spacing w:line="240" w:lineRule="auto"/>
      </w:pPr>
      <w:r>
        <w:separator/>
      </w:r>
    </w:p>
  </w:endnote>
  <w:endnote w:type="continuationSeparator" w:id="0">
    <w:p w14:paraId="20B49E6B" w14:textId="77777777" w:rsidR="005C6185" w:rsidRDefault="005C61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59FF" w14:textId="77777777" w:rsidR="00782E6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7D104F">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4B70C" w14:textId="77777777" w:rsidR="005C6185" w:rsidRDefault="005C6185">
      <w:pPr>
        <w:spacing w:line="240" w:lineRule="auto"/>
      </w:pPr>
      <w:r>
        <w:separator/>
      </w:r>
    </w:p>
  </w:footnote>
  <w:footnote w:type="continuationSeparator" w:id="0">
    <w:p w14:paraId="70BE3E82" w14:textId="77777777" w:rsidR="005C6185" w:rsidRDefault="005C61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2007B" w14:textId="77777777" w:rsidR="00782E62" w:rsidRDefault="00000000">
    <w:pPr>
      <w:jc w:val="right"/>
    </w:pPr>
    <w:r>
      <w:rPr>
        <w:color w:val="888888"/>
        <w:sz w:val="18"/>
        <w:szCs w:val="18"/>
      </w:rPr>
      <w:t>BNPL Safeguard – Business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22DEC"/>
    <w:multiLevelType w:val="hybridMultilevel"/>
    <w:tmpl w:val="E004B842"/>
    <w:lvl w:ilvl="0" w:tplc="52E2F898">
      <w:start w:val="1"/>
      <w:numFmt w:val="bullet"/>
      <w:lvlText w:val="●"/>
      <w:lvlJc w:val="left"/>
      <w:pPr>
        <w:ind w:left="720" w:hanging="360"/>
      </w:pPr>
    </w:lvl>
    <w:lvl w:ilvl="1" w:tplc="989651E8">
      <w:start w:val="1"/>
      <w:numFmt w:val="bullet"/>
      <w:lvlText w:val="○"/>
      <w:lvlJc w:val="left"/>
      <w:pPr>
        <w:ind w:left="1440" w:hanging="360"/>
      </w:pPr>
    </w:lvl>
    <w:lvl w:ilvl="2" w:tplc="7FFC8778">
      <w:start w:val="1"/>
      <w:numFmt w:val="bullet"/>
      <w:lvlText w:val="■"/>
      <w:lvlJc w:val="left"/>
      <w:pPr>
        <w:ind w:left="2160" w:hanging="360"/>
      </w:pPr>
    </w:lvl>
    <w:lvl w:ilvl="3" w:tplc="AA0E6702">
      <w:start w:val="1"/>
      <w:numFmt w:val="bullet"/>
      <w:lvlText w:val="●"/>
      <w:lvlJc w:val="left"/>
      <w:pPr>
        <w:ind w:left="2880" w:hanging="360"/>
      </w:pPr>
    </w:lvl>
    <w:lvl w:ilvl="4" w:tplc="537633B4">
      <w:start w:val="1"/>
      <w:numFmt w:val="bullet"/>
      <w:lvlText w:val="○"/>
      <w:lvlJc w:val="left"/>
      <w:pPr>
        <w:ind w:left="3600" w:hanging="360"/>
      </w:pPr>
    </w:lvl>
    <w:lvl w:ilvl="5" w:tplc="0C7C3B92">
      <w:start w:val="1"/>
      <w:numFmt w:val="bullet"/>
      <w:lvlText w:val="■"/>
      <w:lvlJc w:val="left"/>
      <w:pPr>
        <w:ind w:left="4320" w:hanging="360"/>
      </w:pPr>
    </w:lvl>
    <w:lvl w:ilvl="6" w:tplc="BF84C658">
      <w:start w:val="1"/>
      <w:numFmt w:val="bullet"/>
      <w:lvlText w:val="●"/>
      <w:lvlJc w:val="left"/>
      <w:pPr>
        <w:ind w:left="5040" w:hanging="360"/>
      </w:pPr>
    </w:lvl>
    <w:lvl w:ilvl="7" w:tplc="A0C2AA6E">
      <w:start w:val="1"/>
      <w:numFmt w:val="bullet"/>
      <w:lvlText w:val="●"/>
      <w:lvlJc w:val="left"/>
      <w:pPr>
        <w:ind w:left="5760" w:hanging="360"/>
      </w:pPr>
    </w:lvl>
    <w:lvl w:ilvl="8" w:tplc="B810BA62">
      <w:start w:val="1"/>
      <w:numFmt w:val="bullet"/>
      <w:lvlText w:val="●"/>
      <w:lvlJc w:val="left"/>
      <w:pPr>
        <w:ind w:left="6480" w:hanging="360"/>
      </w:pPr>
    </w:lvl>
  </w:abstractNum>
  <w:abstractNum w:abstractNumId="1" w15:restartNumberingAfterBreak="0">
    <w:nsid w:val="62C314BE"/>
    <w:multiLevelType w:val="hybridMultilevel"/>
    <w:tmpl w:val="09289556"/>
    <w:lvl w:ilvl="0" w:tplc="7B8C2DF4">
      <w:start w:val="1"/>
      <w:numFmt w:val="bullet"/>
      <w:lvlText w:val="•"/>
      <w:lvlJc w:val="left"/>
      <w:pPr>
        <w:ind w:left="720" w:hanging="360"/>
      </w:pPr>
    </w:lvl>
    <w:lvl w:ilvl="1" w:tplc="4BF69FB4">
      <w:numFmt w:val="decimal"/>
      <w:lvlText w:val=""/>
      <w:lvlJc w:val="left"/>
    </w:lvl>
    <w:lvl w:ilvl="2" w:tplc="5B5A0044">
      <w:numFmt w:val="decimal"/>
      <w:lvlText w:val=""/>
      <w:lvlJc w:val="left"/>
    </w:lvl>
    <w:lvl w:ilvl="3" w:tplc="7BC80A70">
      <w:numFmt w:val="decimal"/>
      <w:lvlText w:val=""/>
      <w:lvlJc w:val="left"/>
    </w:lvl>
    <w:lvl w:ilvl="4" w:tplc="C22EF0EA">
      <w:numFmt w:val="decimal"/>
      <w:lvlText w:val=""/>
      <w:lvlJc w:val="left"/>
    </w:lvl>
    <w:lvl w:ilvl="5" w:tplc="EB188D52">
      <w:numFmt w:val="decimal"/>
      <w:lvlText w:val=""/>
      <w:lvlJc w:val="left"/>
    </w:lvl>
    <w:lvl w:ilvl="6" w:tplc="02C6A656">
      <w:numFmt w:val="decimal"/>
      <w:lvlText w:val=""/>
      <w:lvlJc w:val="left"/>
    </w:lvl>
    <w:lvl w:ilvl="7" w:tplc="ABDE01F8">
      <w:numFmt w:val="decimal"/>
      <w:lvlText w:val=""/>
      <w:lvlJc w:val="left"/>
    </w:lvl>
    <w:lvl w:ilvl="8" w:tplc="EBDAA2EE">
      <w:numFmt w:val="decimal"/>
      <w:lvlText w:val=""/>
      <w:lvlJc w:val="left"/>
    </w:lvl>
  </w:abstractNum>
  <w:num w:numId="1" w16cid:durableId="2089577211">
    <w:abstractNumId w:val="0"/>
    <w:lvlOverride w:ilvl="0">
      <w:startOverride w:val="1"/>
    </w:lvlOverride>
  </w:num>
  <w:num w:numId="2" w16cid:durableId="829964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E62"/>
    <w:rsid w:val="005C6185"/>
    <w:rsid w:val="00664B9C"/>
    <w:rsid w:val="00782E62"/>
    <w:rsid w:val="007D104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EB973C6"/>
  <w15:docId w15:val="{26F0DAC5-7F0E-AE4F-B6CF-936B37A6C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NL"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2319</Words>
  <Characters>13224</Characters>
  <Application>Microsoft Office Word</Application>
  <DocSecurity>0</DocSecurity>
  <Lines>110</Lines>
  <Paragraphs>31</Paragraphs>
  <ScaleCrop>false</ScaleCrop>
  <Company/>
  <LinksUpToDate>false</LinksUpToDate>
  <CharactersWithSpaces>15512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Duy Dam</cp:lastModifiedBy>
  <cp:revision>2</cp:revision>
  <dcterms:created xsi:type="dcterms:W3CDTF">2026-05-06T18:58:00Z</dcterms:created>
  <dcterms:modified xsi:type="dcterms:W3CDTF">2026-05-12T18:24:00Z</dcterms:modified>
</cp:coreProperties>
</file>