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91586" w14:textId="54E59A79" w:rsidR="00AB097E" w:rsidRPr="00961D4C" w:rsidRDefault="00961D4C">
      <w:pPr>
        <w:rPr>
          <w:rFonts w:ascii="Arial" w:hAnsi="Arial" w:cs="Arial"/>
          <w:b/>
          <w:bCs/>
          <w:sz w:val="22"/>
          <w:szCs w:val="22"/>
        </w:rPr>
      </w:pPr>
      <w:r w:rsidRPr="00961D4C">
        <w:rPr>
          <w:rFonts w:ascii="Arial" w:hAnsi="Arial" w:cs="Arial"/>
          <w:b/>
          <w:bCs/>
          <w:sz w:val="22"/>
          <w:szCs w:val="22"/>
        </w:rPr>
        <w:t>allModels.ipynb</w:t>
      </w:r>
      <w:r w:rsidRPr="00961D4C">
        <w:rPr>
          <w:rFonts w:ascii="Arial" w:hAnsi="Arial" w:cs="Arial"/>
          <w:b/>
          <w:bCs/>
          <w:sz w:val="22"/>
          <w:szCs w:val="22"/>
        </w:rPr>
        <w:br/>
        <w:t xml:space="preserve">             </w:t>
      </w:r>
      <w:r w:rsidRPr="00961D4C">
        <w:rPr>
          <w:rFonts w:ascii="Arial" w:hAnsi="Arial" w:cs="Arial"/>
          <w:b/>
          <w:bCs/>
          <w:sz w:val="22"/>
          <w:szCs w:val="22"/>
        </w:rPr>
        <w:drawing>
          <wp:inline distT="0" distB="0" distL="0" distR="0" wp14:anchorId="30A54C2D" wp14:editId="65016209">
            <wp:extent cx="5562600" cy="3018877"/>
            <wp:effectExtent l="0" t="0" r="0" b="0"/>
            <wp:docPr id="143544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47427" name=""/>
                    <pic:cNvPicPr/>
                  </pic:nvPicPr>
                  <pic:blipFill>
                    <a:blip r:embed="rId5"/>
                    <a:stretch>
                      <a:fillRect/>
                    </a:stretch>
                  </pic:blipFill>
                  <pic:spPr>
                    <a:xfrm>
                      <a:off x="0" y="0"/>
                      <a:ext cx="5568135" cy="3021881"/>
                    </a:xfrm>
                    <a:prstGeom prst="rect">
                      <a:avLst/>
                    </a:prstGeom>
                  </pic:spPr>
                </pic:pic>
              </a:graphicData>
            </a:graphic>
          </wp:inline>
        </w:drawing>
      </w:r>
    </w:p>
    <w:p w14:paraId="21D9E36F" w14:textId="37D6DBAE" w:rsidR="00961D4C" w:rsidRPr="00961D4C" w:rsidRDefault="00961D4C">
      <w:pPr>
        <w:rPr>
          <w:rFonts w:ascii="Arial" w:hAnsi="Arial" w:cs="Arial"/>
          <w:b/>
          <w:bCs/>
          <w:sz w:val="22"/>
          <w:szCs w:val="22"/>
        </w:rPr>
      </w:pPr>
      <w:r w:rsidRPr="00961D4C">
        <w:rPr>
          <w:rFonts w:ascii="Arial" w:hAnsi="Arial" w:cs="Arial"/>
          <w:b/>
          <w:bCs/>
          <w:sz w:val="22"/>
          <w:szCs w:val="22"/>
        </w:rPr>
        <w:t>Analysis:</w:t>
      </w:r>
    </w:p>
    <w:p w14:paraId="6F8F4977" w14:textId="2B37B0DF" w:rsidR="00961D4C" w:rsidRPr="00961D4C" w:rsidRDefault="00555427" w:rsidP="00961D4C">
      <w:pPr>
        <w:rPr>
          <w:rFonts w:ascii="Arial" w:hAnsi="Arial" w:cs="Arial"/>
          <w:b/>
          <w:bCs/>
          <w:sz w:val="22"/>
          <w:szCs w:val="22"/>
        </w:rPr>
      </w:pPr>
      <w:r>
        <w:rPr>
          <w:rFonts w:ascii="Arial" w:hAnsi="Arial" w:cs="Arial"/>
          <w:b/>
          <w:bCs/>
          <w:sz w:val="22"/>
          <w:szCs w:val="22"/>
        </w:rPr>
        <w:t>1</w:t>
      </w:r>
      <w:r w:rsidR="00961D4C" w:rsidRPr="00961D4C">
        <w:rPr>
          <w:rFonts w:ascii="Arial" w:hAnsi="Arial" w:cs="Arial"/>
          <w:b/>
          <w:bCs/>
          <w:sz w:val="22"/>
          <w:szCs w:val="22"/>
        </w:rPr>
        <w:t>. Overall Trend and Seasonality</w:t>
      </w:r>
    </w:p>
    <w:p w14:paraId="67025902" w14:textId="61C92C58" w:rsidR="00961D4C" w:rsidRPr="00961D4C" w:rsidRDefault="00961D4C" w:rsidP="00961D4C">
      <w:pPr>
        <w:rPr>
          <w:rFonts w:ascii="Arial" w:hAnsi="Arial" w:cs="Arial"/>
          <w:sz w:val="22"/>
          <w:szCs w:val="22"/>
        </w:rPr>
      </w:pPr>
      <w:r w:rsidRPr="00961D4C">
        <w:rPr>
          <w:rFonts w:ascii="Arial" w:hAnsi="Arial" w:cs="Arial"/>
          <w:sz w:val="22"/>
          <w:szCs w:val="22"/>
        </w:rPr>
        <w:t xml:space="preserve">The blue line (Actual) shows a clear diurnal (daily) pattern, with demand peaking and falling in a rhythmic cycle. </w:t>
      </w:r>
      <w:r w:rsidR="005505AD">
        <w:rPr>
          <w:rFonts w:ascii="Arial" w:hAnsi="Arial" w:cs="Arial"/>
          <w:sz w:val="22"/>
          <w:szCs w:val="22"/>
        </w:rPr>
        <w:t>Our</w:t>
      </w:r>
      <w:r w:rsidRPr="00961D4C">
        <w:rPr>
          <w:rFonts w:ascii="Arial" w:hAnsi="Arial" w:cs="Arial"/>
          <w:sz w:val="22"/>
          <w:szCs w:val="22"/>
        </w:rPr>
        <w:t xml:space="preserve"> SARIMA component successfully captured the "base" of this movement, but the hybrid addition (TCN) is what allows the prediction lines (Orange and Green) to track the sharp peaks and troughs so closely.</w:t>
      </w:r>
    </w:p>
    <w:p w14:paraId="601D8874" w14:textId="77777777" w:rsidR="00961D4C" w:rsidRPr="00961D4C" w:rsidRDefault="00961D4C" w:rsidP="00961D4C">
      <w:pPr>
        <w:rPr>
          <w:rFonts w:ascii="Arial" w:hAnsi="Arial" w:cs="Arial"/>
          <w:b/>
          <w:bCs/>
          <w:sz w:val="22"/>
          <w:szCs w:val="22"/>
        </w:rPr>
      </w:pPr>
      <w:r w:rsidRPr="00961D4C">
        <w:rPr>
          <w:rFonts w:ascii="Arial" w:hAnsi="Arial" w:cs="Arial"/>
          <w:b/>
          <w:bCs/>
          <w:sz w:val="22"/>
          <w:szCs w:val="22"/>
        </w:rPr>
        <w:t>2. High Tracking Precision</w:t>
      </w:r>
    </w:p>
    <w:p w14:paraId="6808A51A" w14:textId="77777777" w:rsidR="00961D4C" w:rsidRPr="00961D4C" w:rsidRDefault="00961D4C" w:rsidP="00961D4C">
      <w:pPr>
        <w:rPr>
          <w:rFonts w:ascii="Arial" w:hAnsi="Arial" w:cs="Arial"/>
          <w:sz w:val="22"/>
          <w:szCs w:val="22"/>
        </w:rPr>
      </w:pPr>
      <w:r w:rsidRPr="00961D4C">
        <w:rPr>
          <w:rFonts w:ascii="Arial" w:hAnsi="Arial" w:cs="Arial"/>
          <w:sz w:val="22"/>
          <w:szCs w:val="22"/>
        </w:rPr>
        <w:t>The GA-TCN + SARIMA (Orange) and PSO-TCN + SARIMA (Green) lines are almost perfectly overlaid on the actual data.</w:t>
      </w:r>
    </w:p>
    <w:p w14:paraId="2EB2C3EB" w14:textId="77777777" w:rsidR="00961D4C" w:rsidRPr="00961D4C" w:rsidRDefault="00961D4C" w:rsidP="00961D4C">
      <w:pPr>
        <w:numPr>
          <w:ilvl w:val="0"/>
          <w:numId w:val="3"/>
        </w:numPr>
        <w:rPr>
          <w:rFonts w:ascii="Arial" w:hAnsi="Arial" w:cs="Arial"/>
          <w:sz w:val="22"/>
          <w:szCs w:val="22"/>
        </w:rPr>
      </w:pPr>
      <w:r w:rsidRPr="00961D4C">
        <w:rPr>
          <w:rFonts w:ascii="Arial" w:hAnsi="Arial" w:cs="Arial"/>
          <w:b/>
          <w:bCs/>
          <w:sz w:val="22"/>
          <w:szCs w:val="22"/>
        </w:rPr>
        <w:t>Nonlinear Capture:</w:t>
      </w:r>
      <w:r w:rsidRPr="00961D4C">
        <w:rPr>
          <w:rFonts w:ascii="Arial" w:hAnsi="Arial" w:cs="Arial"/>
          <w:sz w:val="22"/>
          <w:szCs w:val="22"/>
        </w:rPr>
        <w:t xml:space="preserve"> The TCN models are effectively predicting the "residuals" (the complex errors SARIMA couldn't handle on its own).</w:t>
      </w:r>
    </w:p>
    <w:p w14:paraId="1B12D050" w14:textId="77777777" w:rsidR="00961D4C" w:rsidRPr="00961D4C" w:rsidRDefault="00961D4C" w:rsidP="00961D4C">
      <w:pPr>
        <w:numPr>
          <w:ilvl w:val="0"/>
          <w:numId w:val="3"/>
        </w:numPr>
        <w:rPr>
          <w:rFonts w:ascii="Arial" w:hAnsi="Arial" w:cs="Arial"/>
          <w:sz w:val="22"/>
          <w:szCs w:val="22"/>
        </w:rPr>
      </w:pPr>
      <w:r w:rsidRPr="00961D4C">
        <w:rPr>
          <w:rFonts w:ascii="Arial" w:hAnsi="Arial" w:cs="Arial"/>
          <w:b/>
          <w:bCs/>
          <w:sz w:val="22"/>
          <w:szCs w:val="22"/>
        </w:rPr>
        <w:t>Peak Performance:</w:t>
      </w:r>
      <w:r w:rsidRPr="00961D4C">
        <w:rPr>
          <w:rFonts w:ascii="Arial" w:hAnsi="Arial" w:cs="Arial"/>
          <w:sz w:val="22"/>
          <w:szCs w:val="22"/>
        </w:rPr>
        <w:t xml:space="preserve"> Notice how the models don't just follow the trend but accurately hit the specific heights of the charging spikes, which is usually the hardest part of load forecasting.</w:t>
      </w:r>
    </w:p>
    <w:p w14:paraId="3BCE3A8B" w14:textId="77777777" w:rsidR="00961D4C" w:rsidRPr="00961D4C" w:rsidRDefault="00961D4C" w:rsidP="00961D4C">
      <w:pPr>
        <w:rPr>
          <w:rFonts w:ascii="Arial" w:hAnsi="Arial" w:cs="Arial"/>
          <w:b/>
          <w:bCs/>
          <w:sz w:val="22"/>
          <w:szCs w:val="22"/>
        </w:rPr>
      </w:pPr>
      <w:r w:rsidRPr="00961D4C">
        <w:rPr>
          <w:rFonts w:ascii="Arial" w:hAnsi="Arial" w:cs="Arial"/>
          <w:b/>
          <w:bCs/>
          <w:sz w:val="22"/>
          <w:szCs w:val="22"/>
        </w:rPr>
        <w:t>3. Comparison of GA vs. PSO Optimization</w:t>
      </w:r>
    </w:p>
    <w:p w14:paraId="71A8CA26" w14:textId="77777777" w:rsidR="00961D4C" w:rsidRPr="00961D4C" w:rsidRDefault="00961D4C" w:rsidP="00961D4C">
      <w:pPr>
        <w:numPr>
          <w:ilvl w:val="0"/>
          <w:numId w:val="4"/>
        </w:numPr>
        <w:rPr>
          <w:rFonts w:ascii="Arial" w:hAnsi="Arial" w:cs="Arial"/>
          <w:sz w:val="22"/>
          <w:szCs w:val="22"/>
        </w:rPr>
      </w:pPr>
      <w:r w:rsidRPr="00961D4C">
        <w:rPr>
          <w:rFonts w:ascii="Arial" w:hAnsi="Arial" w:cs="Arial"/>
          <w:b/>
          <w:bCs/>
          <w:sz w:val="22"/>
          <w:szCs w:val="22"/>
        </w:rPr>
        <w:t>Synchronicity:</w:t>
      </w:r>
      <w:r w:rsidRPr="00961D4C">
        <w:rPr>
          <w:rFonts w:ascii="Arial" w:hAnsi="Arial" w:cs="Arial"/>
          <w:sz w:val="22"/>
          <w:szCs w:val="22"/>
        </w:rPr>
        <w:t xml:space="preserve"> There is very little visual deviation between the GA-optimized and PSO-optimized versions. This suggests that both optimization algorithms arrived at very similar "global optima" for your TCN hyperparameters (filters, kernel size, etc.).</w:t>
      </w:r>
    </w:p>
    <w:p w14:paraId="736003F8" w14:textId="77777777" w:rsidR="00961D4C" w:rsidRPr="00961D4C" w:rsidRDefault="00961D4C" w:rsidP="00961D4C">
      <w:pPr>
        <w:numPr>
          <w:ilvl w:val="0"/>
          <w:numId w:val="4"/>
        </w:numPr>
        <w:rPr>
          <w:rFonts w:ascii="Arial" w:hAnsi="Arial" w:cs="Arial"/>
          <w:sz w:val="22"/>
          <w:szCs w:val="22"/>
        </w:rPr>
      </w:pPr>
      <w:r w:rsidRPr="00961D4C">
        <w:rPr>
          <w:rFonts w:ascii="Arial" w:hAnsi="Arial" w:cs="Arial"/>
          <w:b/>
          <w:bCs/>
          <w:sz w:val="22"/>
          <w:szCs w:val="22"/>
        </w:rPr>
        <w:t>Reliability:</w:t>
      </w:r>
      <w:r w:rsidRPr="00961D4C">
        <w:rPr>
          <w:rFonts w:ascii="Arial" w:hAnsi="Arial" w:cs="Arial"/>
          <w:sz w:val="22"/>
          <w:szCs w:val="22"/>
        </w:rPr>
        <w:t xml:space="preserve"> Since both optimization paths yielded nearly identical high-accuracy results, it validates that your TCN architecture is stable and well-suited for this specific dataset.</w:t>
      </w:r>
    </w:p>
    <w:p w14:paraId="1A044471" w14:textId="77777777" w:rsidR="00961D4C" w:rsidRDefault="00961D4C">
      <w:pPr>
        <w:rPr>
          <w:rFonts w:ascii="Arial" w:hAnsi="Arial" w:cs="Arial"/>
          <w:sz w:val="22"/>
          <w:szCs w:val="22"/>
        </w:rPr>
      </w:pPr>
    </w:p>
    <w:p w14:paraId="4579B437" w14:textId="77777777" w:rsidR="00DE21EF" w:rsidRDefault="00DE21EF">
      <w:pPr>
        <w:rPr>
          <w:rFonts w:ascii="Arial" w:hAnsi="Arial" w:cs="Arial"/>
          <w:sz w:val="22"/>
          <w:szCs w:val="22"/>
        </w:rPr>
      </w:pPr>
    </w:p>
    <w:p w14:paraId="4804FE31" w14:textId="77777777" w:rsidR="00DE21EF" w:rsidRDefault="00DE21EF">
      <w:pPr>
        <w:rPr>
          <w:rFonts w:ascii="Arial" w:hAnsi="Arial" w:cs="Arial"/>
          <w:sz w:val="22"/>
          <w:szCs w:val="22"/>
        </w:rPr>
      </w:pPr>
    </w:p>
    <w:p w14:paraId="2CC590AD" w14:textId="77777777" w:rsidR="00DE21EF" w:rsidRDefault="00DE21EF">
      <w:pPr>
        <w:rPr>
          <w:rFonts w:ascii="Arial" w:hAnsi="Arial" w:cs="Arial"/>
          <w:sz w:val="22"/>
          <w:szCs w:val="22"/>
        </w:rPr>
      </w:pPr>
    </w:p>
    <w:p w14:paraId="29EFFF0E" w14:textId="77777777" w:rsidR="00DE21EF" w:rsidRDefault="00DE21EF">
      <w:pPr>
        <w:rPr>
          <w:rFonts w:ascii="Arial" w:hAnsi="Arial" w:cs="Arial"/>
          <w:sz w:val="22"/>
          <w:szCs w:val="22"/>
        </w:rPr>
      </w:pPr>
    </w:p>
    <w:p w14:paraId="058CF327" w14:textId="77777777" w:rsidR="00DE21EF" w:rsidRDefault="00DE21EF">
      <w:pPr>
        <w:rPr>
          <w:rFonts w:ascii="Arial" w:hAnsi="Arial" w:cs="Arial"/>
          <w:sz w:val="22"/>
          <w:szCs w:val="22"/>
        </w:rPr>
      </w:pPr>
    </w:p>
    <w:p w14:paraId="697ED6A5" w14:textId="77777777" w:rsidR="00DE21EF" w:rsidRDefault="00DE21EF">
      <w:pPr>
        <w:rPr>
          <w:rFonts w:ascii="Arial" w:hAnsi="Arial" w:cs="Arial"/>
          <w:sz w:val="22"/>
          <w:szCs w:val="22"/>
        </w:rPr>
      </w:pPr>
    </w:p>
    <w:p w14:paraId="3316BF34" w14:textId="60332B31" w:rsidR="00DE21EF" w:rsidRDefault="00DE21EF">
      <w:pPr>
        <w:rPr>
          <w:rFonts w:ascii="Arial" w:hAnsi="Arial" w:cs="Arial"/>
          <w:sz w:val="22"/>
          <w:szCs w:val="22"/>
        </w:rPr>
      </w:pPr>
      <w:r>
        <w:rPr>
          <w:rFonts w:ascii="Arial" w:hAnsi="Arial" w:cs="Arial"/>
          <w:sz w:val="22"/>
          <w:szCs w:val="22"/>
        </w:rPr>
        <w:lastRenderedPageBreak/>
        <w:t xml:space="preserve">              </w:t>
      </w:r>
      <w:r w:rsidRPr="00DE21EF">
        <w:rPr>
          <w:rFonts w:ascii="Arial" w:hAnsi="Arial" w:cs="Arial"/>
          <w:sz w:val="22"/>
          <w:szCs w:val="22"/>
        </w:rPr>
        <w:drawing>
          <wp:inline distT="0" distB="0" distL="0" distR="0" wp14:anchorId="0CC203C0" wp14:editId="54B4FD3E">
            <wp:extent cx="5237018" cy="2423359"/>
            <wp:effectExtent l="0" t="0" r="1905" b="0"/>
            <wp:docPr id="72811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15659" name=""/>
                    <pic:cNvPicPr/>
                  </pic:nvPicPr>
                  <pic:blipFill>
                    <a:blip r:embed="rId6"/>
                    <a:stretch>
                      <a:fillRect/>
                    </a:stretch>
                  </pic:blipFill>
                  <pic:spPr>
                    <a:xfrm>
                      <a:off x="0" y="0"/>
                      <a:ext cx="5250971" cy="2429816"/>
                    </a:xfrm>
                    <a:prstGeom prst="rect">
                      <a:avLst/>
                    </a:prstGeom>
                  </pic:spPr>
                </pic:pic>
              </a:graphicData>
            </a:graphic>
          </wp:inline>
        </w:drawing>
      </w:r>
    </w:p>
    <w:p w14:paraId="617287D3" w14:textId="090FCA35" w:rsidR="00DE21EF" w:rsidRPr="00DE21EF" w:rsidRDefault="00DE21EF" w:rsidP="00DE21EF">
      <w:pPr>
        <w:rPr>
          <w:rFonts w:ascii="Arial" w:hAnsi="Arial" w:cs="Arial"/>
          <w:sz w:val="22"/>
          <w:szCs w:val="22"/>
        </w:rPr>
      </w:pPr>
      <w:r>
        <w:rPr>
          <w:rFonts w:ascii="Arial" w:hAnsi="Arial" w:cs="Arial"/>
          <w:b/>
          <w:bCs/>
          <w:sz w:val="22"/>
          <w:szCs w:val="22"/>
        </w:rPr>
        <w:t>Analysis:</w:t>
      </w:r>
      <w:r>
        <w:rPr>
          <w:rFonts w:ascii="Arial" w:hAnsi="Arial" w:cs="Arial"/>
          <w:b/>
          <w:bCs/>
          <w:sz w:val="22"/>
          <w:szCs w:val="22"/>
        </w:rPr>
        <w:br/>
      </w:r>
      <w:r w:rsidRPr="00DE21EF">
        <w:rPr>
          <w:rFonts w:ascii="Arial" w:hAnsi="Arial" w:cs="Arial"/>
          <w:sz w:val="22"/>
          <w:szCs w:val="22"/>
        </w:rPr>
        <w:t xml:space="preserve">This </w:t>
      </w:r>
      <w:r w:rsidR="005B0860">
        <w:rPr>
          <w:rFonts w:ascii="Arial" w:hAnsi="Arial" w:cs="Arial"/>
          <w:sz w:val="22"/>
          <w:szCs w:val="22"/>
        </w:rPr>
        <w:t>plot</w:t>
      </w:r>
      <w:r w:rsidRPr="00DE21EF">
        <w:rPr>
          <w:rFonts w:ascii="Arial" w:hAnsi="Arial" w:cs="Arial"/>
          <w:sz w:val="22"/>
          <w:szCs w:val="22"/>
        </w:rPr>
        <w:t xml:space="preserve"> provides a comparative look at how </w:t>
      </w:r>
      <w:r w:rsidR="00A13C23">
        <w:rPr>
          <w:rFonts w:ascii="Arial" w:hAnsi="Arial" w:cs="Arial"/>
          <w:sz w:val="22"/>
          <w:szCs w:val="22"/>
        </w:rPr>
        <w:t>our</w:t>
      </w:r>
      <w:r w:rsidRPr="00DE21EF">
        <w:rPr>
          <w:rFonts w:ascii="Arial" w:hAnsi="Arial" w:cs="Arial"/>
          <w:sz w:val="22"/>
          <w:szCs w:val="22"/>
        </w:rPr>
        <w:t xml:space="preserve"> hybrid models stack up against the standalone SARIMA model across your key evaluation metrics</w:t>
      </w:r>
      <w:r>
        <w:rPr>
          <w:rFonts w:ascii="Arial" w:hAnsi="Arial" w:cs="Arial"/>
          <w:sz w:val="22"/>
          <w:szCs w:val="22"/>
        </w:rPr>
        <w:t>. A</w:t>
      </w:r>
      <w:r w:rsidRPr="00DE21EF">
        <w:rPr>
          <w:rFonts w:ascii="Arial" w:hAnsi="Arial" w:cs="Arial"/>
          <w:sz w:val="22"/>
          <w:szCs w:val="22"/>
        </w:rPr>
        <w:t>nalyzing the advantages of combining different modeling approaches.</w:t>
      </w:r>
    </w:p>
    <w:p w14:paraId="6220973B" w14:textId="77777777" w:rsidR="00DE21EF" w:rsidRPr="00DE21EF" w:rsidRDefault="00DE21EF" w:rsidP="00DE21EF">
      <w:pPr>
        <w:rPr>
          <w:rFonts w:ascii="Arial" w:hAnsi="Arial" w:cs="Arial"/>
          <w:b/>
          <w:bCs/>
          <w:sz w:val="22"/>
          <w:szCs w:val="22"/>
        </w:rPr>
      </w:pPr>
      <w:r w:rsidRPr="00DE21EF">
        <w:rPr>
          <w:rFonts w:ascii="Arial" w:hAnsi="Arial" w:cs="Arial"/>
          <w:b/>
          <w:bCs/>
          <w:sz w:val="22"/>
          <w:szCs w:val="22"/>
        </w:rPr>
        <w:t>1. The "Hybrid Advantage"</w:t>
      </w:r>
    </w:p>
    <w:p w14:paraId="17569D83" w14:textId="77777777" w:rsidR="00DE21EF" w:rsidRPr="00DE21EF" w:rsidRDefault="00DE21EF" w:rsidP="00DE21EF">
      <w:pPr>
        <w:rPr>
          <w:rFonts w:ascii="Arial" w:hAnsi="Arial" w:cs="Arial"/>
          <w:sz w:val="22"/>
          <w:szCs w:val="22"/>
        </w:rPr>
      </w:pPr>
      <w:r w:rsidRPr="00DE21EF">
        <w:rPr>
          <w:rFonts w:ascii="Arial" w:hAnsi="Arial" w:cs="Arial"/>
          <w:sz w:val="22"/>
          <w:szCs w:val="22"/>
        </w:rPr>
        <w:t>The most striking observation is the massive drop in error metrics (MAE, RMSE, and sMAPE) when moving from the baseline SARIMA (blue) to the hybrid models (orange and green).</w:t>
      </w:r>
    </w:p>
    <w:p w14:paraId="70E5645B" w14:textId="77777777" w:rsidR="00DE21EF" w:rsidRPr="00DE21EF" w:rsidRDefault="00DE21EF" w:rsidP="00DE21EF">
      <w:pPr>
        <w:numPr>
          <w:ilvl w:val="0"/>
          <w:numId w:val="5"/>
        </w:numPr>
        <w:rPr>
          <w:rFonts w:ascii="Arial" w:hAnsi="Arial" w:cs="Arial"/>
          <w:sz w:val="22"/>
          <w:szCs w:val="22"/>
        </w:rPr>
      </w:pPr>
      <w:r w:rsidRPr="00DE21EF">
        <w:rPr>
          <w:rFonts w:ascii="Arial" w:hAnsi="Arial" w:cs="Arial"/>
          <w:b/>
          <w:bCs/>
          <w:sz w:val="22"/>
          <w:szCs w:val="22"/>
        </w:rPr>
        <w:t>Error Reduction:</w:t>
      </w:r>
      <w:r w:rsidRPr="00DE21EF">
        <w:rPr>
          <w:rFonts w:ascii="Arial" w:hAnsi="Arial" w:cs="Arial"/>
          <w:sz w:val="22"/>
          <w:szCs w:val="22"/>
        </w:rPr>
        <w:t xml:space="preserve"> In the sMAPE and MAE categories, the hybrid models appear to reduce error by roughly 50–60% compared to SARIMA alone.</w:t>
      </w:r>
    </w:p>
    <w:p w14:paraId="2B47F8FC" w14:textId="77777777" w:rsidR="00DE21EF" w:rsidRPr="00DE21EF" w:rsidRDefault="00DE21EF" w:rsidP="00DE21EF">
      <w:pPr>
        <w:numPr>
          <w:ilvl w:val="0"/>
          <w:numId w:val="5"/>
        </w:numPr>
        <w:rPr>
          <w:rFonts w:ascii="Arial" w:hAnsi="Arial" w:cs="Arial"/>
          <w:sz w:val="22"/>
          <w:szCs w:val="22"/>
        </w:rPr>
      </w:pPr>
      <w:r w:rsidRPr="00DE21EF">
        <w:rPr>
          <w:rFonts w:ascii="Arial" w:hAnsi="Arial" w:cs="Arial"/>
          <w:b/>
          <w:bCs/>
          <w:sz w:val="22"/>
          <w:szCs w:val="22"/>
        </w:rPr>
        <w:t>Precision:</w:t>
      </w:r>
      <w:r w:rsidRPr="00DE21EF">
        <w:rPr>
          <w:rFonts w:ascii="Arial" w:hAnsi="Arial" w:cs="Arial"/>
          <w:sz w:val="22"/>
          <w:szCs w:val="22"/>
        </w:rPr>
        <w:t xml:space="preserve"> This confirms that while SARIMA handles the seasonal "rhythm," it leaves behind significant residuals that the TCN is much better equipped to solve.</w:t>
      </w:r>
    </w:p>
    <w:p w14:paraId="0327B431" w14:textId="77777777" w:rsidR="00DE21EF" w:rsidRPr="00DE21EF" w:rsidRDefault="00DE21EF" w:rsidP="00DE21EF">
      <w:pPr>
        <w:rPr>
          <w:rFonts w:ascii="Arial" w:hAnsi="Arial" w:cs="Arial"/>
          <w:b/>
          <w:bCs/>
          <w:sz w:val="22"/>
          <w:szCs w:val="22"/>
        </w:rPr>
      </w:pPr>
      <w:r w:rsidRPr="00DE21EF">
        <w:rPr>
          <w:rFonts w:ascii="Arial" w:hAnsi="Arial" w:cs="Arial"/>
          <w:b/>
          <w:bCs/>
          <w:sz w:val="22"/>
          <w:szCs w:val="22"/>
        </w:rPr>
        <w:t>2. GA vs. PSO Performance</w:t>
      </w:r>
    </w:p>
    <w:p w14:paraId="25386AB5" w14:textId="77777777" w:rsidR="00DE21EF" w:rsidRPr="00DE21EF" w:rsidRDefault="00DE21EF" w:rsidP="00DE21EF">
      <w:pPr>
        <w:rPr>
          <w:rFonts w:ascii="Arial" w:hAnsi="Arial" w:cs="Arial"/>
          <w:sz w:val="22"/>
          <w:szCs w:val="22"/>
        </w:rPr>
      </w:pPr>
      <w:r w:rsidRPr="00DE21EF">
        <w:rPr>
          <w:rFonts w:ascii="Arial" w:hAnsi="Arial" w:cs="Arial"/>
          <w:sz w:val="22"/>
          <w:szCs w:val="22"/>
        </w:rPr>
        <w:t>The performance of the GA-TCN + SARIMA and PSO-TCN + SARIMA is nearly identical.</w:t>
      </w:r>
    </w:p>
    <w:p w14:paraId="0062705C" w14:textId="3D17857B" w:rsidR="00DE21EF" w:rsidRPr="00DE21EF" w:rsidRDefault="00DE21EF" w:rsidP="00DE21EF">
      <w:pPr>
        <w:numPr>
          <w:ilvl w:val="0"/>
          <w:numId w:val="6"/>
        </w:numPr>
        <w:rPr>
          <w:rFonts w:ascii="Arial" w:hAnsi="Arial" w:cs="Arial"/>
          <w:sz w:val="22"/>
          <w:szCs w:val="22"/>
        </w:rPr>
      </w:pPr>
      <w:r w:rsidRPr="00DE21EF">
        <w:rPr>
          <w:rFonts w:ascii="Arial" w:hAnsi="Arial" w:cs="Arial"/>
          <w:b/>
          <w:bCs/>
          <w:sz w:val="22"/>
          <w:szCs w:val="22"/>
        </w:rPr>
        <w:t>R² Score:</w:t>
      </w:r>
      <w:r w:rsidRPr="00DE21EF">
        <w:rPr>
          <w:rFonts w:ascii="Arial" w:hAnsi="Arial" w:cs="Arial"/>
          <w:sz w:val="22"/>
          <w:szCs w:val="22"/>
        </w:rPr>
        <w:t xml:space="preserve"> Both hybrid models achieved an R</w:t>
      </w:r>
      <w:r w:rsidR="00862497">
        <w:rPr>
          <w:rFonts w:ascii="Arial" w:hAnsi="Arial" w:cs="Arial"/>
          <w:sz w:val="22"/>
          <w:szCs w:val="22"/>
          <w:vertAlign w:val="superscript"/>
        </w:rPr>
        <w:t>2</w:t>
      </w:r>
      <w:r w:rsidRPr="00DE21EF">
        <w:rPr>
          <w:rFonts w:ascii="Arial" w:hAnsi="Arial" w:cs="Arial"/>
          <w:sz w:val="22"/>
          <w:szCs w:val="22"/>
        </w:rPr>
        <w:t xml:space="preserve"> very close to 1.0 (likely in the 0.98–0.99 range), whereas the standalone SARIMA is noticeably lower.</w:t>
      </w:r>
    </w:p>
    <w:p w14:paraId="5B7D324B" w14:textId="77777777" w:rsidR="00DE21EF" w:rsidRPr="00DE21EF" w:rsidRDefault="00DE21EF" w:rsidP="00DE21EF">
      <w:pPr>
        <w:numPr>
          <w:ilvl w:val="0"/>
          <w:numId w:val="6"/>
        </w:numPr>
        <w:rPr>
          <w:rFonts w:ascii="Arial" w:hAnsi="Arial" w:cs="Arial"/>
          <w:sz w:val="22"/>
          <w:szCs w:val="22"/>
        </w:rPr>
      </w:pPr>
      <w:r w:rsidRPr="00DE21EF">
        <w:rPr>
          <w:rFonts w:ascii="Arial" w:hAnsi="Arial" w:cs="Arial"/>
          <w:b/>
          <w:bCs/>
          <w:sz w:val="22"/>
          <w:szCs w:val="22"/>
        </w:rPr>
        <w:t>Consistency:</w:t>
      </w:r>
      <w:r w:rsidRPr="00DE21EF">
        <w:rPr>
          <w:rFonts w:ascii="Arial" w:hAnsi="Arial" w:cs="Arial"/>
          <w:sz w:val="22"/>
          <w:szCs w:val="22"/>
        </w:rPr>
        <w:t xml:space="preserve"> This indicates that your hyperparameter optimization was successful. Whether you use Genetic Algorithms or Particle Swarm Optimization, the TCN is reaching its peak predictive potential for this dataset.</w:t>
      </w:r>
    </w:p>
    <w:p w14:paraId="6CFF3BEA" w14:textId="77777777" w:rsidR="00DE21EF" w:rsidRPr="00DE21EF" w:rsidRDefault="00DE21EF" w:rsidP="00DE21EF">
      <w:pPr>
        <w:rPr>
          <w:rFonts w:ascii="Arial" w:hAnsi="Arial" w:cs="Arial"/>
          <w:b/>
          <w:bCs/>
          <w:sz w:val="22"/>
          <w:szCs w:val="22"/>
        </w:rPr>
      </w:pPr>
      <w:r w:rsidRPr="00DE21EF">
        <w:rPr>
          <w:rFonts w:ascii="Arial" w:hAnsi="Arial" w:cs="Arial"/>
          <w:b/>
          <w:bCs/>
          <w:sz w:val="22"/>
          <w:szCs w:val="22"/>
        </w:rPr>
        <w:t>3. Metric-Specific Insights</w:t>
      </w:r>
    </w:p>
    <w:p w14:paraId="16AA71FA" w14:textId="77777777" w:rsidR="00DE21EF" w:rsidRPr="00DE21EF" w:rsidRDefault="00DE21EF" w:rsidP="00DE21EF">
      <w:pPr>
        <w:numPr>
          <w:ilvl w:val="0"/>
          <w:numId w:val="7"/>
        </w:numPr>
        <w:rPr>
          <w:rFonts w:ascii="Arial" w:hAnsi="Arial" w:cs="Arial"/>
          <w:sz w:val="22"/>
          <w:szCs w:val="22"/>
        </w:rPr>
      </w:pPr>
      <w:r w:rsidRPr="00DE21EF">
        <w:rPr>
          <w:rFonts w:ascii="Arial" w:hAnsi="Arial" w:cs="Arial"/>
          <w:b/>
          <w:bCs/>
          <w:sz w:val="22"/>
          <w:szCs w:val="22"/>
        </w:rPr>
        <w:t>RMSE vs. MAE:</w:t>
      </w:r>
      <w:r w:rsidRPr="00DE21EF">
        <w:rPr>
          <w:rFonts w:ascii="Arial" w:hAnsi="Arial" w:cs="Arial"/>
          <w:sz w:val="22"/>
          <w:szCs w:val="22"/>
        </w:rPr>
        <w:t xml:space="preserve"> The RMSE for the hybrid models is slightly higher than the MAE, which is standard. However, the fact that hybrid RMSE is so much lower than SARIMA's RMSE shows that the TCN is particularly good at reducing large outliers or "peak" errors that a linear model would significantly miss.</w:t>
      </w:r>
    </w:p>
    <w:p w14:paraId="2211F26B" w14:textId="3025972F" w:rsidR="00D669FD" w:rsidRPr="00DE21EF" w:rsidRDefault="00DE21EF" w:rsidP="00D669FD">
      <w:pPr>
        <w:numPr>
          <w:ilvl w:val="0"/>
          <w:numId w:val="7"/>
        </w:numPr>
        <w:rPr>
          <w:rFonts w:ascii="Arial" w:hAnsi="Arial" w:cs="Arial"/>
          <w:sz w:val="22"/>
          <w:szCs w:val="22"/>
        </w:rPr>
      </w:pPr>
      <w:r w:rsidRPr="00DE21EF">
        <w:rPr>
          <w:rFonts w:ascii="Arial" w:hAnsi="Arial" w:cs="Arial"/>
          <w:b/>
          <w:bCs/>
          <w:sz w:val="22"/>
          <w:szCs w:val="22"/>
        </w:rPr>
        <w:t>sMAPE:</w:t>
      </w:r>
      <w:r w:rsidRPr="00DE21EF">
        <w:rPr>
          <w:rFonts w:ascii="Arial" w:hAnsi="Arial" w:cs="Arial"/>
          <w:sz w:val="22"/>
          <w:szCs w:val="22"/>
        </w:rPr>
        <w:t xml:space="preserve"> The very low sMAPE for the hybrids suggests the model is highly reliable across different scales of demand (both low-load and high-load periods).</w:t>
      </w:r>
    </w:p>
    <w:p w14:paraId="00BA3544" w14:textId="43FB32E6" w:rsidR="00D669FD" w:rsidRPr="00D669FD" w:rsidRDefault="00D669FD" w:rsidP="00D669FD">
      <w:pPr>
        <w:rPr>
          <w:rFonts w:ascii="Arial" w:hAnsi="Arial" w:cs="Arial"/>
          <w:b/>
          <w:bCs/>
          <w:sz w:val="22"/>
          <w:szCs w:val="22"/>
        </w:rPr>
      </w:pPr>
      <w:r w:rsidRPr="00D669FD">
        <w:rPr>
          <w:rFonts w:ascii="Arial" w:hAnsi="Arial" w:cs="Arial"/>
          <w:b/>
          <w:bCs/>
          <w:sz w:val="22"/>
          <w:szCs w:val="22"/>
        </w:rPr>
        <w:t>Summary</w:t>
      </w:r>
    </w:p>
    <w:p w14:paraId="029A191F" w14:textId="21689B08" w:rsidR="00D669FD" w:rsidRDefault="00D669FD" w:rsidP="00D669FD">
      <w:pPr>
        <w:rPr>
          <w:rFonts w:ascii="Arial" w:hAnsi="Arial" w:cs="Arial"/>
          <w:sz w:val="22"/>
          <w:szCs w:val="22"/>
        </w:rPr>
      </w:pPr>
      <w:r w:rsidRPr="00D669FD">
        <w:rPr>
          <w:rFonts w:ascii="Arial" w:hAnsi="Arial" w:cs="Arial"/>
          <w:sz w:val="22"/>
          <w:szCs w:val="22"/>
        </w:rPr>
        <w:t>This plot proves that the hybrid approach significantly improves forecasting reliability. SARIMA acts as a strong "foundation" for seasonality, but the optimized TCN is the "finisher" that captures the complex, nonlinear behavior of EV charging demand.</w:t>
      </w:r>
    </w:p>
    <w:p w14:paraId="71672357" w14:textId="60655DEA" w:rsidR="00DE21EF" w:rsidRDefault="00DE21EF">
      <w:pPr>
        <w:rPr>
          <w:rFonts w:ascii="Arial" w:hAnsi="Arial" w:cs="Arial"/>
          <w:sz w:val="22"/>
          <w:szCs w:val="22"/>
        </w:rPr>
      </w:pPr>
    </w:p>
    <w:p w14:paraId="5532D27D" w14:textId="734D0673" w:rsidR="001917D7" w:rsidRDefault="00F06D12">
      <w:pPr>
        <w:rPr>
          <w:rFonts w:ascii="Arial" w:hAnsi="Arial" w:cs="Arial"/>
          <w:sz w:val="22"/>
          <w:szCs w:val="22"/>
        </w:rPr>
      </w:pPr>
      <w:r>
        <w:rPr>
          <w:rFonts w:ascii="Arial" w:hAnsi="Arial" w:cs="Arial"/>
          <w:sz w:val="22"/>
          <w:szCs w:val="22"/>
        </w:rPr>
        <w:lastRenderedPageBreak/>
        <w:t xml:space="preserve">                       </w:t>
      </w:r>
      <w:r w:rsidR="001917D7" w:rsidRPr="001917D7">
        <w:rPr>
          <w:rFonts w:ascii="Arial" w:hAnsi="Arial" w:cs="Arial"/>
          <w:sz w:val="22"/>
          <w:szCs w:val="22"/>
        </w:rPr>
        <w:drawing>
          <wp:inline distT="0" distB="0" distL="0" distR="0" wp14:anchorId="7E60935A" wp14:editId="30C32818">
            <wp:extent cx="4682837" cy="2146337"/>
            <wp:effectExtent l="0" t="0" r="3810" b="6350"/>
            <wp:docPr id="83092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21989" name=""/>
                    <pic:cNvPicPr/>
                  </pic:nvPicPr>
                  <pic:blipFill>
                    <a:blip r:embed="rId7"/>
                    <a:stretch>
                      <a:fillRect/>
                    </a:stretch>
                  </pic:blipFill>
                  <pic:spPr>
                    <a:xfrm>
                      <a:off x="0" y="0"/>
                      <a:ext cx="4691442" cy="2150281"/>
                    </a:xfrm>
                    <a:prstGeom prst="rect">
                      <a:avLst/>
                    </a:prstGeom>
                  </pic:spPr>
                </pic:pic>
              </a:graphicData>
            </a:graphic>
          </wp:inline>
        </w:drawing>
      </w:r>
    </w:p>
    <w:p w14:paraId="63A72CAD" w14:textId="26C9DD59" w:rsidR="001917D7" w:rsidRPr="001917D7" w:rsidRDefault="001917D7" w:rsidP="001917D7">
      <w:pPr>
        <w:rPr>
          <w:rFonts w:ascii="Arial" w:hAnsi="Arial" w:cs="Arial"/>
          <w:sz w:val="22"/>
          <w:szCs w:val="22"/>
        </w:rPr>
      </w:pPr>
      <w:r>
        <w:rPr>
          <w:rFonts w:ascii="Arial" w:hAnsi="Arial" w:cs="Arial"/>
          <w:b/>
          <w:bCs/>
          <w:sz w:val="22"/>
          <w:szCs w:val="22"/>
        </w:rPr>
        <w:t>Analysis:</w:t>
      </w:r>
      <w:r>
        <w:rPr>
          <w:rFonts w:ascii="Arial" w:hAnsi="Arial" w:cs="Arial"/>
          <w:b/>
          <w:bCs/>
          <w:sz w:val="22"/>
          <w:szCs w:val="22"/>
        </w:rPr>
        <w:br/>
      </w:r>
      <w:r w:rsidRPr="001917D7">
        <w:rPr>
          <w:rFonts w:ascii="Arial" w:hAnsi="Arial" w:cs="Arial"/>
          <w:sz w:val="22"/>
          <w:szCs w:val="22"/>
        </w:rPr>
        <w:t xml:space="preserve">This plot visualizes the core of </w:t>
      </w:r>
      <w:r>
        <w:rPr>
          <w:rFonts w:ascii="Arial" w:hAnsi="Arial" w:cs="Arial"/>
          <w:sz w:val="22"/>
          <w:szCs w:val="22"/>
        </w:rPr>
        <w:t>our 4</w:t>
      </w:r>
      <w:r w:rsidRPr="001917D7">
        <w:rPr>
          <w:rFonts w:ascii="Arial" w:hAnsi="Arial" w:cs="Arial"/>
          <w:sz w:val="22"/>
          <w:szCs w:val="22"/>
          <w:vertAlign w:val="superscript"/>
        </w:rPr>
        <w:t>th</w:t>
      </w:r>
      <w:r>
        <w:rPr>
          <w:rFonts w:ascii="Arial" w:hAnsi="Arial" w:cs="Arial"/>
          <w:sz w:val="22"/>
          <w:szCs w:val="22"/>
        </w:rPr>
        <w:t xml:space="preserve"> objective which is </w:t>
      </w:r>
      <w:r w:rsidRPr="001917D7">
        <w:rPr>
          <w:rFonts w:ascii="Arial" w:hAnsi="Arial" w:cs="Arial"/>
          <w:sz w:val="22"/>
          <w:szCs w:val="22"/>
        </w:rPr>
        <w:t xml:space="preserve">predicting the nonlinear residuals. By plotting the "Actual Residuals" (the errors left over from the SARIMA model) against the predictions made by </w:t>
      </w:r>
      <w:r w:rsidR="00766251">
        <w:rPr>
          <w:rFonts w:ascii="Arial" w:hAnsi="Arial" w:cs="Arial"/>
          <w:sz w:val="22"/>
          <w:szCs w:val="22"/>
        </w:rPr>
        <w:t>our</w:t>
      </w:r>
      <w:r w:rsidRPr="001917D7">
        <w:rPr>
          <w:rFonts w:ascii="Arial" w:hAnsi="Arial" w:cs="Arial"/>
          <w:sz w:val="22"/>
          <w:szCs w:val="22"/>
        </w:rPr>
        <w:t xml:space="preserve"> two optimized TCN models, we can see exactly how the deep learning component is "correcting" the forecast.</w:t>
      </w:r>
    </w:p>
    <w:p w14:paraId="1F69D678" w14:textId="77777777" w:rsidR="001917D7" w:rsidRPr="001917D7" w:rsidRDefault="001917D7" w:rsidP="001917D7">
      <w:pPr>
        <w:rPr>
          <w:rFonts w:ascii="Arial" w:hAnsi="Arial" w:cs="Arial"/>
          <w:b/>
          <w:bCs/>
          <w:sz w:val="22"/>
          <w:szCs w:val="22"/>
        </w:rPr>
      </w:pPr>
      <w:r w:rsidRPr="001917D7">
        <w:rPr>
          <w:rFonts w:ascii="Arial" w:hAnsi="Arial" w:cs="Arial"/>
          <w:b/>
          <w:bCs/>
          <w:sz w:val="22"/>
          <w:szCs w:val="22"/>
        </w:rPr>
        <w:t>1. Residual Characteristics</w:t>
      </w:r>
    </w:p>
    <w:p w14:paraId="3A558978" w14:textId="77777777" w:rsidR="001917D7" w:rsidRPr="001917D7" w:rsidRDefault="001917D7" w:rsidP="001917D7">
      <w:pPr>
        <w:rPr>
          <w:rFonts w:ascii="Arial" w:hAnsi="Arial" w:cs="Arial"/>
          <w:sz w:val="22"/>
          <w:szCs w:val="22"/>
        </w:rPr>
      </w:pPr>
      <w:r w:rsidRPr="001917D7">
        <w:rPr>
          <w:rFonts w:ascii="Arial" w:hAnsi="Arial" w:cs="Arial"/>
          <w:sz w:val="22"/>
          <w:szCs w:val="22"/>
        </w:rPr>
        <w:t>The blue line represents the Actual Residuals. Notice that it oscillates around zero but contains significant spikes and complex patterns. This is the "noise" or nonlinear behavior that the SARIMA model failed to capture.</w:t>
      </w:r>
    </w:p>
    <w:p w14:paraId="7E878C31" w14:textId="77777777" w:rsidR="001917D7" w:rsidRPr="001917D7" w:rsidRDefault="001917D7" w:rsidP="001917D7">
      <w:pPr>
        <w:rPr>
          <w:rFonts w:ascii="Arial" w:hAnsi="Arial" w:cs="Arial"/>
          <w:b/>
          <w:bCs/>
          <w:sz w:val="22"/>
          <w:szCs w:val="22"/>
        </w:rPr>
      </w:pPr>
      <w:r w:rsidRPr="001917D7">
        <w:rPr>
          <w:rFonts w:ascii="Arial" w:hAnsi="Arial" w:cs="Arial"/>
          <w:b/>
          <w:bCs/>
          <w:sz w:val="22"/>
          <w:szCs w:val="22"/>
        </w:rPr>
        <w:t>2. TCN Tracking Ability</w:t>
      </w:r>
    </w:p>
    <w:p w14:paraId="311A3E92" w14:textId="77777777" w:rsidR="001917D7" w:rsidRPr="001917D7" w:rsidRDefault="001917D7" w:rsidP="001917D7">
      <w:pPr>
        <w:rPr>
          <w:rFonts w:ascii="Arial" w:hAnsi="Arial" w:cs="Arial"/>
          <w:sz w:val="22"/>
          <w:szCs w:val="22"/>
        </w:rPr>
      </w:pPr>
      <w:r w:rsidRPr="001917D7">
        <w:rPr>
          <w:rFonts w:ascii="Arial" w:hAnsi="Arial" w:cs="Arial"/>
          <w:sz w:val="22"/>
          <w:szCs w:val="22"/>
        </w:rPr>
        <w:t>Both the GA-TCN (orange) and PSO-TCN (green) residuals track the actual residuals with impressive accuracy.</w:t>
      </w:r>
    </w:p>
    <w:p w14:paraId="56DF29CD" w14:textId="77777777" w:rsidR="001917D7" w:rsidRPr="001917D7" w:rsidRDefault="001917D7" w:rsidP="001917D7">
      <w:pPr>
        <w:numPr>
          <w:ilvl w:val="0"/>
          <w:numId w:val="8"/>
        </w:numPr>
        <w:rPr>
          <w:rFonts w:ascii="Arial" w:hAnsi="Arial" w:cs="Arial"/>
          <w:sz w:val="22"/>
          <w:szCs w:val="22"/>
        </w:rPr>
      </w:pPr>
      <w:r w:rsidRPr="001917D7">
        <w:rPr>
          <w:rFonts w:ascii="Arial" w:hAnsi="Arial" w:cs="Arial"/>
          <w:b/>
          <w:bCs/>
          <w:sz w:val="22"/>
          <w:szCs w:val="22"/>
        </w:rPr>
        <w:t>Phase Alignment:</w:t>
      </w:r>
      <w:r w:rsidRPr="001917D7">
        <w:rPr>
          <w:rFonts w:ascii="Arial" w:hAnsi="Arial" w:cs="Arial"/>
          <w:sz w:val="22"/>
          <w:szCs w:val="22"/>
        </w:rPr>
        <w:t xml:space="preserve"> The predicted residuals are perfectly in phase with the actual data. This means the TCN is successfully identifying the exact timing of when the SARIMA model tends to under- or over-predict.</w:t>
      </w:r>
    </w:p>
    <w:p w14:paraId="4A53713E" w14:textId="77777777" w:rsidR="001917D7" w:rsidRPr="001917D7" w:rsidRDefault="001917D7" w:rsidP="001917D7">
      <w:pPr>
        <w:numPr>
          <w:ilvl w:val="0"/>
          <w:numId w:val="8"/>
        </w:numPr>
        <w:rPr>
          <w:rFonts w:ascii="Arial" w:hAnsi="Arial" w:cs="Arial"/>
          <w:sz w:val="22"/>
          <w:szCs w:val="22"/>
        </w:rPr>
      </w:pPr>
      <w:r w:rsidRPr="001917D7">
        <w:rPr>
          <w:rFonts w:ascii="Arial" w:hAnsi="Arial" w:cs="Arial"/>
          <w:b/>
          <w:bCs/>
          <w:sz w:val="22"/>
          <w:szCs w:val="22"/>
        </w:rPr>
        <w:t>Magnitude Matching:</w:t>
      </w:r>
      <w:r w:rsidRPr="001917D7">
        <w:rPr>
          <w:rFonts w:ascii="Arial" w:hAnsi="Arial" w:cs="Arial"/>
          <w:sz w:val="22"/>
          <w:szCs w:val="22"/>
        </w:rPr>
        <w:t xml:space="preserve"> The TCN models aren't just predicting the direction of the error; they are accurately capturing the </w:t>
      </w:r>
      <w:r w:rsidRPr="001917D7">
        <w:rPr>
          <w:rFonts w:ascii="Arial" w:hAnsi="Arial" w:cs="Arial"/>
          <w:i/>
          <w:iCs/>
          <w:sz w:val="22"/>
          <w:szCs w:val="22"/>
        </w:rPr>
        <w:t>scale</w:t>
      </w:r>
      <w:r w:rsidRPr="001917D7">
        <w:rPr>
          <w:rFonts w:ascii="Arial" w:hAnsi="Arial" w:cs="Arial"/>
          <w:sz w:val="22"/>
          <w:szCs w:val="22"/>
        </w:rPr>
        <w:t xml:space="preserve"> of the spikes. This is critical because it ensures that when these residuals are added back to the SARIMA prediction, the final output hits the peaks shown in your previous performance plots.</w:t>
      </w:r>
    </w:p>
    <w:p w14:paraId="7E2C3435" w14:textId="77777777" w:rsidR="001917D7" w:rsidRPr="001917D7" w:rsidRDefault="001917D7" w:rsidP="001917D7">
      <w:pPr>
        <w:rPr>
          <w:rFonts w:ascii="Arial" w:hAnsi="Arial" w:cs="Arial"/>
          <w:b/>
          <w:bCs/>
          <w:sz w:val="22"/>
          <w:szCs w:val="22"/>
        </w:rPr>
      </w:pPr>
      <w:r w:rsidRPr="001917D7">
        <w:rPr>
          <w:rFonts w:ascii="Arial" w:hAnsi="Arial" w:cs="Arial"/>
          <w:b/>
          <w:bCs/>
          <w:sz w:val="22"/>
          <w:szCs w:val="22"/>
        </w:rPr>
        <w:t>3. Comparison of GA and PSO Residuals</w:t>
      </w:r>
    </w:p>
    <w:p w14:paraId="00DBC98C" w14:textId="77777777" w:rsidR="001917D7" w:rsidRPr="001917D7" w:rsidRDefault="001917D7" w:rsidP="001917D7">
      <w:pPr>
        <w:rPr>
          <w:rFonts w:ascii="Arial" w:hAnsi="Arial" w:cs="Arial"/>
          <w:sz w:val="22"/>
          <w:szCs w:val="22"/>
        </w:rPr>
      </w:pPr>
      <w:r w:rsidRPr="001917D7">
        <w:rPr>
          <w:rFonts w:ascii="Arial" w:hAnsi="Arial" w:cs="Arial"/>
          <w:sz w:val="22"/>
          <w:szCs w:val="22"/>
        </w:rPr>
        <w:t>Visually, the orange and green lines are almost indistinguishable.</w:t>
      </w:r>
    </w:p>
    <w:p w14:paraId="0ACFAFBE" w14:textId="77777777" w:rsidR="001917D7" w:rsidRPr="001917D7" w:rsidRDefault="001917D7" w:rsidP="001917D7">
      <w:pPr>
        <w:numPr>
          <w:ilvl w:val="0"/>
          <w:numId w:val="9"/>
        </w:numPr>
        <w:rPr>
          <w:rFonts w:ascii="Arial" w:hAnsi="Arial" w:cs="Arial"/>
          <w:sz w:val="22"/>
          <w:szCs w:val="22"/>
        </w:rPr>
      </w:pPr>
      <w:r w:rsidRPr="001917D7">
        <w:rPr>
          <w:rFonts w:ascii="Arial" w:hAnsi="Arial" w:cs="Arial"/>
          <w:sz w:val="22"/>
          <w:szCs w:val="22"/>
        </w:rPr>
        <w:t>This reinforces the finding that both Genetic Algorithm and Particle Swarm Optimization arrived at hyperparameter configurations that are equally capable of mapping the complex temporal dependencies in the EV demand data.</w:t>
      </w:r>
    </w:p>
    <w:p w14:paraId="5C95C21F" w14:textId="77777777" w:rsidR="001917D7" w:rsidRPr="001917D7" w:rsidRDefault="001917D7" w:rsidP="001917D7">
      <w:pPr>
        <w:numPr>
          <w:ilvl w:val="0"/>
          <w:numId w:val="9"/>
        </w:numPr>
        <w:rPr>
          <w:rFonts w:ascii="Arial" w:hAnsi="Arial" w:cs="Arial"/>
          <w:sz w:val="22"/>
          <w:szCs w:val="22"/>
        </w:rPr>
      </w:pPr>
      <w:r w:rsidRPr="001917D7">
        <w:rPr>
          <w:rFonts w:ascii="Arial" w:hAnsi="Arial" w:cs="Arial"/>
          <w:sz w:val="22"/>
          <w:szCs w:val="22"/>
        </w:rPr>
        <w:t>There is no sign of "lag" in either model, which indicates that the look-back window and dilation rates within the TCN architecture were optimized correctly to capture the specific sequence patterns of the residuals.</w:t>
      </w:r>
    </w:p>
    <w:p w14:paraId="78450A25" w14:textId="685F7C35" w:rsidR="001917D7" w:rsidRPr="001917D7" w:rsidRDefault="001917D7" w:rsidP="001917D7">
      <w:pPr>
        <w:rPr>
          <w:rFonts w:ascii="Arial" w:hAnsi="Arial" w:cs="Arial"/>
          <w:b/>
          <w:bCs/>
          <w:sz w:val="22"/>
          <w:szCs w:val="22"/>
        </w:rPr>
      </w:pPr>
      <w:r w:rsidRPr="001917D7">
        <w:rPr>
          <w:rFonts w:ascii="Arial" w:hAnsi="Arial" w:cs="Arial"/>
          <w:b/>
          <w:bCs/>
          <w:sz w:val="22"/>
          <w:szCs w:val="22"/>
        </w:rPr>
        <w:t>4. Technical Implications</w:t>
      </w:r>
    </w:p>
    <w:p w14:paraId="0BA31EBD" w14:textId="20775DF6" w:rsidR="001917D7" w:rsidRPr="001917D7" w:rsidRDefault="001917D7" w:rsidP="001917D7">
      <w:pPr>
        <w:rPr>
          <w:rFonts w:ascii="Arial" w:hAnsi="Arial" w:cs="Arial"/>
          <w:sz w:val="22"/>
          <w:szCs w:val="22"/>
        </w:rPr>
      </w:pPr>
      <w:r w:rsidRPr="001917D7">
        <w:rPr>
          <w:rFonts w:ascii="Arial" w:hAnsi="Arial" w:cs="Arial"/>
          <w:sz w:val="22"/>
          <w:szCs w:val="22"/>
        </w:rPr>
        <w:t xml:space="preserve">This plot is the "smoking gun" for why </w:t>
      </w:r>
      <w:r w:rsidR="006431B7">
        <w:rPr>
          <w:rFonts w:ascii="Arial" w:hAnsi="Arial" w:cs="Arial"/>
          <w:sz w:val="22"/>
          <w:szCs w:val="22"/>
        </w:rPr>
        <w:t>our</w:t>
      </w:r>
      <w:r w:rsidRPr="001917D7">
        <w:rPr>
          <w:rFonts w:ascii="Arial" w:hAnsi="Arial" w:cs="Arial"/>
          <w:sz w:val="22"/>
          <w:szCs w:val="22"/>
        </w:rPr>
        <w:t xml:space="preserve"> hybrid approach works.</w:t>
      </w:r>
    </w:p>
    <w:p w14:paraId="0BDEDE5A" w14:textId="77777777" w:rsidR="001917D7" w:rsidRPr="001917D7" w:rsidRDefault="001917D7" w:rsidP="001917D7">
      <w:pPr>
        <w:numPr>
          <w:ilvl w:val="0"/>
          <w:numId w:val="10"/>
        </w:numPr>
        <w:rPr>
          <w:rFonts w:ascii="Arial" w:hAnsi="Arial" w:cs="Arial"/>
          <w:sz w:val="22"/>
          <w:szCs w:val="22"/>
        </w:rPr>
      </w:pPr>
      <w:r w:rsidRPr="001917D7">
        <w:rPr>
          <w:rFonts w:ascii="Arial" w:hAnsi="Arial" w:cs="Arial"/>
          <w:sz w:val="22"/>
          <w:szCs w:val="22"/>
        </w:rPr>
        <w:t>If the TCN predictions were just flat lines at zero, the hybrid model would be no better than SARIMA.</w:t>
      </w:r>
    </w:p>
    <w:p w14:paraId="57B1CD69" w14:textId="644A3F7A" w:rsidR="001917D7" w:rsidRDefault="001917D7" w:rsidP="007E31A1">
      <w:pPr>
        <w:numPr>
          <w:ilvl w:val="0"/>
          <w:numId w:val="10"/>
        </w:numPr>
        <w:rPr>
          <w:rFonts w:ascii="Arial" w:hAnsi="Arial" w:cs="Arial"/>
          <w:sz w:val="22"/>
          <w:szCs w:val="22"/>
        </w:rPr>
      </w:pPr>
      <w:r w:rsidRPr="001917D7">
        <w:rPr>
          <w:rFonts w:ascii="Arial" w:hAnsi="Arial" w:cs="Arial"/>
          <w:sz w:val="22"/>
          <w:szCs w:val="22"/>
        </w:rPr>
        <w:t xml:space="preserve">Instead, the TCN is providing a highly active and accurate "correction signal." By predicting these residuals, you are effectively removing the systematic error from your final forecast, which leads to the high </w:t>
      </w:r>
      <w:r w:rsidR="00A00643">
        <w:rPr>
          <w:rFonts w:ascii="Arial" w:hAnsi="Arial" w:cs="Arial"/>
          <w:sz w:val="22"/>
          <w:szCs w:val="22"/>
        </w:rPr>
        <w:t>R</w:t>
      </w:r>
      <w:r w:rsidR="00A00643">
        <w:rPr>
          <w:rFonts w:ascii="Arial" w:hAnsi="Arial" w:cs="Arial"/>
          <w:sz w:val="22"/>
          <w:szCs w:val="22"/>
          <w:vertAlign w:val="superscript"/>
        </w:rPr>
        <w:t>2</w:t>
      </w:r>
      <w:r w:rsidRPr="001917D7">
        <w:rPr>
          <w:rFonts w:ascii="Arial" w:hAnsi="Arial" w:cs="Arial"/>
          <w:sz w:val="22"/>
          <w:szCs w:val="22"/>
        </w:rPr>
        <w:t xml:space="preserve"> and low RMSE values observed in </w:t>
      </w:r>
      <w:r w:rsidR="002D408C">
        <w:rPr>
          <w:rFonts w:ascii="Arial" w:hAnsi="Arial" w:cs="Arial"/>
          <w:sz w:val="22"/>
          <w:szCs w:val="22"/>
        </w:rPr>
        <w:t>our</w:t>
      </w:r>
      <w:r w:rsidRPr="001917D7">
        <w:rPr>
          <w:rFonts w:ascii="Arial" w:hAnsi="Arial" w:cs="Arial"/>
          <w:sz w:val="22"/>
          <w:szCs w:val="22"/>
        </w:rPr>
        <w:t xml:space="preserve"> comparison charts.</w:t>
      </w:r>
    </w:p>
    <w:p w14:paraId="2614325C" w14:textId="595B8DA8" w:rsidR="007E31A1" w:rsidRDefault="007E31A1" w:rsidP="007E31A1">
      <w:pPr>
        <w:rPr>
          <w:rFonts w:ascii="Arial" w:hAnsi="Arial" w:cs="Arial"/>
          <w:sz w:val="22"/>
          <w:szCs w:val="22"/>
        </w:rPr>
      </w:pPr>
      <w:r>
        <w:rPr>
          <w:rFonts w:ascii="Arial" w:hAnsi="Arial" w:cs="Arial"/>
          <w:sz w:val="22"/>
          <w:szCs w:val="22"/>
        </w:rPr>
        <w:lastRenderedPageBreak/>
        <w:t xml:space="preserve">                                          </w:t>
      </w:r>
      <w:r w:rsidRPr="007E31A1">
        <w:rPr>
          <w:rFonts w:ascii="Arial" w:hAnsi="Arial" w:cs="Arial"/>
          <w:sz w:val="22"/>
          <w:szCs w:val="22"/>
        </w:rPr>
        <w:drawing>
          <wp:inline distT="0" distB="0" distL="0" distR="0" wp14:anchorId="7287D029" wp14:editId="3AA267A6">
            <wp:extent cx="3387436" cy="2246667"/>
            <wp:effectExtent l="0" t="0" r="3810" b="1270"/>
            <wp:docPr id="175215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57220" name=""/>
                    <pic:cNvPicPr/>
                  </pic:nvPicPr>
                  <pic:blipFill>
                    <a:blip r:embed="rId8"/>
                    <a:stretch>
                      <a:fillRect/>
                    </a:stretch>
                  </pic:blipFill>
                  <pic:spPr>
                    <a:xfrm>
                      <a:off x="0" y="0"/>
                      <a:ext cx="3390235" cy="2248524"/>
                    </a:xfrm>
                    <a:prstGeom prst="rect">
                      <a:avLst/>
                    </a:prstGeom>
                  </pic:spPr>
                </pic:pic>
              </a:graphicData>
            </a:graphic>
          </wp:inline>
        </w:drawing>
      </w:r>
    </w:p>
    <w:p w14:paraId="10FF72A0" w14:textId="134E47ED" w:rsidR="007E31A1" w:rsidRDefault="007E31A1" w:rsidP="007E31A1">
      <w:pPr>
        <w:rPr>
          <w:rFonts w:ascii="Arial" w:hAnsi="Arial" w:cs="Arial"/>
          <w:b/>
          <w:bCs/>
          <w:sz w:val="22"/>
          <w:szCs w:val="22"/>
        </w:rPr>
      </w:pPr>
      <w:r>
        <w:rPr>
          <w:rFonts w:ascii="Arial" w:hAnsi="Arial" w:cs="Arial"/>
          <w:b/>
          <w:bCs/>
          <w:sz w:val="22"/>
          <w:szCs w:val="22"/>
        </w:rPr>
        <w:t>Analysis:</w:t>
      </w:r>
    </w:p>
    <w:p w14:paraId="7C299DAC" w14:textId="33677DDB" w:rsidR="007E31A1" w:rsidRPr="007E31A1" w:rsidRDefault="007E31A1" w:rsidP="007E31A1">
      <w:pPr>
        <w:rPr>
          <w:rFonts w:ascii="Arial" w:hAnsi="Arial" w:cs="Arial"/>
          <w:sz w:val="22"/>
          <w:szCs w:val="22"/>
        </w:rPr>
      </w:pPr>
      <w:r w:rsidRPr="007E31A1">
        <w:rPr>
          <w:rFonts w:ascii="Arial" w:hAnsi="Arial" w:cs="Arial"/>
          <w:sz w:val="22"/>
          <w:szCs w:val="22"/>
        </w:rPr>
        <w:t xml:space="preserve">This plot illustrates the ACF (Autocorrelation Function) and PACF (Partial Autocorrelation Function) of your EV charging demand data. These are the primary diagnostic tools used to fulfill </w:t>
      </w:r>
      <w:r w:rsidR="00B32911">
        <w:rPr>
          <w:rFonts w:ascii="Arial" w:hAnsi="Arial" w:cs="Arial"/>
          <w:sz w:val="22"/>
          <w:szCs w:val="22"/>
        </w:rPr>
        <w:t xml:space="preserve">our one of the objectives; </w:t>
      </w:r>
      <w:r w:rsidRPr="007E31A1">
        <w:rPr>
          <w:rFonts w:ascii="Arial" w:hAnsi="Arial" w:cs="Arial"/>
          <w:sz w:val="22"/>
          <w:szCs w:val="22"/>
        </w:rPr>
        <w:t>modeling the linear and seasonal components using the SARIMA approach.</w:t>
      </w:r>
    </w:p>
    <w:p w14:paraId="6392D8E7" w14:textId="77777777" w:rsidR="007E31A1" w:rsidRPr="007E31A1" w:rsidRDefault="007E31A1" w:rsidP="007E31A1">
      <w:pPr>
        <w:rPr>
          <w:rFonts w:ascii="Arial" w:hAnsi="Arial" w:cs="Arial"/>
          <w:b/>
          <w:bCs/>
          <w:sz w:val="22"/>
          <w:szCs w:val="22"/>
        </w:rPr>
      </w:pPr>
      <w:r w:rsidRPr="007E31A1">
        <w:rPr>
          <w:rFonts w:ascii="Arial" w:hAnsi="Arial" w:cs="Arial"/>
          <w:b/>
          <w:bCs/>
          <w:sz w:val="22"/>
          <w:szCs w:val="22"/>
        </w:rPr>
        <w:t>1. Identifying Seasonality (ACF Plot)</w:t>
      </w:r>
    </w:p>
    <w:p w14:paraId="1397F4DB" w14:textId="77777777" w:rsidR="007E31A1" w:rsidRPr="007E31A1" w:rsidRDefault="007E31A1" w:rsidP="007E31A1">
      <w:pPr>
        <w:rPr>
          <w:rFonts w:ascii="Arial" w:hAnsi="Arial" w:cs="Arial"/>
          <w:sz w:val="22"/>
          <w:szCs w:val="22"/>
        </w:rPr>
      </w:pPr>
      <w:r w:rsidRPr="007E31A1">
        <w:rPr>
          <w:rFonts w:ascii="Arial" w:hAnsi="Arial" w:cs="Arial"/>
          <w:sz w:val="22"/>
          <w:szCs w:val="22"/>
        </w:rPr>
        <w:t>The ACF plot shows a very distinct, repeating wave pattern with significant peaks at regular intervals.</w:t>
      </w:r>
    </w:p>
    <w:p w14:paraId="47992E5B" w14:textId="77777777" w:rsidR="007E31A1" w:rsidRPr="007E31A1" w:rsidRDefault="007E31A1" w:rsidP="007E31A1">
      <w:pPr>
        <w:numPr>
          <w:ilvl w:val="0"/>
          <w:numId w:val="11"/>
        </w:numPr>
        <w:rPr>
          <w:rFonts w:ascii="Arial" w:hAnsi="Arial" w:cs="Arial"/>
          <w:sz w:val="22"/>
          <w:szCs w:val="22"/>
        </w:rPr>
      </w:pPr>
      <w:r w:rsidRPr="007E31A1">
        <w:rPr>
          <w:rFonts w:ascii="Arial" w:hAnsi="Arial" w:cs="Arial"/>
          <w:b/>
          <w:bCs/>
          <w:sz w:val="22"/>
          <w:szCs w:val="22"/>
        </w:rPr>
        <w:t>Seasonal Lag:</w:t>
      </w:r>
      <w:r w:rsidRPr="007E31A1">
        <w:rPr>
          <w:rFonts w:ascii="Arial" w:hAnsi="Arial" w:cs="Arial"/>
          <w:sz w:val="22"/>
          <w:szCs w:val="22"/>
        </w:rPr>
        <w:t xml:space="preserve"> Notice the large spikes at lags 24, 48, and 72. This confirms a strong daily seasonality (24-hour cycle) in your EV charging data.</w:t>
      </w:r>
    </w:p>
    <w:p w14:paraId="5A9426C2" w14:textId="455EE766" w:rsidR="007E31A1" w:rsidRPr="007E31A1" w:rsidRDefault="007E31A1" w:rsidP="007E31A1">
      <w:pPr>
        <w:numPr>
          <w:ilvl w:val="0"/>
          <w:numId w:val="11"/>
        </w:numPr>
        <w:rPr>
          <w:rFonts w:ascii="Arial" w:hAnsi="Arial" w:cs="Arial"/>
          <w:sz w:val="22"/>
          <w:szCs w:val="22"/>
        </w:rPr>
      </w:pPr>
      <w:r w:rsidRPr="007E31A1">
        <w:rPr>
          <w:rFonts w:ascii="Arial" w:hAnsi="Arial" w:cs="Arial"/>
          <w:b/>
          <w:bCs/>
          <w:sz w:val="22"/>
          <w:szCs w:val="22"/>
        </w:rPr>
        <w:t>Cyclical Decay:</w:t>
      </w:r>
      <w:r w:rsidRPr="007E31A1">
        <w:rPr>
          <w:rFonts w:ascii="Arial" w:hAnsi="Arial" w:cs="Arial"/>
          <w:sz w:val="22"/>
          <w:szCs w:val="22"/>
        </w:rPr>
        <w:t xml:space="preserve"> The slow, sinusoidal decay of the ACF indicates that the series is non-stationary and has a strong seasonal trend that needs to be addressed via seasonal differencing (</w:t>
      </w:r>
      <w:r w:rsidRPr="007E31A1">
        <w:rPr>
          <w:rFonts w:ascii="Arial" w:hAnsi="Arial" w:cs="Arial"/>
          <w:i/>
          <w:iCs/>
          <w:sz w:val="22"/>
          <w:szCs w:val="22"/>
        </w:rPr>
        <w:t>D=1</w:t>
      </w:r>
      <w:r w:rsidRPr="007E31A1">
        <w:rPr>
          <w:rFonts w:ascii="Arial" w:hAnsi="Arial" w:cs="Arial"/>
          <w:sz w:val="22"/>
          <w:szCs w:val="22"/>
        </w:rPr>
        <w:t>) in your SARIMA model.</w:t>
      </w:r>
    </w:p>
    <w:p w14:paraId="009FC82E" w14:textId="77777777" w:rsidR="007E31A1" w:rsidRPr="007E31A1" w:rsidRDefault="007E31A1" w:rsidP="007E31A1">
      <w:pPr>
        <w:rPr>
          <w:rFonts w:ascii="Arial" w:hAnsi="Arial" w:cs="Arial"/>
          <w:b/>
          <w:bCs/>
          <w:sz w:val="22"/>
          <w:szCs w:val="22"/>
        </w:rPr>
      </w:pPr>
      <w:r w:rsidRPr="007E31A1">
        <w:rPr>
          <w:rFonts w:ascii="Arial" w:hAnsi="Arial" w:cs="Arial"/>
          <w:b/>
          <w:bCs/>
          <w:sz w:val="22"/>
          <w:szCs w:val="22"/>
        </w:rPr>
        <w:t>2. Determining Model Orders (PACF Plot)</w:t>
      </w:r>
    </w:p>
    <w:p w14:paraId="0CCF4F2D" w14:textId="1D9A086B" w:rsidR="007E31A1" w:rsidRPr="007E31A1" w:rsidRDefault="007E31A1" w:rsidP="007E31A1">
      <w:pPr>
        <w:rPr>
          <w:rFonts w:ascii="Arial" w:hAnsi="Arial" w:cs="Arial"/>
          <w:sz w:val="22"/>
          <w:szCs w:val="22"/>
        </w:rPr>
      </w:pPr>
      <w:r w:rsidRPr="007E31A1">
        <w:rPr>
          <w:rFonts w:ascii="Arial" w:hAnsi="Arial" w:cs="Arial"/>
          <w:sz w:val="22"/>
          <w:szCs w:val="22"/>
        </w:rPr>
        <w:t>While the ACF tells us about seasonality, the PACF helps determine the "AutoRegressive" (</w:t>
      </w:r>
      <w:r w:rsidR="00C0197E">
        <w:rPr>
          <w:rFonts w:ascii="Arial" w:hAnsi="Arial" w:cs="Arial"/>
          <w:i/>
          <w:iCs/>
          <w:sz w:val="22"/>
          <w:szCs w:val="22"/>
        </w:rPr>
        <w:t>p</w:t>
      </w:r>
      <w:r w:rsidRPr="007E31A1">
        <w:rPr>
          <w:rFonts w:ascii="Arial" w:hAnsi="Arial" w:cs="Arial"/>
          <w:sz w:val="22"/>
          <w:szCs w:val="22"/>
        </w:rPr>
        <w:t>) terms for the model.</w:t>
      </w:r>
    </w:p>
    <w:p w14:paraId="081D2940" w14:textId="77777777" w:rsidR="007E31A1" w:rsidRPr="007E31A1" w:rsidRDefault="007E31A1" w:rsidP="007E31A1">
      <w:pPr>
        <w:numPr>
          <w:ilvl w:val="0"/>
          <w:numId w:val="12"/>
        </w:numPr>
        <w:rPr>
          <w:rFonts w:ascii="Arial" w:hAnsi="Arial" w:cs="Arial"/>
          <w:sz w:val="22"/>
          <w:szCs w:val="22"/>
        </w:rPr>
      </w:pPr>
      <w:r w:rsidRPr="007E31A1">
        <w:rPr>
          <w:rFonts w:ascii="Arial" w:hAnsi="Arial" w:cs="Arial"/>
          <w:b/>
          <w:bCs/>
          <w:sz w:val="22"/>
          <w:szCs w:val="22"/>
        </w:rPr>
        <w:t>Initial Spikes:</w:t>
      </w:r>
      <w:r w:rsidRPr="007E31A1">
        <w:rPr>
          <w:rFonts w:ascii="Arial" w:hAnsi="Arial" w:cs="Arial"/>
          <w:sz w:val="22"/>
          <w:szCs w:val="22"/>
        </w:rPr>
        <w:t xml:space="preserve"> There is a very sharp, significant spike at Lag 1, followed by a significant drop. This typically suggests an AR(1) component.</w:t>
      </w:r>
    </w:p>
    <w:p w14:paraId="61C42832" w14:textId="6F9B8506" w:rsidR="007E31A1" w:rsidRPr="007E31A1" w:rsidRDefault="007E31A1" w:rsidP="007E31A1">
      <w:pPr>
        <w:numPr>
          <w:ilvl w:val="0"/>
          <w:numId w:val="12"/>
        </w:numPr>
        <w:rPr>
          <w:rFonts w:ascii="Arial" w:hAnsi="Arial" w:cs="Arial"/>
          <w:sz w:val="22"/>
          <w:szCs w:val="22"/>
        </w:rPr>
      </w:pPr>
      <w:r w:rsidRPr="007E31A1">
        <w:rPr>
          <w:rFonts w:ascii="Arial" w:hAnsi="Arial" w:cs="Arial"/>
          <w:b/>
          <w:bCs/>
          <w:sz w:val="22"/>
          <w:szCs w:val="22"/>
        </w:rPr>
        <w:t>Seasonal PACF:</w:t>
      </w:r>
      <w:r w:rsidRPr="007E31A1">
        <w:rPr>
          <w:rFonts w:ascii="Arial" w:hAnsi="Arial" w:cs="Arial"/>
          <w:sz w:val="22"/>
          <w:szCs w:val="22"/>
        </w:rPr>
        <w:t xml:space="preserve"> There are also significant spikes around the seasonal lags (24, 48). This justifies the use of the Seasonal AR component in </w:t>
      </w:r>
      <w:r w:rsidR="00F05BB4">
        <w:rPr>
          <w:rFonts w:ascii="Arial" w:hAnsi="Arial" w:cs="Arial"/>
          <w:sz w:val="22"/>
          <w:szCs w:val="22"/>
        </w:rPr>
        <w:t>our</w:t>
      </w:r>
      <w:r w:rsidRPr="007E31A1">
        <w:rPr>
          <w:rFonts w:ascii="Arial" w:hAnsi="Arial" w:cs="Arial"/>
          <w:sz w:val="22"/>
          <w:szCs w:val="22"/>
        </w:rPr>
        <w:t xml:space="preserve"> </w:t>
      </w:r>
      <w:r w:rsidRPr="007E31A1">
        <w:rPr>
          <w:rFonts w:ascii="Arial" w:hAnsi="Arial" w:cs="Arial"/>
          <w:i/>
          <w:iCs/>
          <w:sz w:val="22"/>
          <w:szCs w:val="22"/>
        </w:rPr>
        <w:t xml:space="preserve">SARIMA (1, 1, 1) </w:t>
      </w:r>
      <w:r w:rsidR="006E6F3F" w:rsidRPr="00BF145C">
        <w:rPr>
          <w:rFonts w:ascii="Arial" w:hAnsi="Arial" w:cs="Arial"/>
          <w:i/>
          <w:iCs/>
          <w:sz w:val="22"/>
          <w:szCs w:val="22"/>
        </w:rPr>
        <w:t>x</w:t>
      </w:r>
      <w:r w:rsidRPr="007E31A1">
        <w:rPr>
          <w:rFonts w:ascii="Arial" w:hAnsi="Arial" w:cs="Arial"/>
          <w:i/>
          <w:iCs/>
          <w:sz w:val="22"/>
          <w:szCs w:val="22"/>
        </w:rPr>
        <w:t xml:space="preserve"> (1, 1, 1, 24)</w:t>
      </w:r>
      <w:r w:rsidR="00CE6071">
        <w:rPr>
          <w:rFonts w:ascii="Arial" w:hAnsi="Arial" w:cs="Arial"/>
          <w:sz w:val="22"/>
          <w:szCs w:val="22"/>
        </w:rPr>
        <w:t xml:space="preserve"> </w:t>
      </w:r>
      <w:r w:rsidRPr="007E31A1">
        <w:rPr>
          <w:rFonts w:ascii="Arial" w:hAnsi="Arial" w:cs="Arial"/>
          <w:sz w:val="22"/>
          <w:szCs w:val="22"/>
        </w:rPr>
        <w:t>configuration.</w:t>
      </w:r>
    </w:p>
    <w:p w14:paraId="3D46E13D" w14:textId="77777777" w:rsidR="007E31A1" w:rsidRPr="007E31A1" w:rsidRDefault="007E31A1" w:rsidP="007E31A1">
      <w:pPr>
        <w:rPr>
          <w:rFonts w:ascii="Arial" w:hAnsi="Arial" w:cs="Arial"/>
          <w:b/>
          <w:bCs/>
          <w:sz w:val="22"/>
          <w:szCs w:val="22"/>
        </w:rPr>
      </w:pPr>
      <w:r w:rsidRPr="007E31A1">
        <w:rPr>
          <w:rFonts w:ascii="Arial" w:hAnsi="Arial" w:cs="Arial"/>
          <w:b/>
          <w:bCs/>
          <w:sz w:val="22"/>
          <w:szCs w:val="22"/>
        </w:rPr>
        <w:t>3. Impact on Objectives</w:t>
      </w:r>
    </w:p>
    <w:p w14:paraId="633BC5DD" w14:textId="2A6D28EC" w:rsidR="007E31A1" w:rsidRPr="007E31A1" w:rsidRDefault="007E31A1" w:rsidP="007E31A1">
      <w:pPr>
        <w:numPr>
          <w:ilvl w:val="0"/>
          <w:numId w:val="13"/>
        </w:numPr>
        <w:rPr>
          <w:rFonts w:ascii="Arial" w:hAnsi="Arial" w:cs="Arial"/>
          <w:sz w:val="22"/>
          <w:szCs w:val="22"/>
        </w:rPr>
      </w:pPr>
      <w:r w:rsidRPr="007E31A1">
        <w:rPr>
          <w:rFonts w:ascii="Arial" w:hAnsi="Arial" w:cs="Arial"/>
          <w:b/>
          <w:bCs/>
          <w:sz w:val="22"/>
          <w:szCs w:val="22"/>
        </w:rPr>
        <w:t>(SARIMA Modeling):</w:t>
      </w:r>
      <w:r w:rsidRPr="007E31A1">
        <w:rPr>
          <w:rFonts w:ascii="Arial" w:hAnsi="Arial" w:cs="Arial"/>
          <w:sz w:val="22"/>
          <w:szCs w:val="22"/>
        </w:rPr>
        <w:t xml:space="preserve"> This plot is the "blueprint" for your SARIMA parameters. It proves that a standard ARIMA model wouldn't be enough; </w:t>
      </w:r>
      <w:r w:rsidR="001812E9">
        <w:rPr>
          <w:rFonts w:ascii="Arial" w:hAnsi="Arial" w:cs="Arial"/>
          <w:sz w:val="22"/>
          <w:szCs w:val="22"/>
        </w:rPr>
        <w:t>we</w:t>
      </w:r>
      <w:r w:rsidRPr="007E31A1">
        <w:rPr>
          <w:rFonts w:ascii="Arial" w:hAnsi="Arial" w:cs="Arial"/>
          <w:sz w:val="22"/>
          <w:szCs w:val="22"/>
        </w:rPr>
        <w:t xml:space="preserve"> specifically need the </w:t>
      </w:r>
      <w:r w:rsidRPr="007E31A1">
        <w:rPr>
          <w:rFonts w:ascii="Arial" w:hAnsi="Arial" w:cs="Arial"/>
          <w:i/>
          <w:iCs/>
          <w:sz w:val="22"/>
          <w:szCs w:val="22"/>
        </w:rPr>
        <w:t>Seasonal</w:t>
      </w:r>
      <w:r w:rsidRPr="007E31A1">
        <w:rPr>
          <w:rFonts w:ascii="Arial" w:hAnsi="Arial" w:cs="Arial"/>
          <w:sz w:val="22"/>
          <w:szCs w:val="22"/>
        </w:rPr>
        <w:t xml:space="preserve"> (S) component to handle those 24-hour spikes.</w:t>
      </w:r>
    </w:p>
    <w:p w14:paraId="07228DEC" w14:textId="77777777" w:rsidR="007E31A1" w:rsidRPr="007E31A1" w:rsidRDefault="007E31A1" w:rsidP="007E31A1">
      <w:pPr>
        <w:numPr>
          <w:ilvl w:val="0"/>
          <w:numId w:val="13"/>
        </w:numPr>
        <w:rPr>
          <w:rFonts w:ascii="Arial" w:hAnsi="Arial" w:cs="Arial"/>
          <w:sz w:val="22"/>
          <w:szCs w:val="22"/>
        </w:rPr>
      </w:pPr>
      <w:r w:rsidRPr="007E31A1">
        <w:rPr>
          <w:rFonts w:ascii="Arial" w:hAnsi="Arial" w:cs="Arial"/>
          <w:b/>
          <w:bCs/>
          <w:sz w:val="22"/>
          <w:szCs w:val="22"/>
        </w:rPr>
        <w:t>Linear Foundation:</w:t>
      </w:r>
      <w:r w:rsidRPr="007E31A1">
        <w:rPr>
          <w:rFonts w:ascii="Arial" w:hAnsi="Arial" w:cs="Arial"/>
          <w:sz w:val="22"/>
          <w:szCs w:val="22"/>
        </w:rPr>
        <w:t xml:space="preserve"> By identifying these patterns here, you ensure that the SARIMA model captures the predictable "clockwork" of the charging station, leaving only the complex, stochastic "residuals" for the TCN to solve later.</w:t>
      </w:r>
    </w:p>
    <w:p w14:paraId="53AB5A05" w14:textId="4349A2EE" w:rsidR="007E31A1" w:rsidRPr="007E31A1" w:rsidRDefault="007E31A1" w:rsidP="007E31A1">
      <w:pPr>
        <w:rPr>
          <w:rFonts w:ascii="Arial" w:hAnsi="Arial" w:cs="Arial"/>
          <w:b/>
          <w:bCs/>
          <w:sz w:val="22"/>
          <w:szCs w:val="22"/>
        </w:rPr>
      </w:pPr>
      <w:r w:rsidRPr="007E31A1">
        <w:rPr>
          <w:rFonts w:ascii="Arial" w:hAnsi="Arial" w:cs="Arial"/>
          <w:b/>
          <w:bCs/>
          <w:sz w:val="22"/>
          <w:szCs w:val="22"/>
        </w:rPr>
        <w:t>4. Technica</w:t>
      </w:r>
      <w:r w:rsidR="00082788">
        <w:rPr>
          <w:rFonts w:ascii="Arial" w:hAnsi="Arial" w:cs="Arial"/>
          <w:b/>
          <w:bCs/>
          <w:sz w:val="22"/>
          <w:szCs w:val="22"/>
        </w:rPr>
        <w:t>l Analysis</w:t>
      </w:r>
    </w:p>
    <w:p w14:paraId="6FA95000" w14:textId="6FE3320A" w:rsidR="007E31A1" w:rsidRPr="007E31A1" w:rsidRDefault="007E31A1" w:rsidP="007E31A1">
      <w:pPr>
        <w:rPr>
          <w:rFonts w:ascii="Arial" w:hAnsi="Arial" w:cs="Arial"/>
          <w:sz w:val="22"/>
          <w:szCs w:val="22"/>
        </w:rPr>
      </w:pPr>
      <w:r w:rsidRPr="007E31A1">
        <w:rPr>
          <w:rFonts w:ascii="Arial" w:hAnsi="Arial" w:cs="Arial"/>
          <w:sz w:val="22"/>
          <w:szCs w:val="22"/>
        </w:rPr>
        <w:t>The "geometry" of these plots</w:t>
      </w:r>
      <w:r w:rsidR="009C0D49">
        <w:rPr>
          <w:rFonts w:ascii="Arial" w:hAnsi="Arial" w:cs="Arial"/>
          <w:sz w:val="22"/>
          <w:szCs w:val="22"/>
        </w:rPr>
        <w:t xml:space="preserve"> </w:t>
      </w:r>
      <w:r w:rsidRPr="007E31A1">
        <w:rPr>
          <w:rFonts w:ascii="Arial" w:hAnsi="Arial" w:cs="Arial"/>
          <w:sz w:val="22"/>
          <w:szCs w:val="22"/>
        </w:rPr>
        <w:t xml:space="preserve">specifically the repeating peaks in ACF and the trailing spikes in PACF—validates </w:t>
      </w:r>
      <w:r w:rsidR="00E93DD0">
        <w:rPr>
          <w:rFonts w:ascii="Arial" w:hAnsi="Arial" w:cs="Arial"/>
          <w:sz w:val="22"/>
          <w:szCs w:val="22"/>
        </w:rPr>
        <w:t>our</w:t>
      </w:r>
      <w:r w:rsidRPr="007E31A1">
        <w:rPr>
          <w:rFonts w:ascii="Arial" w:hAnsi="Arial" w:cs="Arial"/>
          <w:sz w:val="22"/>
          <w:szCs w:val="22"/>
        </w:rPr>
        <w:t xml:space="preserve"> choice of </w:t>
      </w:r>
      <w:r w:rsidRPr="007E31A1">
        <w:rPr>
          <w:rFonts w:ascii="Arial" w:hAnsi="Arial" w:cs="Arial"/>
          <w:i/>
          <w:iCs/>
          <w:sz w:val="22"/>
          <w:szCs w:val="22"/>
        </w:rPr>
        <w:t>s=24</w:t>
      </w:r>
      <w:r w:rsidRPr="007E31A1">
        <w:rPr>
          <w:rFonts w:ascii="Arial" w:hAnsi="Arial" w:cs="Arial"/>
          <w:sz w:val="22"/>
          <w:szCs w:val="22"/>
        </w:rPr>
        <w:t>. If these spikes weren't present, the hybrid TCN-SARIMA approach would be overkill, but here, it's mathematically justified.</w:t>
      </w:r>
    </w:p>
    <w:p w14:paraId="0F66D671" w14:textId="77777777" w:rsidR="007E31A1" w:rsidRPr="007E31A1" w:rsidRDefault="007E31A1" w:rsidP="007E31A1">
      <w:pPr>
        <w:rPr>
          <w:rFonts w:ascii="Arial" w:hAnsi="Arial" w:cs="Arial"/>
          <w:sz w:val="22"/>
          <w:szCs w:val="22"/>
        </w:rPr>
      </w:pPr>
    </w:p>
    <w:sectPr w:rsidR="007E31A1" w:rsidRPr="007E31A1" w:rsidSect="00961D4C">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0703"/>
    <w:multiLevelType w:val="multilevel"/>
    <w:tmpl w:val="4094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37297"/>
    <w:multiLevelType w:val="multilevel"/>
    <w:tmpl w:val="AE5C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366E5"/>
    <w:multiLevelType w:val="multilevel"/>
    <w:tmpl w:val="7796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320B7"/>
    <w:multiLevelType w:val="multilevel"/>
    <w:tmpl w:val="AE5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17923"/>
    <w:multiLevelType w:val="multilevel"/>
    <w:tmpl w:val="02BE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73761"/>
    <w:multiLevelType w:val="multilevel"/>
    <w:tmpl w:val="872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C770D"/>
    <w:multiLevelType w:val="multilevel"/>
    <w:tmpl w:val="1C96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E07A5"/>
    <w:multiLevelType w:val="multilevel"/>
    <w:tmpl w:val="D5A4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06B72"/>
    <w:multiLevelType w:val="multilevel"/>
    <w:tmpl w:val="78AE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71319"/>
    <w:multiLevelType w:val="multilevel"/>
    <w:tmpl w:val="B152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F6E6E"/>
    <w:multiLevelType w:val="multilevel"/>
    <w:tmpl w:val="8E56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9601B"/>
    <w:multiLevelType w:val="multilevel"/>
    <w:tmpl w:val="889C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0244F"/>
    <w:multiLevelType w:val="multilevel"/>
    <w:tmpl w:val="42C4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097768">
    <w:abstractNumId w:val="12"/>
  </w:num>
  <w:num w:numId="2" w16cid:durableId="1206872942">
    <w:abstractNumId w:val="7"/>
  </w:num>
  <w:num w:numId="3" w16cid:durableId="625280879">
    <w:abstractNumId w:val="4"/>
  </w:num>
  <w:num w:numId="4" w16cid:durableId="1003818195">
    <w:abstractNumId w:val="8"/>
  </w:num>
  <w:num w:numId="5" w16cid:durableId="18701961">
    <w:abstractNumId w:val="6"/>
  </w:num>
  <w:num w:numId="6" w16cid:durableId="1660422155">
    <w:abstractNumId w:val="11"/>
  </w:num>
  <w:num w:numId="7" w16cid:durableId="1052578061">
    <w:abstractNumId w:val="5"/>
  </w:num>
  <w:num w:numId="8" w16cid:durableId="167717921">
    <w:abstractNumId w:val="9"/>
  </w:num>
  <w:num w:numId="9" w16cid:durableId="2133284646">
    <w:abstractNumId w:val="2"/>
  </w:num>
  <w:num w:numId="10" w16cid:durableId="1931431299">
    <w:abstractNumId w:val="1"/>
  </w:num>
  <w:num w:numId="11" w16cid:durableId="619805216">
    <w:abstractNumId w:val="3"/>
  </w:num>
  <w:num w:numId="12" w16cid:durableId="2020423626">
    <w:abstractNumId w:val="10"/>
  </w:num>
  <w:num w:numId="13" w16cid:durableId="69265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D4C"/>
    <w:rsid w:val="00082788"/>
    <w:rsid w:val="00092809"/>
    <w:rsid w:val="000D60AA"/>
    <w:rsid w:val="00125C73"/>
    <w:rsid w:val="001812E9"/>
    <w:rsid w:val="001917D7"/>
    <w:rsid w:val="001D31A0"/>
    <w:rsid w:val="00246A6D"/>
    <w:rsid w:val="002D408C"/>
    <w:rsid w:val="00364C42"/>
    <w:rsid w:val="00370C44"/>
    <w:rsid w:val="003730FF"/>
    <w:rsid w:val="00381DFA"/>
    <w:rsid w:val="00385AFD"/>
    <w:rsid w:val="00400C7E"/>
    <w:rsid w:val="004A77B3"/>
    <w:rsid w:val="005505AD"/>
    <w:rsid w:val="00555427"/>
    <w:rsid w:val="005B0860"/>
    <w:rsid w:val="006431B7"/>
    <w:rsid w:val="006E6F3F"/>
    <w:rsid w:val="00766251"/>
    <w:rsid w:val="007E31A1"/>
    <w:rsid w:val="00862497"/>
    <w:rsid w:val="00896DB8"/>
    <w:rsid w:val="008F005D"/>
    <w:rsid w:val="00961D4C"/>
    <w:rsid w:val="009A75EB"/>
    <w:rsid w:val="009C0D49"/>
    <w:rsid w:val="00A00643"/>
    <w:rsid w:val="00A13C23"/>
    <w:rsid w:val="00A557FA"/>
    <w:rsid w:val="00A60C2B"/>
    <w:rsid w:val="00A77181"/>
    <w:rsid w:val="00AB097E"/>
    <w:rsid w:val="00B10A2B"/>
    <w:rsid w:val="00B32911"/>
    <w:rsid w:val="00BF145C"/>
    <w:rsid w:val="00C0197E"/>
    <w:rsid w:val="00CE6071"/>
    <w:rsid w:val="00D331F1"/>
    <w:rsid w:val="00D40664"/>
    <w:rsid w:val="00D669FD"/>
    <w:rsid w:val="00D82330"/>
    <w:rsid w:val="00DB4C4D"/>
    <w:rsid w:val="00DD18FF"/>
    <w:rsid w:val="00DE21EF"/>
    <w:rsid w:val="00E73705"/>
    <w:rsid w:val="00E93DD0"/>
    <w:rsid w:val="00F05BB4"/>
    <w:rsid w:val="00F06D12"/>
    <w:rsid w:val="00F20C2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FCA6A"/>
  <w15:chartTrackingRefBased/>
  <w15:docId w15:val="{D15E3E57-8CA6-4F3B-9176-7E8C09EC1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D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1D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D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D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D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D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1D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D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D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D4C"/>
    <w:rPr>
      <w:rFonts w:eastAsiaTheme="majorEastAsia" w:cstheme="majorBidi"/>
      <w:color w:val="272727" w:themeColor="text1" w:themeTint="D8"/>
    </w:rPr>
  </w:style>
  <w:style w:type="paragraph" w:styleId="Title">
    <w:name w:val="Title"/>
    <w:basedOn w:val="Normal"/>
    <w:next w:val="Normal"/>
    <w:link w:val="TitleChar"/>
    <w:uiPriority w:val="10"/>
    <w:qFormat/>
    <w:rsid w:val="00961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D4C"/>
    <w:pPr>
      <w:spacing w:before="160"/>
      <w:jc w:val="center"/>
    </w:pPr>
    <w:rPr>
      <w:i/>
      <w:iCs/>
      <w:color w:val="404040" w:themeColor="text1" w:themeTint="BF"/>
    </w:rPr>
  </w:style>
  <w:style w:type="character" w:customStyle="1" w:styleId="QuoteChar">
    <w:name w:val="Quote Char"/>
    <w:basedOn w:val="DefaultParagraphFont"/>
    <w:link w:val="Quote"/>
    <w:uiPriority w:val="29"/>
    <w:rsid w:val="00961D4C"/>
    <w:rPr>
      <w:i/>
      <w:iCs/>
      <w:color w:val="404040" w:themeColor="text1" w:themeTint="BF"/>
    </w:rPr>
  </w:style>
  <w:style w:type="paragraph" w:styleId="ListParagraph">
    <w:name w:val="List Paragraph"/>
    <w:basedOn w:val="Normal"/>
    <w:uiPriority w:val="34"/>
    <w:qFormat/>
    <w:rsid w:val="00961D4C"/>
    <w:pPr>
      <w:ind w:left="720"/>
      <w:contextualSpacing/>
    </w:pPr>
  </w:style>
  <w:style w:type="character" w:styleId="IntenseEmphasis">
    <w:name w:val="Intense Emphasis"/>
    <w:basedOn w:val="DefaultParagraphFont"/>
    <w:uiPriority w:val="21"/>
    <w:qFormat/>
    <w:rsid w:val="00961D4C"/>
    <w:rPr>
      <w:i/>
      <w:iCs/>
      <w:color w:val="0F4761" w:themeColor="accent1" w:themeShade="BF"/>
    </w:rPr>
  </w:style>
  <w:style w:type="paragraph" w:styleId="IntenseQuote">
    <w:name w:val="Intense Quote"/>
    <w:basedOn w:val="Normal"/>
    <w:next w:val="Normal"/>
    <w:link w:val="IntenseQuoteChar"/>
    <w:uiPriority w:val="30"/>
    <w:qFormat/>
    <w:rsid w:val="00961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D4C"/>
    <w:rPr>
      <w:i/>
      <w:iCs/>
      <w:color w:val="0F4761" w:themeColor="accent1" w:themeShade="BF"/>
    </w:rPr>
  </w:style>
  <w:style w:type="character" w:styleId="IntenseReference">
    <w:name w:val="Intense Reference"/>
    <w:basedOn w:val="DefaultParagraphFont"/>
    <w:uiPriority w:val="32"/>
    <w:qFormat/>
    <w:rsid w:val="00961D4C"/>
    <w:rPr>
      <w:b/>
      <w:bCs/>
      <w:smallCaps/>
      <w:color w:val="0F4761" w:themeColor="accent1" w:themeShade="BF"/>
      <w:spacing w:val="5"/>
    </w:rPr>
  </w:style>
  <w:style w:type="paragraph" w:styleId="NormalWeb">
    <w:name w:val="Normal (Web)"/>
    <w:basedOn w:val="Normal"/>
    <w:uiPriority w:val="99"/>
    <w:semiHidden/>
    <w:unhideWhenUsed/>
    <w:rsid w:val="00DE21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1138</Words>
  <Characters>6488</Characters>
  <Application>Microsoft Office Word</Application>
  <DocSecurity>0</DocSecurity>
  <Lines>54</Lines>
  <Paragraphs>15</Paragraphs>
  <ScaleCrop>false</ScaleCrop>
  <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Jerwin Gubat</dc:creator>
  <cp:keywords/>
  <dc:description/>
  <cp:lastModifiedBy>Jerwin Gubat</cp:lastModifiedBy>
  <cp:revision>56</cp:revision>
  <dcterms:created xsi:type="dcterms:W3CDTF">2026-04-01T14:08:00Z</dcterms:created>
  <dcterms:modified xsi:type="dcterms:W3CDTF">2026-04-01T14:23:00Z</dcterms:modified>
</cp:coreProperties>
</file>