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0A3F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1. Stationarity and Seasonality Analysis</w:t>
      </w:r>
    </w:p>
    <w:p w14:paraId="0F89C877" w14:textId="725EC21F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sz w:val="22"/>
          <w:szCs w:val="22"/>
        </w:rPr>
        <w:t xml:space="preserve">In EVSeasonality_Check.ipynb, </w:t>
      </w:r>
      <w:r w:rsidRPr="00F82D51">
        <w:rPr>
          <w:rFonts w:ascii="Arial" w:hAnsi="Arial" w:cs="Arial"/>
          <w:sz w:val="22"/>
          <w:szCs w:val="22"/>
        </w:rPr>
        <w:t>we</w:t>
      </w:r>
      <w:r w:rsidRPr="00B35E1A">
        <w:rPr>
          <w:rFonts w:ascii="Arial" w:hAnsi="Arial" w:cs="Arial"/>
          <w:sz w:val="22"/>
          <w:szCs w:val="22"/>
        </w:rPr>
        <w:t xml:space="preserve"> perform initial data exploration to satisfy Objective 2 (modeling linear and seasonal components).</w:t>
      </w:r>
    </w:p>
    <w:p w14:paraId="33DC2BD6" w14:textId="3C26E116" w:rsidR="00B35E1A" w:rsidRPr="00B35E1A" w:rsidRDefault="00B35E1A" w:rsidP="00B35E1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Stationarity Check (ADF Test):</w:t>
      </w:r>
      <w:r w:rsidRPr="00B35E1A">
        <w:rPr>
          <w:rFonts w:ascii="Arial" w:hAnsi="Arial" w:cs="Arial"/>
          <w:sz w:val="22"/>
          <w:szCs w:val="22"/>
        </w:rPr>
        <w:t xml:space="preserve"> While the notebook shows the statistical output (ADF Statistic: -7.5266, p-value: 0.0000), this confirms the data is stationary and suitable for SARIMA modeling.</w:t>
      </w:r>
      <w:r w:rsidRPr="00F82D51">
        <w:rPr>
          <w:rFonts w:ascii="Arial" w:hAnsi="Arial" w:cs="Arial"/>
          <w:sz w:val="22"/>
          <w:szCs w:val="22"/>
        </w:rPr>
        <w:br/>
      </w:r>
      <w:r w:rsidRPr="00F82D5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A95D75E" wp14:editId="1863688F">
            <wp:extent cx="5334000" cy="1754605"/>
            <wp:effectExtent l="0" t="0" r="0" b="0"/>
            <wp:docPr id="3041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2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436" cy="17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89D6" w14:textId="43C52C3D" w:rsidR="00B35E1A" w:rsidRPr="00B35E1A" w:rsidRDefault="00B35E1A" w:rsidP="00B35E1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ACF and PACF Plots:</w:t>
      </w:r>
      <w:r w:rsidRPr="00B35E1A">
        <w:rPr>
          <w:rFonts w:ascii="Arial" w:hAnsi="Arial" w:cs="Arial"/>
          <w:sz w:val="22"/>
          <w:szCs w:val="22"/>
        </w:rPr>
        <w:t xml:space="preserve"> These plots (standard in SARIMA workflows) are used to determine the </w:t>
      </w:r>
      <w:r w:rsidRPr="00B35E1A">
        <w:rPr>
          <w:rFonts w:ascii="Arial" w:hAnsi="Arial" w:cs="Arial"/>
          <w:i/>
          <w:iCs/>
          <w:sz w:val="22"/>
          <w:szCs w:val="22"/>
        </w:rPr>
        <w:t xml:space="preserve">p </w:t>
      </w:r>
      <w:r w:rsidRPr="00B35E1A">
        <w:rPr>
          <w:rFonts w:ascii="Arial" w:hAnsi="Arial" w:cs="Arial"/>
          <w:sz w:val="22"/>
          <w:szCs w:val="22"/>
        </w:rPr>
        <w:t xml:space="preserve">and </w:t>
      </w:r>
      <w:r w:rsidRPr="00B35E1A">
        <w:rPr>
          <w:rFonts w:ascii="Arial" w:hAnsi="Arial" w:cs="Arial"/>
          <w:i/>
          <w:iCs/>
          <w:sz w:val="22"/>
          <w:szCs w:val="22"/>
        </w:rPr>
        <w:t>q</w:t>
      </w:r>
      <w:r w:rsidRPr="00F82D51">
        <w:rPr>
          <w:rFonts w:ascii="Arial" w:hAnsi="Arial" w:cs="Arial"/>
          <w:i/>
          <w:iCs/>
          <w:sz w:val="22"/>
          <w:szCs w:val="22"/>
        </w:rPr>
        <w:t xml:space="preserve"> </w:t>
      </w:r>
      <w:r w:rsidRPr="00B35E1A">
        <w:rPr>
          <w:rFonts w:ascii="Arial" w:hAnsi="Arial" w:cs="Arial"/>
          <w:sz w:val="22"/>
          <w:szCs w:val="22"/>
        </w:rPr>
        <w:t>parameters for the SARIMAX(2,1,2) model you implemented. The ACF plot typically shows significant lags at 24-hour intervals, justifying your seasonal_order=(1,1,1,24).</w:t>
      </w:r>
    </w:p>
    <w:p w14:paraId="7DD68917" w14:textId="77777777" w:rsidR="00B35E1A" w:rsidRPr="00F82D51" w:rsidRDefault="00B35E1A" w:rsidP="00B35E1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Seasonal Decomposition:</w:t>
      </w:r>
      <w:r w:rsidRPr="00B35E1A">
        <w:rPr>
          <w:rFonts w:ascii="Arial" w:hAnsi="Arial" w:cs="Arial"/>
          <w:sz w:val="22"/>
          <w:szCs w:val="22"/>
        </w:rPr>
        <w:t xml:space="preserve"> This plot breaks the EV load into </w:t>
      </w:r>
      <w:r w:rsidRPr="00B35E1A">
        <w:rPr>
          <w:rFonts w:ascii="Arial" w:hAnsi="Arial" w:cs="Arial"/>
          <w:b/>
          <w:bCs/>
          <w:sz w:val="22"/>
          <w:szCs w:val="22"/>
        </w:rPr>
        <w:t>Trend</w:t>
      </w:r>
      <w:r w:rsidRPr="00B35E1A">
        <w:rPr>
          <w:rFonts w:ascii="Arial" w:hAnsi="Arial" w:cs="Arial"/>
          <w:sz w:val="22"/>
          <w:szCs w:val="22"/>
        </w:rPr>
        <w:t xml:space="preserve">, </w:t>
      </w:r>
      <w:r w:rsidRPr="00B35E1A">
        <w:rPr>
          <w:rFonts w:ascii="Arial" w:hAnsi="Arial" w:cs="Arial"/>
          <w:b/>
          <w:bCs/>
          <w:sz w:val="22"/>
          <w:szCs w:val="22"/>
        </w:rPr>
        <w:t>Seasonal</w:t>
      </w:r>
      <w:r w:rsidRPr="00B35E1A">
        <w:rPr>
          <w:rFonts w:ascii="Arial" w:hAnsi="Arial" w:cs="Arial"/>
          <w:sz w:val="22"/>
          <w:szCs w:val="22"/>
        </w:rPr>
        <w:t xml:space="preserve">, and </w:t>
      </w:r>
      <w:r w:rsidRPr="00B35E1A">
        <w:rPr>
          <w:rFonts w:ascii="Arial" w:hAnsi="Arial" w:cs="Arial"/>
          <w:b/>
          <w:bCs/>
          <w:sz w:val="22"/>
          <w:szCs w:val="22"/>
        </w:rPr>
        <w:t>Residual</w:t>
      </w:r>
      <w:r w:rsidRPr="00B35E1A">
        <w:rPr>
          <w:rFonts w:ascii="Arial" w:hAnsi="Arial" w:cs="Arial"/>
          <w:sz w:val="22"/>
          <w:szCs w:val="22"/>
        </w:rPr>
        <w:t xml:space="preserve"> components. It visualizes the strong daily periodicity in charging demand, which the SARIMA model is designed to capture.</w:t>
      </w:r>
    </w:p>
    <w:p w14:paraId="0FBECAD7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2. Modeling Linear and Seasonal Components (SARIMA)</w:t>
      </w:r>
    </w:p>
    <w:p w14:paraId="257850E1" w14:textId="77777777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sz w:val="22"/>
          <w:szCs w:val="22"/>
        </w:rPr>
        <w:t>In evNew2.ipynb and walkForwardValidation.ipynb, the SARIMA model captures the "base" behavior of the charging data.</w:t>
      </w:r>
    </w:p>
    <w:p w14:paraId="13C3991D" w14:textId="77777777" w:rsidR="00B35E1A" w:rsidRPr="00B35E1A" w:rsidRDefault="00B35E1A" w:rsidP="00B35E1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SARIMA Forecast vs. Actual:</w:t>
      </w:r>
      <w:r w:rsidRPr="00B35E1A">
        <w:rPr>
          <w:rFonts w:ascii="Arial" w:hAnsi="Arial" w:cs="Arial"/>
          <w:sz w:val="22"/>
          <w:szCs w:val="22"/>
        </w:rPr>
        <w:t xml:space="preserve"> This plot shows the SARIMA predictions against the ground truth. You’ll notice it follows the general daily "waves" of charging but often misses sharp, non-linear spikes or troughs.</w:t>
      </w:r>
    </w:p>
    <w:p w14:paraId="51D5AB0D" w14:textId="2A999527" w:rsidR="00B35E1A" w:rsidRPr="00F82D51" w:rsidRDefault="00B35E1A" w:rsidP="00B35E1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Residual Plot:</w:t>
      </w:r>
      <w:r w:rsidRPr="00B35E1A">
        <w:rPr>
          <w:rFonts w:ascii="Arial" w:hAnsi="Arial" w:cs="Arial"/>
          <w:sz w:val="22"/>
          <w:szCs w:val="22"/>
        </w:rPr>
        <w:t xml:space="preserve"> The "Residuals" graph (calculated as test - sarima_pred) is critical. It shows what SARIMA </w:t>
      </w:r>
      <w:r w:rsidRPr="00B35E1A">
        <w:rPr>
          <w:rFonts w:ascii="Arial" w:hAnsi="Arial" w:cs="Arial"/>
          <w:i/>
          <w:iCs/>
          <w:sz w:val="22"/>
          <w:szCs w:val="22"/>
        </w:rPr>
        <w:t>couldn't</w:t>
      </w:r>
      <w:r w:rsidRPr="00B35E1A">
        <w:rPr>
          <w:rFonts w:ascii="Arial" w:hAnsi="Arial" w:cs="Arial"/>
          <w:sz w:val="22"/>
          <w:szCs w:val="22"/>
        </w:rPr>
        <w:t xml:space="preserve"> predict. The presence of patterns in these residuals justifies Objective 4—using TCN (Temporal Convolutional Networks) to model these non-linear errors.</w:t>
      </w:r>
    </w:p>
    <w:p w14:paraId="3ADAF5BF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46AEAE59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FCEE696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078DF53A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290C5B64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52BA0C9B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6236753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0BAE8F68" w14:textId="77777777" w:rsidR="00B35E1A" w:rsidRPr="00F82D51" w:rsidRDefault="00B35E1A" w:rsidP="00B35E1A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63DA4163" w14:textId="32D883C0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F82D51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37433E62" wp14:editId="3DD99111">
            <wp:extent cx="6645910" cy="2773045"/>
            <wp:effectExtent l="0" t="0" r="2540" b="8255"/>
            <wp:docPr id="124636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D5BB" w14:textId="0FA2628B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F82D51">
        <w:rPr>
          <w:rFonts w:ascii="Arial" w:hAnsi="Arial" w:cs="Arial"/>
          <w:sz w:val="22"/>
          <w:szCs w:val="22"/>
        </w:rPr>
        <w:t xml:space="preserve">This </w:t>
      </w:r>
      <w:r w:rsidRPr="00B35E1A">
        <w:rPr>
          <w:rFonts w:ascii="Arial" w:hAnsi="Arial" w:cs="Arial"/>
          <w:sz w:val="22"/>
          <w:szCs w:val="22"/>
        </w:rPr>
        <w:t xml:space="preserve">provides a comprehensive visualization of </w:t>
      </w:r>
      <w:r w:rsidRPr="00F82D51">
        <w:rPr>
          <w:rFonts w:ascii="Arial" w:hAnsi="Arial" w:cs="Arial"/>
          <w:sz w:val="22"/>
          <w:szCs w:val="22"/>
        </w:rPr>
        <w:t>the</w:t>
      </w:r>
      <w:r w:rsidRPr="00B35E1A">
        <w:rPr>
          <w:rFonts w:ascii="Arial" w:hAnsi="Arial" w:cs="Arial"/>
          <w:sz w:val="22"/>
          <w:szCs w:val="22"/>
        </w:rPr>
        <w:t xml:space="preserve"> hybrid forecasting results, specifically addressing </w:t>
      </w:r>
      <w:r w:rsidRPr="00B35E1A">
        <w:rPr>
          <w:rFonts w:ascii="Arial" w:hAnsi="Arial" w:cs="Arial"/>
          <w:b/>
          <w:bCs/>
          <w:sz w:val="22"/>
          <w:szCs w:val="22"/>
        </w:rPr>
        <w:t>Objectives 5 and 6</w:t>
      </w:r>
      <w:r w:rsidRPr="00B35E1A">
        <w:rPr>
          <w:rFonts w:ascii="Arial" w:hAnsi="Arial" w:cs="Arial"/>
          <w:sz w:val="22"/>
          <w:szCs w:val="22"/>
        </w:rPr>
        <w:t>. It shows how the different modeling layers (SARIMA and optimized TCNs) converge to predict the EV load.</w:t>
      </w:r>
    </w:p>
    <w:p w14:paraId="78BF67DB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1. The "Actual" Data (Solid Black Line)</w:t>
      </w:r>
    </w:p>
    <w:p w14:paraId="62002CE0" w14:textId="77777777" w:rsidR="00B35E1A" w:rsidRPr="00B35E1A" w:rsidRDefault="00B35E1A" w:rsidP="00B35E1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Observation:</w:t>
      </w:r>
      <w:r w:rsidRPr="00B35E1A">
        <w:rPr>
          <w:rFonts w:ascii="Arial" w:hAnsi="Arial" w:cs="Arial"/>
          <w:sz w:val="22"/>
          <w:szCs w:val="22"/>
        </w:rPr>
        <w:t xml:space="preserve"> This represents the ground truth EV charging load. It exhibits a clear, high-frequency "wiggle" on top of larger daily cycles.</w:t>
      </w:r>
    </w:p>
    <w:p w14:paraId="3BC67201" w14:textId="77777777" w:rsidR="00B35E1A" w:rsidRPr="00B35E1A" w:rsidRDefault="00B35E1A" w:rsidP="00B35E1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Analysis:</w:t>
      </w:r>
      <w:r w:rsidRPr="00B35E1A">
        <w:rPr>
          <w:rFonts w:ascii="Arial" w:hAnsi="Arial" w:cs="Arial"/>
          <w:sz w:val="22"/>
          <w:szCs w:val="22"/>
        </w:rPr>
        <w:t xml:space="preserve"> The volatility suggests that while there is a seasonal pattern, there are significant stochastic (random) or non-linear elements that a simple linear model would fail to capture.</w:t>
      </w:r>
    </w:p>
    <w:p w14:paraId="47106807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2. SARIMA Forecast (Green Dashed Line)</w:t>
      </w:r>
    </w:p>
    <w:p w14:paraId="5B73C250" w14:textId="77777777" w:rsidR="00B35E1A" w:rsidRPr="00B35E1A" w:rsidRDefault="00B35E1A" w:rsidP="00B35E1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Observation:</w:t>
      </w:r>
      <w:r w:rsidRPr="00B35E1A">
        <w:rPr>
          <w:rFonts w:ascii="Arial" w:hAnsi="Arial" w:cs="Arial"/>
          <w:sz w:val="22"/>
          <w:szCs w:val="22"/>
        </w:rPr>
        <w:t xml:space="preserve"> The green line provides a "smoothed" version of the actual data. It captures the general rise and fall of the daily load but misses almost all the sharp peaks and troughs.</w:t>
      </w:r>
    </w:p>
    <w:p w14:paraId="02F254E0" w14:textId="77777777" w:rsidR="00B35E1A" w:rsidRPr="00B35E1A" w:rsidRDefault="00B35E1A" w:rsidP="00B35E1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Analysis (Objective 2):</w:t>
      </w:r>
      <w:r w:rsidRPr="00B35E1A">
        <w:rPr>
          <w:rFonts w:ascii="Arial" w:hAnsi="Arial" w:cs="Arial"/>
          <w:sz w:val="22"/>
          <w:szCs w:val="22"/>
        </w:rPr>
        <w:t xml:space="preserve"> This confirms that SARIMA is excellent for the </w:t>
      </w:r>
      <w:r w:rsidRPr="00B35E1A">
        <w:rPr>
          <w:rFonts w:ascii="Arial" w:hAnsi="Arial" w:cs="Arial"/>
          <w:b/>
          <w:bCs/>
          <w:sz w:val="22"/>
          <w:szCs w:val="22"/>
        </w:rPr>
        <w:t>linear and seasonal components</w:t>
      </w:r>
      <w:r w:rsidRPr="00B35E1A">
        <w:rPr>
          <w:rFonts w:ascii="Arial" w:hAnsi="Arial" w:cs="Arial"/>
          <w:sz w:val="22"/>
          <w:szCs w:val="22"/>
        </w:rPr>
        <w:t xml:space="preserve"> but leaves behind significant "residuals" (the gap between the green and black lines).</w:t>
      </w:r>
    </w:p>
    <w:p w14:paraId="25AED8BD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3. TCN Residuals - PSO (Blue Dotted Line)</w:t>
      </w:r>
    </w:p>
    <w:p w14:paraId="3FBD8974" w14:textId="77777777" w:rsidR="00B35E1A" w:rsidRPr="00B35E1A" w:rsidRDefault="00B35E1A" w:rsidP="00B35E1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Observation:</w:t>
      </w:r>
      <w:r w:rsidRPr="00B35E1A">
        <w:rPr>
          <w:rFonts w:ascii="Arial" w:hAnsi="Arial" w:cs="Arial"/>
          <w:sz w:val="22"/>
          <w:szCs w:val="22"/>
        </w:rPr>
        <w:t xml:space="preserve"> This line stays relatively close to the zero-axis but mirrors the "errors" of the SARIMA model.</w:t>
      </w:r>
    </w:p>
    <w:p w14:paraId="654EF9DC" w14:textId="77777777" w:rsidR="00B35E1A" w:rsidRPr="00B35E1A" w:rsidRDefault="00B35E1A" w:rsidP="00B35E1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Analysis (Objective 4):</w:t>
      </w:r>
      <w:r w:rsidRPr="00B35E1A">
        <w:rPr>
          <w:rFonts w:ascii="Arial" w:hAnsi="Arial" w:cs="Arial"/>
          <w:sz w:val="22"/>
          <w:szCs w:val="22"/>
        </w:rPr>
        <w:t xml:space="preserve"> This is the output of your Particle Swarm Optimized TCN. It isn't trying to predict the total load; it is specifically predicting the </w:t>
      </w:r>
      <w:r w:rsidRPr="00B35E1A">
        <w:rPr>
          <w:rFonts w:ascii="Arial" w:hAnsi="Arial" w:cs="Arial"/>
          <w:i/>
          <w:iCs/>
          <w:sz w:val="22"/>
          <w:szCs w:val="22"/>
        </w:rPr>
        <w:t>difference</w:t>
      </w:r>
      <w:r w:rsidRPr="00B35E1A">
        <w:rPr>
          <w:rFonts w:ascii="Arial" w:hAnsi="Arial" w:cs="Arial"/>
          <w:sz w:val="22"/>
          <w:szCs w:val="22"/>
        </w:rPr>
        <w:t xml:space="preserve"> between the black and green lines. The fact that it fluctuates rapidly shows the TCN is successfully picking up the non-linear high-frequency patterns.</w:t>
      </w:r>
    </w:p>
    <w:p w14:paraId="21D45B25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4. Final Hybrid PSO (Blue Dash-Dot Line)</w:t>
      </w:r>
    </w:p>
    <w:p w14:paraId="6AB95555" w14:textId="1DE36CE5" w:rsidR="00B35E1A" w:rsidRPr="00B35E1A" w:rsidRDefault="00B35E1A" w:rsidP="00B35E1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Observation:</w:t>
      </w:r>
      <w:r w:rsidRPr="00B35E1A">
        <w:rPr>
          <w:rFonts w:ascii="Arial" w:hAnsi="Arial" w:cs="Arial"/>
          <w:sz w:val="22"/>
          <w:szCs w:val="22"/>
        </w:rPr>
        <w:t xml:space="preserve"> This is the summation of the SARIMA forecast and the TCN residuals (</w:t>
      </w:r>
      <w:r w:rsidRPr="00B14428">
        <w:rPr>
          <w:rFonts w:ascii="Arial" w:hAnsi="Arial" w:cs="Arial"/>
          <w:i/>
          <w:iCs/>
          <w:sz w:val="22"/>
          <w:szCs w:val="22"/>
        </w:rPr>
        <w:t>SARIMA + TCN</w:t>
      </w:r>
      <w:r w:rsidR="00B14428" w:rsidRPr="00B14428">
        <w:rPr>
          <w:rFonts w:ascii="Arial" w:hAnsi="Arial" w:cs="Arial"/>
          <w:i/>
          <w:iCs/>
          <w:sz w:val="22"/>
          <w:szCs w:val="22"/>
        </w:rPr>
        <w:t xml:space="preserve"> </w:t>
      </w:r>
      <w:r w:rsidRPr="00B14428">
        <w:rPr>
          <w:rFonts w:ascii="Arial" w:hAnsi="Arial" w:cs="Arial"/>
          <w:i/>
          <w:iCs/>
          <w:sz w:val="22"/>
          <w:szCs w:val="22"/>
        </w:rPr>
        <w:t>residuals</w:t>
      </w:r>
      <w:r w:rsidRPr="00B35E1A">
        <w:rPr>
          <w:rFonts w:ascii="Arial" w:hAnsi="Arial" w:cs="Arial"/>
          <w:sz w:val="22"/>
          <w:szCs w:val="22"/>
        </w:rPr>
        <w:t>).</w:t>
      </w:r>
    </w:p>
    <w:p w14:paraId="630B953D" w14:textId="77777777" w:rsidR="00B35E1A" w:rsidRPr="00B35E1A" w:rsidRDefault="00B35E1A" w:rsidP="00B35E1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Analysis (Objective 5):</w:t>
      </w:r>
      <w:r w:rsidRPr="00B35E1A">
        <w:rPr>
          <w:rFonts w:ascii="Arial" w:hAnsi="Arial" w:cs="Arial"/>
          <w:sz w:val="22"/>
          <w:szCs w:val="22"/>
        </w:rPr>
        <w:t xml:space="preserve"> Visually, this line is a much closer "hug" to the black line than the green line was. By adding the optimized residuals back to the seasonal base, you have significantly reduced the error.</w:t>
      </w:r>
    </w:p>
    <w:p w14:paraId="0C61B5DA" w14:textId="77777777" w:rsidR="00B35E1A" w:rsidRPr="00F82D51" w:rsidRDefault="00B35E1A" w:rsidP="00B35E1A">
      <w:pPr>
        <w:rPr>
          <w:rFonts w:ascii="Arial" w:hAnsi="Arial" w:cs="Arial"/>
          <w:sz w:val="22"/>
          <w:szCs w:val="22"/>
        </w:rPr>
      </w:pPr>
    </w:p>
    <w:p w14:paraId="1ED6852C" w14:textId="77777777" w:rsidR="00B35E1A" w:rsidRPr="00F82D51" w:rsidRDefault="00B35E1A" w:rsidP="00B35E1A">
      <w:pPr>
        <w:rPr>
          <w:rFonts w:ascii="Arial" w:hAnsi="Arial" w:cs="Arial"/>
          <w:sz w:val="22"/>
          <w:szCs w:val="22"/>
        </w:rPr>
      </w:pPr>
    </w:p>
    <w:p w14:paraId="38C996C3" w14:textId="3C4AF7BA" w:rsidR="00AB097E" w:rsidRPr="00F82D51" w:rsidRDefault="00B35E1A">
      <w:pPr>
        <w:rPr>
          <w:rFonts w:ascii="Arial" w:hAnsi="Arial" w:cs="Arial"/>
          <w:sz w:val="22"/>
          <w:szCs w:val="22"/>
        </w:rPr>
      </w:pPr>
      <w:r w:rsidRPr="00F82D51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30E7B88" wp14:editId="51C6F226">
            <wp:extent cx="6307667" cy="3474085"/>
            <wp:effectExtent l="0" t="0" r="0" b="0"/>
            <wp:docPr id="82236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3486" cy="34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04D" w14:textId="322273F2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sz w:val="22"/>
          <w:szCs w:val="22"/>
        </w:rPr>
        <w:t>Th</w:t>
      </w:r>
      <w:r w:rsidRPr="00F82D51">
        <w:rPr>
          <w:rFonts w:ascii="Arial" w:hAnsi="Arial" w:cs="Arial"/>
          <w:sz w:val="22"/>
          <w:szCs w:val="22"/>
        </w:rPr>
        <w:t>is object</w:t>
      </w:r>
      <w:r w:rsidRPr="00B35E1A">
        <w:rPr>
          <w:rFonts w:ascii="Arial" w:hAnsi="Arial" w:cs="Arial"/>
          <w:sz w:val="22"/>
          <w:szCs w:val="22"/>
        </w:rPr>
        <w:t xml:space="preserve"> focuses on the evaluation of </w:t>
      </w:r>
      <w:r w:rsidRPr="00F82D51">
        <w:rPr>
          <w:rFonts w:ascii="Arial" w:hAnsi="Arial" w:cs="Arial"/>
          <w:sz w:val="22"/>
          <w:szCs w:val="22"/>
        </w:rPr>
        <w:t>the</w:t>
      </w:r>
      <w:r w:rsidRPr="00B35E1A">
        <w:rPr>
          <w:rFonts w:ascii="Arial" w:hAnsi="Arial" w:cs="Arial"/>
          <w:sz w:val="22"/>
          <w:szCs w:val="22"/>
        </w:rPr>
        <w:t xml:space="preserve"> model's performance, specifically looking at </w:t>
      </w:r>
      <w:r w:rsidRPr="00B35E1A">
        <w:rPr>
          <w:rFonts w:ascii="Arial" w:hAnsi="Arial" w:cs="Arial"/>
          <w:b/>
          <w:bCs/>
          <w:sz w:val="22"/>
          <w:szCs w:val="22"/>
        </w:rPr>
        <w:t>Objective 5 (Performance Evaluation)</w:t>
      </w:r>
      <w:r w:rsidRPr="00B35E1A">
        <w:rPr>
          <w:rFonts w:ascii="Arial" w:hAnsi="Arial" w:cs="Arial"/>
          <w:sz w:val="22"/>
          <w:szCs w:val="22"/>
        </w:rPr>
        <w:t xml:space="preserve">. This plot is essential for validating the effectiveness of </w:t>
      </w:r>
      <w:r w:rsidRPr="00F82D51">
        <w:rPr>
          <w:rFonts w:ascii="Arial" w:hAnsi="Arial" w:cs="Arial"/>
          <w:sz w:val="22"/>
          <w:szCs w:val="22"/>
        </w:rPr>
        <w:t>the</w:t>
      </w:r>
      <w:r w:rsidRPr="00B35E1A">
        <w:rPr>
          <w:rFonts w:ascii="Arial" w:hAnsi="Arial" w:cs="Arial"/>
          <w:sz w:val="22"/>
          <w:szCs w:val="22"/>
        </w:rPr>
        <w:t xml:space="preserve"> hybrid approach compared to a standalone model.</w:t>
      </w:r>
    </w:p>
    <w:p w14:paraId="36A61B88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1. Predicted vs. Actual (Scatter Plot)</w:t>
      </w:r>
    </w:p>
    <w:p w14:paraId="1D7AF6EB" w14:textId="77777777" w:rsidR="00B35E1A" w:rsidRPr="00B35E1A" w:rsidRDefault="00B35E1A" w:rsidP="00B35E1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The Diagonal Line:</w:t>
      </w:r>
      <w:r w:rsidRPr="00B35E1A">
        <w:rPr>
          <w:rFonts w:ascii="Arial" w:hAnsi="Arial" w:cs="Arial"/>
          <w:sz w:val="22"/>
          <w:szCs w:val="22"/>
        </w:rPr>
        <w:t xml:space="preserve"> The dashed line represents a "perfect" forecast where $Predicted = Actual$.</w:t>
      </w:r>
    </w:p>
    <w:p w14:paraId="115F45EE" w14:textId="77777777" w:rsidR="00B35E1A" w:rsidRPr="00B35E1A" w:rsidRDefault="00B35E1A" w:rsidP="00B35E1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Data Distribution:</w:t>
      </w:r>
      <w:r w:rsidRPr="00B35E1A">
        <w:rPr>
          <w:rFonts w:ascii="Arial" w:hAnsi="Arial" w:cs="Arial"/>
          <w:sz w:val="22"/>
          <w:szCs w:val="22"/>
        </w:rPr>
        <w:t xml:space="preserve"> You can see a high concentration of points along this diagonal. This indicates that for the majority of the EV load range, your hybrid model is highly accurate.</w:t>
      </w:r>
    </w:p>
    <w:p w14:paraId="0F0A638D" w14:textId="77777777" w:rsidR="00B35E1A" w:rsidRPr="00B35E1A" w:rsidRDefault="00B35E1A" w:rsidP="00B35E1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Outliers:</w:t>
      </w:r>
      <w:r w:rsidRPr="00B35E1A">
        <w:rPr>
          <w:rFonts w:ascii="Arial" w:hAnsi="Arial" w:cs="Arial"/>
          <w:sz w:val="22"/>
          <w:szCs w:val="22"/>
        </w:rPr>
        <w:t xml:space="preserve"> There are some points that deviate from the line, particularly at higher load values. These represent "unseen" or highly stochastic charging events that even the optimized TCN couldn't perfectly correct.</w:t>
      </w:r>
    </w:p>
    <w:p w14:paraId="1C99D285" w14:textId="77777777" w:rsidR="00B35E1A" w:rsidRPr="00B35E1A" w:rsidRDefault="00B35E1A" w:rsidP="00B35E1A">
      <w:pPr>
        <w:rPr>
          <w:rFonts w:ascii="Arial" w:hAnsi="Arial" w:cs="Arial"/>
          <w:b/>
          <w:bCs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2. Residual Distribution (Histogram/KDE)</w:t>
      </w:r>
    </w:p>
    <w:p w14:paraId="542DF7EE" w14:textId="77777777" w:rsidR="00B35E1A" w:rsidRPr="00B35E1A" w:rsidRDefault="00B35E1A" w:rsidP="00B35E1A">
      <w:p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sz w:val="22"/>
          <w:szCs w:val="22"/>
        </w:rPr>
        <w:t>The second part of the image shows the distribution of errors (Actual - Predicted).</w:t>
      </w:r>
    </w:p>
    <w:p w14:paraId="028D4779" w14:textId="77777777" w:rsidR="00B35E1A" w:rsidRPr="00B35E1A" w:rsidRDefault="00B35E1A" w:rsidP="00B35E1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Zero-Centricity:</w:t>
      </w:r>
      <w:r w:rsidRPr="00B35E1A">
        <w:rPr>
          <w:rFonts w:ascii="Arial" w:hAnsi="Arial" w:cs="Arial"/>
          <w:sz w:val="22"/>
          <w:szCs w:val="22"/>
        </w:rPr>
        <w:t xml:space="preserve"> The peak of the distribution is very close to zero, which is a great sign. It means the model is not systematically overestimating or underestimating the load (low bias).</w:t>
      </w:r>
    </w:p>
    <w:p w14:paraId="00FB908D" w14:textId="77777777" w:rsidR="00B35E1A" w:rsidRPr="00B35E1A" w:rsidRDefault="00B35E1A" w:rsidP="00B35E1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35E1A">
        <w:rPr>
          <w:rFonts w:ascii="Arial" w:hAnsi="Arial" w:cs="Arial"/>
          <w:b/>
          <w:bCs/>
          <w:sz w:val="22"/>
          <w:szCs w:val="22"/>
        </w:rPr>
        <w:t>Bell Shape:</w:t>
      </w:r>
      <w:r w:rsidRPr="00B35E1A">
        <w:rPr>
          <w:rFonts w:ascii="Arial" w:hAnsi="Arial" w:cs="Arial"/>
          <w:sz w:val="22"/>
          <w:szCs w:val="22"/>
        </w:rPr>
        <w:t xml:space="preserve"> The narrow, Gaussian-like shape suggests that the residuals are mostly "white noise." This confirms that the SARIMA and TCN layers have extracted almost all the usable patterns from the data.</w:t>
      </w:r>
    </w:p>
    <w:p w14:paraId="56B25D7B" w14:textId="77777777" w:rsidR="00B35E1A" w:rsidRPr="00F82D51" w:rsidRDefault="00B35E1A">
      <w:pPr>
        <w:rPr>
          <w:rFonts w:ascii="Arial" w:hAnsi="Arial" w:cs="Arial"/>
          <w:sz w:val="22"/>
          <w:szCs w:val="22"/>
        </w:rPr>
      </w:pPr>
    </w:p>
    <w:sectPr w:rsidR="00B35E1A" w:rsidRPr="00F82D51" w:rsidSect="00B35E1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1C1"/>
    <w:multiLevelType w:val="multilevel"/>
    <w:tmpl w:val="EBD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3C96"/>
    <w:multiLevelType w:val="multilevel"/>
    <w:tmpl w:val="1692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05EA7"/>
    <w:multiLevelType w:val="multilevel"/>
    <w:tmpl w:val="FC3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A7E52"/>
    <w:multiLevelType w:val="multilevel"/>
    <w:tmpl w:val="DE60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F765B"/>
    <w:multiLevelType w:val="multilevel"/>
    <w:tmpl w:val="9EB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D577A"/>
    <w:multiLevelType w:val="multilevel"/>
    <w:tmpl w:val="757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F1412"/>
    <w:multiLevelType w:val="multilevel"/>
    <w:tmpl w:val="5CD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2080B"/>
    <w:multiLevelType w:val="multilevel"/>
    <w:tmpl w:val="6D6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90423">
    <w:abstractNumId w:val="7"/>
  </w:num>
  <w:num w:numId="2" w16cid:durableId="63339635">
    <w:abstractNumId w:val="0"/>
  </w:num>
  <w:num w:numId="3" w16cid:durableId="1262109349">
    <w:abstractNumId w:val="4"/>
  </w:num>
  <w:num w:numId="4" w16cid:durableId="1228951731">
    <w:abstractNumId w:val="6"/>
  </w:num>
  <w:num w:numId="5" w16cid:durableId="1680155735">
    <w:abstractNumId w:val="3"/>
  </w:num>
  <w:num w:numId="6" w16cid:durableId="1049574307">
    <w:abstractNumId w:val="5"/>
  </w:num>
  <w:num w:numId="7" w16cid:durableId="1844659888">
    <w:abstractNumId w:val="2"/>
  </w:num>
  <w:num w:numId="8" w16cid:durableId="168107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1A"/>
    <w:rsid w:val="004A77B3"/>
    <w:rsid w:val="008351C2"/>
    <w:rsid w:val="009D26DB"/>
    <w:rsid w:val="00AB097E"/>
    <w:rsid w:val="00B14428"/>
    <w:rsid w:val="00B35E1A"/>
    <w:rsid w:val="00CD136B"/>
    <w:rsid w:val="00F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1C32"/>
  <w15:chartTrackingRefBased/>
  <w15:docId w15:val="{AC0E1069-1A87-4FA8-A4A9-86ABB57C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Gubat</dc:creator>
  <cp:keywords/>
  <dc:description/>
  <cp:lastModifiedBy>Jerwin Gubat</cp:lastModifiedBy>
  <cp:revision>4</cp:revision>
  <dcterms:created xsi:type="dcterms:W3CDTF">2026-03-27T15:13:00Z</dcterms:created>
  <dcterms:modified xsi:type="dcterms:W3CDTF">2026-04-01T13:05:00Z</dcterms:modified>
</cp:coreProperties>
</file>