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黑体" w:hAnsi="黑体" w:eastAsia="黑体"/>
          <w:b/>
          <w:color w:val="000000"/>
          <w:sz w:val="36"/>
        </w:rPr>
        <w:t>信息平台运行维护服务合同</w:t>
      </w:r>
    </w:p>
    <w:p>
      <w:pPr>
        <w:spacing w:after="240"/>
        <w:jc w:val="center"/>
      </w:pPr>
      <w:r>
        <w:rPr>
          <w:rFonts w:ascii="宋体" w:hAnsi="宋体" w:eastAsia="宋体"/>
          <w:color w:val="555555"/>
          <w:sz w:val="19"/>
        </w:rPr>
        <w:t>合同编号：LZSL-OPS-2026-017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甲方：</w:t>
      </w:r>
      <w:r>
        <w:rPr>
          <w:rFonts w:ascii="宋体" w:hAnsi="宋体" w:eastAsia="宋体"/>
          <w:color w:val="000000"/>
          <w:sz w:val="22"/>
        </w:rPr>
        <w:t>柳州数联公共服务有限公司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乙方：</w:t>
      </w:r>
      <w:r>
        <w:rPr>
          <w:rFonts w:ascii="宋体" w:hAnsi="宋体" w:eastAsia="宋体"/>
          <w:color w:val="000000"/>
          <w:sz w:val="22"/>
        </w:rPr>
        <w:t>广西安维信息技术有限公司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合同金额：</w:t>
      </w:r>
      <w:r>
        <w:rPr>
          <w:rFonts w:ascii="宋体" w:hAnsi="宋体" w:eastAsia="宋体"/>
          <w:color w:val="000000"/>
          <w:sz w:val="22"/>
        </w:rPr>
        <w:t>人民币陆拾万元（¥600,000.00）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项目名称：</w:t>
      </w:r>
      <w:r>
        <w:rPr>
          <w:rFonts w:ascii="宋体" w:hAnsi="宋体" w:eastAsia="宋体"/>
          <w:color w:val="000000"/>
          <w:sz w:val="22"/>
        </w:rPr>
        <w:t>企业信息平台年度运行维护服务项目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服务范围：</w:t>
      </w:r>
      <w:r>
        <w:rPr>
          <w:rFonts w:ascii="宋体" w:hAnsi="宋体" w:eastAsia="宋体"/>
          <w:color w:val="000000"/>
          <w:sz w:val="22"/>
        </w:rPr>
        <w:t>应用系统巡检、故障响应、安全加固、数据备份、版本维护及季度运营报告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双方就甲方现有企业信息平台的年度运行维护、故障处置、安全保障和持续优化服务达成本合同。服务期为2026年9月1日至2027年8月31日。</w:t>
      </w:r>
    </w:p>
    <w:p>
      <w:pPr>
        <w:pStyle w:val="Heading1"/>
      </w:pPr>
      <w:r>
        <w:t>第一条 服务目标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乙方通过常态巡检、分级响应、备份恢复演练和安全加固，保障平台可用性、数据完整性和业务连续性，并形成可审计的服务记录。</w:t>
      </w:r>
    </w:p>
    <w:p>
      <w:pPr>
        <w:pStyle w:val="Heading1"/>
      </w:pPr>
      <w:r>
        <w:t>第二条 服务内容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服务包括应用系统、数据库、中间件和接口运行检查；故障定位与恢复；补丁和版本维护；备份检查与恢复演练；安全事件协同处置；用户咨询和季度运行分析。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超出本合同约定范围的重大功能开发、基础设施采购和第三方许可费用，由双方另行签署任务书或补充协议。</w:t>
      </w:r>
    </w:p>
    <w:p>
      <w:pPr>
        <w:pStyle w:val="Heading1"/>
      </w:pPr>
      <w:r>
        <w:t>第三条 服务等级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乙方设置7×24小时紧急联系人。事件等级以业务影响、用户范围、持续时间和数据风险综合确定。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200"/>
        <w:gridCol w:w="3900"/>
        <w:gridCol w:w="1500"/>
        <w:gridCol w:w="230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等级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典型情形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响应时限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恢复/方案时限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P1 紧急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核心业务中断、重大数据或安全风险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15分钟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2小时恢复或提供应急方案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P2 高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重要功能不可用且无替代方案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30分钟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4小时恢复或提供绕行方案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P3 中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部分功能异常，对业务影响有限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2小时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1个工作日内处理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P4 低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咨询、配置优化和一般问题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4小时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3个工作日内处理</w:t>
            </w:r>
          </w:p>
        </w:tc>
      </w:tr>
    </w:tbl>
    <w:p>
      <w:pPr>
        <w:pStyle w:val="Heading1"/>
      </w:pPr>
      <w:r>
        <w:t>第四条 服务过程与报告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乙方应使用服务工单记录问题来源、影响范围、处理过程、结果、责任人和时间。涉及数据修改、权限调整和生产发布的操作须履行甲方审批流程。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乙方每月提交服务统计，每季度提交运行分析报告，内容包括可用性、事件分布、问题趋势、容量变化、安全风险和改进建议。</w:t>
      </w:r>
    </w:p>
    <w:p>
      <w:pPr>
        <w:pStyle w:val="Heading1"/>
      </w:pPr>
      <w:r>
        <w:t>第五条 服务费用与支付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本合同服务费为人民币陆拾万元（¥600,000.00），按季度支付。每季度服务完成且甲方确认季度报告后，乙方开具合法有效的增值税专用发票。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500"/>
        <w:gridCol w:w="2600"/>
        <w:gridCol w:w="1600"/>
        <w:gridCol w:w="320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期次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服务期间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付款比例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金额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第一期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2026.09-2026.11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¥150,000.00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第二期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2026.12-2027.02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¥150,000.00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第三期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2027.03-2027.05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¥150,000.00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第四期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2027.06-2027.08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¥150,000.00</w:t>
            </w:r>
          </w:p>
        </w:tc>
      </w:tr>
    </w:tbl>
    <w:p>
      <w:pPr>
        <w:pStyle w:val="Heading1"/>
      </w:pPr>
      <w:r>
        <w:t>第六条 数据安全与保密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乙方人员仅可在授权范围内访问甲方系统和数据，不得共享账号，不得将生产数据复制至未经批准的设备或环境。远程访问应使用甲方认可的安全通道并保留审计日志。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合同终止后，乙方应归还或安全删除甲方资料，并书面确认删除结果；法律法规另有保存要求的除外。</w:t>
      </w:r>
    </w:p>
    <w:p>
      <w:pPr>
        <w:pStyle w:val="Heading1"/>
      </w:pPr>
      <w:r>
        <w:t>第七条 考核与违约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甲方按季度对响应及时性、问题关闭率、报告质量和用户满意度进行考核。因乙方原因导致连续或重大服务中断的，甲方有权要求整改、扣减相应服务费并追究损失。</w:t>
      </w:r>
    </w:p>
    <w:p>
      <w:pPr>
        <w:pStyle w:val="Heading1"/>
      </w:pPr>
      <w:r>
        <w:t>第八条 合同终止与交接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合同期满或提前终止时，乙方应完成账号、配置、文档、未结工单和风险事项交接，配合甲方或后续服务方平稳接管。</w:t>
      </w:r>
    </w:p>
    <w:p>
      <w:pPr>
        <w:pStyle w:val="Heading1"/>
      </w:pPr>
      <w:r>
        <w:t>第九条 争议解决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本合同未尽事宜由双方协商并签署补充协议。争议协商不成的，向甲方所在地有管辖权的人民法院起诉。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587" w:header="680" w:footer="680" w:gutter="0"/>
          <w:cols w:space="720"/>
          <w:docGrid w:linePitch="360"/>
        </w:sectPr>
      </w:pPr>
    </w:p>
    <w:p>
      <w:pPr>
        <w:pStyle w:val="Heading1"/>
      </w:pPr>
      <w:r>
        <w:t>附件一 服务资产与巡检清单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本附件用于验证多 section、横向页面和宽表格结构在源文档派生过程中保持不变。</w:t>
      </w:r>
    </w:p>
    <w:tbl>
      <w:tblPr>
        <w:tblW w:type="dxa" w:w="9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500"/>
        <w:gridCol w:w="2600"/>
        <w:gridCol w:w="1400"/>
        <w:gridCol w:w="2800"/>
        <w:gridCol w:w="160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资产类别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示例对象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巡检频率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检查重点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记录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应用系统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合同管理、知识服务、统一门户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每日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可用性、任务积压、接口错误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巡检工单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MySQL主从集群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每日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连接、慢查询、复制延迟、备份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数据库巡检表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中间件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网关、缓存、消息队列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每日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容量、连接、堆积、异常日志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中间件巡检表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安全设施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WAF、主机防护、审计平台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每周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告警、规则、漏洞和处置状态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安全周报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备份系统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数据库备份、对象存储备份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每周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任务成功率、保留周期、抽样恢复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备份核查记录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1417" w:right="1134" w:bottom="1417" w:left="1134" w:header="680" w:footer="680" w:gutter="0"/>
          <w:cols w:space="720"/>
          <w:docGrid w:linePitch="360"/>
        </w:sectPr>
      </w:pPr>
    </w:p>
    <w:p>
      <w:pPr>
        <w:pStyle w:val="Heading1"/>
      </w:pPr>
      <w:r>
        <w:t>签署页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（以下无正文，为本合同签署栏。双方确认已完整阅读并理解本合同全部条款。）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450"/>
        <w:gridCol w:w="4450"/>
      </w:tblGrid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甲方（盖章）：柳州数联公共服务有限公司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乙方（盖章）：广西安维信息技术有限公司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法定代表人/授权代表：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法定代表人/授权代表：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联系人：张明（测试）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联系人：李华（测试）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联系电话：13800000001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联系电话：13800000002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签署日期：2026年8月17日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签署日期：2026年8月17日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1417" w:right="1417" w:bottom="1417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77777"/>
        <w:sz w:val="17"/>
      </w:rPr>
      <w:t xml:space="preserve">第 </w:t>
    </w:r>
    <w:r/>
    <w:fldSimple w:instr="PAGE"/>
    <w:r>
      <w:rPr>
        <w:rFonts w:ascii="宋体" w:hAnsi="宋体" w:eastAsia="宋体"/>
        <w:color w:val="777777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77777"/>
        <w:sz w:val="17"/>
      </w:rPr>
      <w:t xml:space="preserve">第 </w:t>
    </w:r>
    <w:r/>
    <w:fldSimple w:instr="PAGE"/>
    <w:r>
      <w:rPr>
        <w:rFonts w:ascii="宋体" w:hAnsi="宋体" w:eastAsia="宋体"/>
        <w:color w:val="777777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77777"/>
        <w:sz w:val="17"/>
      </w:rPr>
      <w:t xml:space="preserve">第 </w:t>
    </w:r>
    <w:r/>
    <w:fldSimple w:instr="PAGE"/>
    <w:r>
      <w:rPr>
        <w:rFonts w:ascii="宋体" w:hAnsi="宋体" w:eastAsia="宋体"/>
        <w:color w:val="77777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left"/>
      </w:tabs>
      <w:spacing w:after="60"/>
      <w:jc w:val="left"/>
      <w:pBdr>
        <w:bottom w:val="single" w:sz="4" w:space="2" w:color="BFBFBF"/>
      </w:pBdr>
    </w:pPr>
    <w:r>
      <w:rPr>
        <w:rFonts w:ascii="宋体" w:hAnsi="宋体" w:eastAsia="宋体"/>
        <w:color w:val="666666"/>
        <w:sz w:val="17"/>
      </w:rPr>
      <w:t>运行维护服务合同 | 柳州数联公共服务有限公司</w:t>
    </w:r>
    <w:r>
      <w:rPr>
        <w:rFonts w:ascii="宋体" w:hAnsi="宋体" w:eastAsia="宋体"/>
        <w:color w:val="888888"/>
        <w:sz w:val="17"/>
      </w:rPr>
      <w:tab/>
      <w:t>脱敏测试样本·仅用于系统验收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left"/>
      </w:tabs>
      <w:spacing w:after="60"/>
      <w:jc w:val="left"/>
      <w:pBdr>
        <w:bottom w:val="single" w:sz="4" w:space="2" w:color="BFBFBF"/>
      </w:pBdr>
    </w:pPr>
    <w:r>
      <w:rPr>
        <w:rFonts w:ascii="宋体" w:hAnsi="宋体" w:eastAsia="宋体"/>
        <w:color w:val="666666"/>
        <w:sz w:val="17"/>
      </w:rPr>
      <w:t>附件一 服务资产与巡检清单 | 广西安维信息技术有限公司</w:t>
    </w:r>
    <w:r>
      <w:rPr>
        <w:rFonts w:ascii="宋体" w:hAnsi="宋体" w:eastAsia="宋体"/>
        <w:color w:val="888888"/>
        <w:sz w:val="17"/>
      </w:rPr>
      <w:tab/>
      <w:t>脱敏测试样本·仅用于系统验收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left"/>
      </w:tabs>
      <w:spacing w:after="60"/>
      <w:jc w:val="left"/>
      <w:pBdr>
        <w:bottom w:val="single" w:sz="4" w:space="2" w:color="BFBFBF"/>
      </w:pBdr>
    </w:pPr>
    <w:r>
      <w:rPr>
        <w:rFonts w:ascii="宋体" w:hAnsi="宋体" w:eastAsia="宋体"/>
        <w:color w:val="666666"/>
        <w:sz w:val="17"/>
      </w:rPr>
      <w:t>运行维护服务合同 | 柳州数联公共服务有限公司 / 广西安维信息技术有限公司</w:t>
    </w:r>
    <w:r>
      <w:rPr>
        <w:rFonts w:ascii="宋体" w:hAnsi="宋体" w:eastAsia="宋体"/>
        <w:color w:val="888888"/>
        <w:sz w:val="17"/>
      </w:rPr>
      <w:tab/>
      <w:t>脱敏测试样本·仅用于系统验收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0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0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30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信息平台运行维护服务合同</dc:title>
  <dc:subject>WeKnora 历史 DOCX 派生 POC 脱敏源文档</dc:subject>
  <dc:creator>Guoyu Contract POC</dc:creator>
  <cp:keywords/>
  <dc:description>全部主体、金额和项目均为虚构测试数据，不得用于签署。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