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120"/>
        <w:jc w:val="center"/>
      </w:pPr>
      <w:r>
        <w:rPr>
          <w:rFonts w:ascii="黑体" w:hAnsi="黑体" w:eastAsia="黑体"/>
          <w:b/>
          <w:color w:val="000000"/>
          <w:sz w:val="36"/>
        </w:rPr>
        <w:t>软件技术服务框架协议</w:t>
      </w:r>
    </w:p>
    <w:p>
      <w:pPr>
        <w:spacing w:after="240"/>
        <w:jc w:val="center"/>
      </w:pPr>
      <w:r>
        <w:rPr>
          <w:rFonts w:ascii="宋体" w:hAnsi="宋体" w:eastAsia="宋体"/>
          <w:color w:val="555555"/>
          <w:sz w:val="19"/>
        </w:rPr>
        <w:t>合同编号：GXQH-TECH-2026-0817</w:t>
      </w:r>
    </w:p>
    <w:p>
      <w:pPr>
        <w:spacing w:after="60" w:line="300" w:lineRule="auto"/>
        <w:jc w:val="left"/>
      </w:pPr>
      <w:r>
        <w:rPr>
          <w:rFonts w:ascii="宋体" w:hAnsi="宋体" w:eastAsia="宋体"/>
          <w:b/>
          <w:color w:val="000000"/>
          <w:sz w:val="21"/>
        </w:rPr>
        <w:t>甲方：</w:t>
      </w:r>
      <w:r>
        <w:rPr>
          <w:rFonts w:ascii="宋体" w:hAnsi="宋体" w:eastAsia="宋体"/>
          <w:i/>
          <w:color w:val="000000"/>
          <w:sz w:val="22"/>
        </w:rPr>
        <w:t>广西启航产业</w:t>
      </w:r>
      <w:r>
        <w:rPr>
          <w:rFonts w:ascii="宋体" w:hAnsi="宋体" w:eastAsia="宋体"/>
          <w:i/>
          <w:color w:val="000000"/>
          <w:sz w:val="22"/>
        </w:rPr>
        <w:t>发展有限公司</w:t>
      </w:r>
    </w:p>
    <w:p>
      <w:pPr>
        <w:spacing w:after="60" w:line="300" w:lineRule="auto"/>
        <w:jc w:val="left"/>
      </w:pPr>
      <w:r>
        <w:rPr>
          <w:rFonts w:ascii="宋体" w:hAnsi="宋体" w:eastAsia="宋体"/>
          <w:b/>
          <w:color w:val="000000"/>
          <w:sz w:val="21"/>
        </w:rPr>
        <w:t>乙方：</w:t>
      </w:r>
      <w:r>
        <w:rPr>
          <w:rFonts w:ascii="宋体" w:hAnsi="宋体" w:eastAsia="宋体"/>
          <w:i/>
          <w:color w:val="000000"/>
          <w:sz w:val="22"/>
        </w:rPr>
        <w:t>南宁云枢数字</w:t>
      </w:r>
      <w:r>
        <w:rPr>
          <w:rFonts w:ascii="宋体" w:hAnsi="宋体" w:eastAsia="宋体"/>
          <w:i/>
          <w:color w:val="000000"/>
          <w:sz w:val="22"/>
        </w:rPr>
        <w:t>科技有限公司</w:t>
      </w:r>
    </w:p>
    <w:p>
      <w:pPr>
        <w:spacing w:after="60" w:line="300" w:lineRule="auto"/>
        <w:jc w:val="left"/>
      </w:pPr>
      <w:r>
        <w:rPr>
          <w:rFonts w:ascii="宋体" w:hAnsi="宋体" w:eastAsia="宋体"/>
          <w:b/>
          <w:color w:val="000000"/>
          <w:sz w:val="21"/>
        </w:rPr>
        <w:t>项目名称：</w:t>
      </w:r>
      <w:r>
        <w:rPr>
          <w:rFonts w:ascii="宋体" w:hAnsi="宋体" w:eastAsia="宋体"/>
          <w:color w:val="000000"/>
          <w:sz w:val="22"/>
        </w:rPr>
        <w:t>企业知识协同与合同管理平台建设项目</w:t>
      </w:r>
    </w:p>
    <w:p>
      <w:pPr>
        <w:spacing w:after="60" w:line="300" w:lineRule="auto"/>
        <w:jc w:val="left"/>
      </w:pPr>
      <w:r>
        <w:rPr>
          <w:rFonts w:ascii="宋体" w:hAnsi="宋体" w:eastAsia="宋体"/>
          <w:b/>
          <w:color w:val="000000"/>
          <w:sz w:val="21"/>
        </w:rPr>
        <w:t>合同金额：</w:t>
      </w:r>
      <w:r>
        <w:rPr>
          <w:rFonts w:ascii="宋体" w:hAnsi="宋体" w:eastAsia="宋体"/>
          <w:color w:val="000000"/>
          <w:sz w:val="22"/>
        </w:rPr>
        <w:t>人民币壹佰捌拾万元（¥1,800,000.00）</w:t>
      </w:r>
    </w:p>
    <w:p>
      <w:pPr>
        <w:spacing w:after="60" w:line="300" w:lineRule="auto"/>
        <w:jc w:val="left"/>
      </w:pPr>
      <w:r>
        <w:rPr>
          <w:rFonts w:ascii="宋体" w:hAnsi="宋体" w:eastAsia="宋体"/>
          <w:b/>
          <w:color w:val="000000"/>
          <w:sz w:val="21"/>
        </w:rPr>
        <w:t>服务范围：</w:t>
      </w:r>
      <w:r>
        <w:rPr>
          <w:rFonts w:ascii="宋体" w:hAnsi="宋体" w:eastAsia="宋体"/>
          <w:color w:val="000000"/>
          <w:sz w:val="22"/>
        </w:rPr>
        <w:t>企业知识库、合同智能起草、流程集成、用户培训及一年期运维服务</w:t>
      </w:r>
    </w:p>
    <w:p>
      <w:pPr>
        <w:spacing w:line="360" w:lineRule="auto" w:after="0"/>
        <w:ind w:firstLine="420"/>
        <w:jc w:val="both"/>
      </w:pPr>
      <w:r>
        <w:rPr>
          <w:rFonts w:ascii="宋体" w:hAnsi="宋体" w:eastAsia="宋体"/>
          <w:color w:val="000000"/>
          <w:sz w:val="21"/>
        </w:rPr>
        <w:t>鉴于甲方拟推进企业知识资产和合同业务数字化建设，乙方具备相关软件研发、实施和运维能力，双方依据《中华人民共和国民法典》等法律法规，在平等、自愿和诚实信用基础上订立本协议。</w:t>
      </w:r>
    </w:p>
    <w:p>
      <w:pPr>
        <w:pStyle w:val="Heading1"/>
      </w:pPr>
      <w:r>
        <w:t>第一条 合作目标与原则</w:t>
      </w:r>
    </w:p>
    <w:p>
      <w:pPr>
        <w:spacing w:line="360" w:lineRule="auto" w:after="0"/>
        <w:ind w:firstLine="420"/>
        <w:jc w:val="both"/>
      </w:pPr>
      <w:r>
        <w:rPr>
          <w:rFonts w:ascii="宋体" w:hAnsi="宋体" w:eastAsia="宋体"/>
          <w:color w:val="000000"/>
          <w:sz w:val="21"/>
        </w:rPr>
        <w:t>双方围绕企业知识协同与合同管理平台开展长期合作，通过分阶段建设、持续优化和服务保障，提高甲方历史文件检索、合同复用、版本管理及审计追溯能力。</w:t>
      </w:r>
    </w:p>
    <w:p>
      <w:pPr>
        <w:spacing w:line="360" w:lineRule="auto" w:after="0"/>
        <w:ind w:firstLine="420"/>
        <w:jc w:val="both"/>
      </w:pPr>
      <w:r>
        <w:rPr>
          <w:rFonts w:ascii="宋体" w:hAnsi="宋体" w:eastAsia="宋体"/>
          <w:color w:val="000000"/>
          <w:sz w:val="21"/>
        </w:rPr>
        <w:t>本协议为框架性约定。具体需求、范围、排期和交付标准以双方确认的项目任务书、需求规格说明书或变更单为准。</w:t>
      </w:r>
    </w:p>
    <w:p>
      <w:pPr>
        <w:pStyle w:val="Heading1"/>
      </w:pPr>
      <w:r>
        <w:t>第二条 服务内容</w:t>
      </w:r>
    </w:p>
    <w:p>
      <w:pPr>
        <w:spacing w:line="360" w:lineRule="auto" w:after="0"/>
        <w:ind w:firstLine="420"/>
        <w:jc w:val="both"/>
      </w:pPr>
      <w:r>
        <w:rPr>
          <w:rFonts w:ascii="宋体" w:hAnsi="宋体" w:eastAsia="宋体"/>
          <w:color w:val="000000"/>
          <w:sz w:val="21"/>
        </w:rPr>
        <w:t>乙方负责需求调研、总体方案设计、软件开发配置、系统部署、数据初始化、接口联调、试运行支持、用户培训和运维服务。</w:t>
      </w:r>
    </w:p>
    <w:p>
      <w:pPr>
        <w:spacing w:line="360" w:lineRule="auto" w:after="0"/>
        <w:ind w:firstLine="420"/>
        <w:jc w:val="both"/>
      </w:pPr>
      <w:r>
        <w:rPr>
          <w:rFonts w:ascii="宋体" w:hAnsi="宋体" w:eastAsia="宋体"/>
          <w:color w:val="000000"/>
          <w:sz w:val="21"/>
        </w:rPr>
        <w:t>涉及历史合同的处理应保留原始文件，语义检索结果仅用于选源和内容建议；新合同由经确认的源文档派生生成，并记录源文件哈希、结构清单版本和字段来源。</w:t>
      </w:r>
    </w:p>
    <w:p>
      <w:pPr>
        <w:pStyle w:val="Heading2"/>
      </w:pPr>
      <w:r>
        <w:t>2.1 主要交付成果</w:t>
      </w:r>
    </w:p>
    <w:tbl>
      <w:tblPr>
        <w:tblW w:type="dxa" w:w="890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6" w:color="7F7F7F"/>
          <w:insideV w:val="single" w:sz="6" w:color="7F7F7F"/>
        </w:tblBorders>
      </w:tblPr>
      <w:tblGrid>
        <w:gridCol w:w="800"/>
        <w:gridCol w:w="1900"/>
        <w:gridCol w:w="4400"/>
        <w:gridCol w:w="1800"/>
      </w:tblGrid>
      <w:tr>
        <w:trPr>
          <w:tblHeader w:val="true"/>
        </w:trPr>
        <w:tc>
          <w:tcPr>
            <w:tcW w:type="dxa" w:w="800"/>
            <w:tcMar>
              <w:top w:w="100" w:type="dxa"/>
              <w:start w:w="120" w:type="dxa"/>
              <w:bottom w:w="100" w:type="dxa"/>
              <w:end w:w="120" w:type="dxa"/>
            </w:tcMar>
            <w:shd w:fill="E7E6E6" w:val="clear"/>
            <w:vAlign w:val="center"/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序号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shd w:fill="E7E6E6" w:val="clear"/>
            <w:vAlign w:val="center"/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交付成果</w:t>
            </w:r>
          </w:p>
        </w:tc>
        <w:tc>
          <w:tcPr>
            <w:tcW w:type="dxa" w:w="4400"/>
            <w:tcMar>
              <w:top w:w="100" w:type="dxa"/>
              <w:start w:w="120" w:type="dxa"/>
              <w:bottom w:w="100" w:type="dxa"/>
              <w:end w:w="120" w:type="dxa"/>
            </w:tcMar>
            <w:shd w:fill="E7E6E6" w:val="clear"/>
            <w:vAlign w:val="center"/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主要内容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7E6E6" w:val="clear"/>
            <w:vAlign w:val="center"/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交付形式</w:t>
            </w:r>
          </w:p>
        </w:tc>
      </w:tr>
      <w:tr>
        <w:tc>
          <w:tcPr>
            <w:tcW w:type="dxa" w:w="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项目实施方案</w:t>
            </w:r>
          </w:p>
        </w:tc>
        <w:tc>
          <w:tcPr>
            <w:tcW w:type="dxa" w:w="4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范围、组织、计划、风险和沟通机制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DOCX/PDF</w:t>
            </w:r>
          </w:p>
        </w:tc>
      </w:tr>
      <w:tr>
        <w:tc>
          <w:tcPr>
            <w:tcW w:type="dxa" w:w="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平台软件</w:t>
            </w:r>
          </w:p>
        </w:tc>
        <w:tc>
          <w:tcPr>
            <w:tcW w:type="dxa" w:w="4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知识检索、合同派生、版本与权限模块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部署包</w:t>
            </w:r>
          </w:p>
        </w:tc>
      </w:tr>
      <w:tr>
        <w:tc>
          <w:tcPr>
            <w:tcW w:type="dxa" w:w="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技术文档</w:t>
            </w:r>
          </w:p>
        </w:tc>
        <w:tc>
          <w:tcPr>
            <w:tcW w:type="dxa" w:w="4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需求、设计、接口、部署、运维说明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DOCX/PDF</w:t>
            </w:r>
          </w:p>
        </w:tc>
      </w:tr>
      <w:tr>
        <w:tc>
          <w:tcPr>
            <w:tcW w:type="dxa" w:w="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培训材料</w:t>
            </w:r>
          </w:p>
        </w:tc>
        <w:tc>
          <w:tcPr>
            <w:tcW w:type="dxa" w:w="4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管理员及业务用户培训资料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PPTX/DOCX</w:t>
            </w:r>
          </w:p>
        </w:tc>
      </w:tr>
    </w:tbl>
    <w:p>
      <w:pPr>
        <w:pStyle w:val="Heading1"/>
      </w:pPr>
      <w:r>
        <w:t>第三条 项目计划与变更</w:t>
      </w:r>
    </w:p>
    <w:p>
      <w:pPr>
        <w:spacing w:line="360" w:lineRule="auto" w:after="0"/>
        <w:ind w:firstLine="420"/>
        <w:jc w:val="both"/>
      </w:pPr>
      <w:r>
        <w:rPr>
          <w:rFonts w:ascii="宋体" w:hAnsi="宋体" w:eastAsia="宋体"/>
          <w:color w:val="000000"/>
          <w:sz w:val="21"/>
        </w:rPr>
        <w:t>项目计划分为启动与调研、方案与设计、开发与配置、联调与试运行、验收与运维五个阶段。双方项目负责人每周同步进展，并对影响范围、费用或工期的事项形成书面记录。</w:t>
      </w:r>
    </w:p>
    <w:p>
      <w:pPr>
        <w:spacing w:line="360" w:lineRule="auto" w:after="0"/>
        <w:ind w:firstLine="420"/>
        <w:jc w:val="both"/>
      </w:pPr>
      <w:r>
        <w:rPr>
          <w:rFonts w:ascii="宋体" w:hAnsi="宋体" w:eastAsia="宋体"/>
          <w:color w:val="000000"/>
          <w:sz w:val="21"/>
        </w:rPr>
        <w:t>任何一方提出需求变更时，应说明变更原因、内容和优先级。乙方完成影响评估后，由双方授权代表确认变更单；未确认前仍执行原计划。</w:t>
      </w:r>
    </w:p>
    <w:p>
      <w:pPr>
        <w:pStyle w:val="Heading1"/>
      </w:pPr>
      <w:r>
        <w:t>第四条 合同价款与支付</w:t>
      </w:r>
    </w:p>
    <w:p>
      <w:pPr>
        <w:spacing w:line="360" w:lineRule="auto" w:after="0"/>
        <w:ind w:firstLine="420"/>
        <w:jc w:val="both"/>
      </w:pPr>
      <w:r>
        <w:rPr>
          <w:rFonts w:ascii="宋体" w:hAnsi="宋体" w:eastAsia="宋体"/>
          <w:color w:val="000000"/>
          <w:sz w:val="21"/>
        </w:rPr>
        <w:t>本合同总价为人民币壹佰捌拾万元（¥1,800,000.00），该价格已包含乙方履行本合同所需的软件开发、实施、培训、差旅、税费及约定期限内运维服务费用。</w:t>
      </w:r>
    </w:p>
    <w:tbl>
      <w:tblPr>
        <w:tblW w:type="dxa" w:w="890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6" w:color="7F7F7F"/>
          <w:insideV w:val="single" w:sz="6" w:color="7F7F7F"/>
        </w:tblBorders>
      </w:tblPr>
      <w:tblGrid>
        <w:gridCol w:w="1400"/>
        <w:gridCol w:w="1200"/>
        <w:gridCol w:w="4100"/>
        <w:gridCol w:w="2200"/>
      </w:tblGrid>
      <w:tr>
        <w:trPr>
          <w:tblHeader w:val="true"/>
        </w:trPr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shd w:fill="E7E6E6" w:val="clear"/>
            <w:vAlign w:val="center"/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阶段</w:t>
            </w:r>
          </w:p>
        </w:tc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shd w:fill="E7E6E6" w:val="clear"/>
            <w:vAlign w:val="center"/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付款比例</w:t>
            </w:r>
          </w:p>
        </w:tc>
        <w:tc>
          <w:tcPr>
            <w:tcW w:type="dxa" w:w="4100"/>
            <w:tcMar>
              <w:top w:w="100" w:type="dxa"/>
              <w:start w:w="120" w:type="dxa"/>
              <w:bottom w:w="100" w:type="dxa"/>
              <w:end w:w="120" w:type="dxa"/>
            </w:tcMar>
            <w:shd w:fill="E7E6E6" w:val="clear"/>
            <w:vAlign w:val="center"/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付款条件</w:t>
            </w:r>
          </w:p>
        </w:tc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shd w:fill="E7E6E6" w:val="clear"/>
            <w:vAlign w:val="center"/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金额</w:t>
            </w:r>
          </w:p>
        </w:tc>
      </w:tr>
      <w:tr>
        <w:tc>
          <w:tcPr>
            <w:tcW w:type="dxa" w:w="1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首付款</w:t>
            </w:r>
          </w:p>
        </w:tc>
        <w:tc>
          <w:tcPr>
            <w:tcW w:type="dxa" w:w="1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30%</w:t>
            </w:r>
          </w:p>
        </w:tc>
        <w:tc>
          <w:tcPr>
            <w:tcW w:type="dxa" w:w="4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合同生效且乙方提交项目实施方案后</w:t>
            </w:r>
          </w:p>
        </w:tc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¥540,000.00</w:t>
            </w:r>
          </w:p>
        </w:tc>
      </w:tr>
      <w:tr>
        <w:tc>
          <w:tcPr>
            <w:tcW w:type="dxa" w:w="1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里程碑款</w:t>
            </w:r>
          </w:p>
        </w:tc>
        <w:tc>
          <w:tcPr>
            <w:tcW w:type="dxa" w:w="1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40%</w:t>
            </w:r>
          </w:p>
        </w:tc>
        <w:tc>
          <w:tcPr>
            <w:tcW w:type="dxa" w:w="4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核心功能完成并进入试运行后</w:t>
            </w:r>
          </w:p>
        </w:tc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¥720,000.00</w:t>
            </w:r>
          </w:p>
        </w:tc>
      </w:tr>
      <w:tr>
        <w:tc>
          <w:tcPr>
            <w:tcW w:type="dxa" w:w="1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验收款</w:t>
            </w:r>
          </w:p>
        </w:tc>
        <w:tc>
          <w:tcPr>
            <w:tcW w:type="dxa" w:w="1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25%</w:t>
            </w:r>
          </w:p>
        </w:tc>
        <w:tc>
          <w:tcPr>
            <w:tcW w:type="dxa" w:w="4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项目终验通过后</w:t>
            </w:r>
          </w:p>
        </w:tc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¥450,000.00</w:t>
            </w:r>
          </w:p>
        </w:tc>
      </w:tr>
      <w:tr>
        <w:tc>
          <w:tcPr>
            <w:tcW w:type="dxa" w:w="1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质保尾款</w:t>
            </w:r>
          </w:p>
        </w:tc>
        <w:tc>
          <w:tcPr>
            <w:tcW w:type="dxa" w:w="1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5%</w:t>
            </w:r>
          </w:p>
        </w:tc>
        <w:tc>
          <w:tcPr>
            <w:tcW w:type="dxa" w:w="4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终验满三个月且无重大遗留问题</w:t>
            </w:r>
          </w:p>
        </w:tc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¥90,000.00</w:t>
            </w:r>
          </w:p>
        </w:tc>
      </w:tr>
    </w:tbl>
    <w:p>
      <w:pPr>
        <w:pStyle w:val="Heading1"/>
      </w:pPr>
      <w:r>
        <w:t>第五条 交付与验收</w:t>
      </w:r>
    </w:p>
    <w:p>
      <w:pPr>
        <w:spacing w:line="360" w:lineRule="auto" w:after="0"/>
        <w:ind w:firstLine="420"/>
        <w:jc w:val="both"/>
      </w:pPr>
      <w:r>
        <w:rPr>
          <w:rFonts w:ascii="宋体" w:hAnsi="宋体" w:eastAsia="宋体"/>
          <w:color w:val="000000"/>
          <w:sz w:val="21"/>
        </w:rPr>
        <w:t>乙方按计划提交交付成果，甲方应在收到后十个工作日内组织验收并书面反馈。验收以双方确认的需求、测试用例、性能指标和安全要求为依据。</w:t>
      </w:r>
    </w:p>
    <w:p>
      <w:pPr>
        <w:spacing w:line="360" w:lineRule="auto" w:after="0"/>
        <w:ind w:firstLine="420"/>
        <w:jc w:val="both"/>
      </w:pPr>
      <w:r>
        <w:rPr>
          <w:rFonts w:ascii="宋体" w:hAnsi="宋体" w:eastAsia="宋体"/>
          <w:color w:val="000000"/>
          <w:sz w:val="21"/>
        </w:rPr>
        <w:t>发现缺陷时，乙方应在双方约定期限内整改并重新提交。甲方无正当理由逾期未反馈的，不视为自动验收，双方项目负责人应及时升级协调。</w:t>
      </w:r>
    </w:p>
    <w:p>
      <w:pPr>
        <w:pStyle w:val="Heading1"/>
      </w:pPr>
      <w:r>
        <w:t>第六条 知识产权与数据</w:t>
      </w:r>
    </w:p>
    <w:p>
      <w:pPr>
        <w:spacing w:line="360" w:lineRule="auto" w:after="0"/>
        <w:ind w:firstLine="420"/>
        <w:jc w:val="both"/>
      </w:pPr>
      <w:r>
        <w:rPr>
          <w:rFonts w:ascii="宋体" w:hAnsi="宋体" w:eastAsia="宋体"/>
          <w:color w:val="000000"/>
          <w:sz w:val="21"/>
        </w:rPr>
        <w:t>双方在本合同签署前已拥有的技术、软件、文档和其他知识产权仍归原权利人所有。乙方通用产品和基础组件的知识产权归乙方所有。</w:t>
      </w:r>
    </w:p>
    <w:p>
      <w:pPr>
        <w:spacing w:line="360" w:lineRule="auto" w:after="0"/>
        <w:ind w:firstLine="420"/>
        <w:jc w:val="both"/>
      </w:pPr>
      <w:r>
        <w:rPr>
          <w:rFonts w:ascii="宋体" w:hAnsi="宋体" w:eastAsia="宋体"/>
          <w:color w:val="000000"/>
          <w:sz w:val="21"/>
        </w:rPr>
        <w:t>甲方业务数据、历史合同、知识文档及其衍生数据归甲方所有。未经甲方书面许可，乙方不得用于本项目以外的训练、测试、展示或其他用途。</w:t>
      </w:r>
    </w:p>
    <w:p>
      <w:pPr>
        <w:pStyle w:val="Heading1"/>
      </w:pPr>
      <w:r>
        <w:t>第七条 保密与安全</w:t>
      </w:r>
    </w:p>
    <w:p>
      <w:pPr>
        <w:spacing w:line="360" w:lineRule="auto" w:after="0"/>
        <w:ind w:firstLine="420"/>
        <w:jc w:val="both"/>
      </w:pPr>
      <w:r>
        <w:rPr>
          <w:rFonts w:ascii="宋体" w:hAnsi="宋体" w:eastAsia="宋体"/>
          <w:color w:val="000000"/>
          <w:sz w:val="21"/>
        </w:rPr>
        <w:t>双方对履约过程中知悉的商业秘密、个人信息、合同文件、系统配置和安全资料承担保密义务。除履约所必需人员外，不得向第三方披露。</w:t>
      </w:r>
    </w:p>
    <w:p>
      <w:pPr>
        <w:spacing w:line="360" w:lineRule="auto" w:after="0"/>
        <w:ind w:firstLine="420"/>
        <w:jc w:val="both"/>
      </w:pPr>
      <w:r>
        <w:rPr>
          <w:rFonts w:ascii="宋体" w:hAnsi="宋体" w:eastAsia="宋体"/>
          <w:color w:val="000000"/>
          <w:sz w:val="21"/>
        </w:rPr>
        <w:t>乙方应落实最小权限、租户隔离、操作审计、传输加密、私有存储和安全备份。发生安全事件时，应立即采取措施并在二十四小时内通知甲方。</w:t>
      </w:r>
    </w:p>
    <w:p>
      <w:pPr>
        <w:pStyle w:val="Heading1"/>
      </w:pPr>
      <w:r>
        <w:t>第八条 运维与服务保障</w:t>
      </w:r>
    </w:p>
    <w:p>
      <w:pPr>
        <w:spacing w:line="360" w:lineRule="auto" w:after="0"/>
        <w:ind w:firstLine="420"/>
        <w:jc w:val="both"/>
      </w:pPr>
      <w:r>
        <w:rPr>
          <w:rFonts w:ascii="宋体" w:hAnsi="宋体" w:eastAsia="宋体"/>
          <w:color w:val="000000"/>
          <w:sz w:val="21"/>
        </w:rPr>
        <w:t>终验通过后，乙方提供十二个月免费运维服务，包括故障处理、版本修复、运行监控和技术咨询。重大故障响应时间不超过三十分钟，一般故障响应时间不超过两小时。</w:t>
      </w:r>
    </w:p>
    <w:p>
      <w:pPr>
        <w:pStyle w:val="Heading1"/>
      </w:pPr>
      <w:r>
        <w:t>第九条 违约责任与合同解除</w:t>
      </w:r>
    </w:p>
    <w:p>
      <w:pPr>
        <w:spacing w:line="360" w:lineRule="auto" w:after="0"/>
        <w:ind w:firstLine="420"/>
        <w:jc w:val="both"/>
      </w:pPr>
      <w:r>
        <w:rPr>
          <w:rFonts w:ascii="宋体" w:hAnsi="宋体" w:eastAsia="宋体"/>
          <w:color w:val="000000"/>
          <w:sz w:val="21"/>
        </w:rPr>
        <w:t>任何一方违反合同并造成对方损失的，应承担相应赔偿责任。一方严重违约且在收到书面通知后十五个工作日内未改正的，守约方有权解除合同。</w:t>
      </w:r>
    </w:p>
    <w:p>
      <w:pPr>
        <w:pStyle w:val="Heading1"/>
      </w:pPr>
      <w:r>
        <w:t>第十条 争议解决与其他</w:t>
      </w:r>
    </w:p>
    <w:p>
      <w:pPr>
        <w:spacing w:line="360" w:lineRule="auto" w:after="0"/>
        <w:ind w:firstLine="420"/>
        <w:jc w:val="both"/>
      </w:pPr>
      <w:r>
        <w:rPr>
          <w:rFonts w:ascii="宋体" w:hAnsi="宋体" w:eastAsia="宋体"/>
          <w:color w:val="000000"/>
          <w:sz w:val="21"/>
        </w:rPr>
        <w:t>本合同适用中华人民共和国法律。履行过程中发生争议，双方应友好协商；协商不成的，任一方可向甲方所在地有管辖权的人民法院起诉。</w:t>
      </w:r>
    </w:p>
    <w:p>
      <w:pPr>
        <w:spacing w:line="360" w:lineRule="auto" w:after="0"/>
        <w:ind w:firstLine="420"/>
        <w:jc w:val="both"/>
      </w:pPr>
      <w:r>
        <w:rPr>
          <w:rFonts w:ascii="宋体" w:hAnsi="宋体" w:eastAsia="宋体"/>
          <w:color w:val="000000"/>
          <w:sz w:val="21"/>
        </w:rPr>
        <w:t>本合同一式肆份，双方各执贰份，自双方盖章之日起生效。附件、任务书和经确认的变更单均为本合同组成部分，与本合同具有同等法律效力。</w:t>
      </w:r>
    </w:p>
    <w:p>
      <w:pPr>
        <w:pStyle w:val="Heading1"/>
      </w:pPr>
      <w:r>
        <w:t>签署页</w:t>
      </w:r>
    </w:p>
    <w:p>
      <w:pPr>
        <w:spacing w:line="360" w:lineRule="auto" w:after="0"/>
        <w:ind w:firstLine="420"/>
        <w:jc w:val="both"/>
      </w:pPr>
      <w:r>
        <w:rPr>
          <w:rFonts w:ascii="宋体" w:hAnsi="宋体" w:eastAsia="宋体"/>
          <w:color w:val="000000"/>
          <w:sz w:val="21"/>
        </w:rPr>
        <w:t>（以下无正文，为本合同签署栏。双方确认已完整阅读并理解本合同全部条款。）</w:t>
      </w:r>
    </w:p>
    <w:tbl>
      <w:tblPr>
        <w:tblW w:type="dxa" w:w="890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4450"/>
        <w:gridCol w:w="4450"/>
      </w:tblGrid>
      <w:tr>
        <w:tc>
          <w:tcPr>
            <w:tcW w:type="dxa" w:w="4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甲方（盖章）：广西启航产业发展有限公司</w:t>
            </w:r>
          </w:p>
        </w:tc>
        <w:tc>
          <w:tcPr>
            <w:tcW w:type="dxa" w:w="4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乙方（盖章）：南宁云枢数字科技有限公司</w:t>
            </w:r>
          </w:p>
        </w:tc>
      </w:tr>
      <w:tr>
        <w:tc>
          <w:tcPr>
            <w:tcW w:type="dxa" w:w="4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法定代表人/授权代表：</w:t>
            </w:r>
          </w:p>
        </w:tc>
        <w:tc>
          <w:tcPr>
            <w:tcW w:type="dxa" w:w="4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法定代表人/授权代表：</w:t>
            </w:r>
          </w:p>
        </w:tc>
      </w:tr>
      <w:tr>
        <w:tc>
          <w:tcPr>
            <w:tcW w:type="dxa" w:w="4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联系人：张明（测试）</w:t>
            </w:r>
          </w:p>
        </w:tc>
        <w:tc>
          <w:tcPr>
            <w:tcW w:type="dxa" w:w="4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联系人：李华（测试）</w:t>
            </w:r>
          </w:p>
        </w:tc>
      </w:tr>
      <w:tr>
        <w:tc>
          <w:tcPr>
            <w:tcW w:type="dxa" w:w="4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联系电话：13800000001</w:t>
            </w:r>
          </w:p>
        </w:tc>
        <w:tc>
          <w:tcPr>
            <w:tcW w:type="dxa" w:w="4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联系电话：13800000002</w:t>
            </w:r>
          </w:p>
        </w:tc>
      </w:tr>
      <w:tr>
        <w:tc>
          <w:tcPr>
            <w:tcW w:type="dxa" w:w="4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签署日期：2026年8月17日</w:t>
            </w:r>
          </w:p>
        </w:tc>
        <w:tc>
          <w:tcPr>
            <w:tcW w:type="dxa" w:w="4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签署日期：2026年8月17日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58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777777"/>
        <w:sz w:val="17"/>
      </w:rPr>
      <w:t xml:space="preserve">第 </w:t>
    </w:r>
    <w:r/>
    <w:fldSimple w:instr="PAGE"/>
    <w:r>
      <w:rPr>
        <w:rFonts w:ascii="宋体" w:hAnsi="宋体" w:eastAsia="宋体"/>
        <w:color w:val="777777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8504" w:val="left"/>
      </w:tabs>
      <w:spacing w:after="60"/>
      <w:jc w:val="left"/>
      <w:pBdr>
        <w:bottom w:val="single" w:sz="4" w:space="2" w:color="BFBFBF"/>
      </w:pBdr>
    </w:pPr>
    <w:r>
      <w:rPr>
        <w:rFonts w:ascii="宋体" w:hAnsi="宋体" w:eastAsia="宋体"/>
        <w:color w:val="666666"/>
        <w:sz w:val="17"/>
      </w:rPr>
      <w:t>软件技术服务框架协议 | 广西启航产业发展有限公司</w:t>
    </w:r>
    <w:r>
      <w:rPr>
        <w:rFonts w:ascii="宋体" w:hAnsi="宋体" w:eastAsia="宋体"/>
        <w:color w:val="888888"/>
        <w:sz w:val="17"/>
      </w:rPr>
      <w:tab/>
      <w:t>脱敏测试样本·仅用于系统验收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jc w:val="both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 w:line="300" w:lineRule="auto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300" w:lineRule="auto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40" w:line="300" w:lineRule="auto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软件技术服务框架协议</dc:title>
  <dc:subject>WeKnora 历史 DOCX 派生 POC 脱敏源文档</dc:subject>
  <dc:creator>Guoyu Contract POC</dc:creator>
  <cp:keywords/>
  <dc:description>全部主体、金额和项目均为虚构测试数据，不得用于签署。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