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DC7C1">
      <w:pPr>
        <w:keepNext w:val="0"/>
        <w:keepLines w:val="0"/>
        <w:pageBreakBefore w:val="0"/>
        <w:widowControl w:val="0"/>
        <w:kinsoku/>
        <w:wordWrap/>
        <w:overflowPunct/>
        <w:topLinePunct w:val="0"/>
        <w:autoSpaceDE/>
        <w:autoSpaceDN/>
        <w:bidi w:val="0"/>
        <w:adjustRightInd/>
        <w:snapToGrid/>
        <w:spacing w:line="560" w:lineRule="exact"/>
        <w:ind w:left="0"/>
        <w:jc w:val="center"/>
        <w:textAlignment w:val="auto"/>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员工离职与知识产权及技术</w:t>
      </w:r>
    </w:p>
    <w:p w14:paraId="41EC9719">
      <w:pPr>
        <w:keepNext w:val="0"/>
        <w:keepLines w:val="0"/>
        <w:pageBreakBefore w:val="0"/>
        <w:widowControl w:val="0"/>
        <w:kinsoku/>
        <w:wordWrap/>
        <w:overflowPunct/>
        <w:topLinePunct w:val="0"/>
        <w:autoSpaceDE/>
        <w:autoSpaceDN/>
        <w:bidi w:val="0"/>
        <w:adjustRightInd/>
        <w:snapToGrid/>
        <w:spacing w:line="560" w:lineRule="exact"/>
        <w:ind w:left="0"/>
        <w:jc w:val="center"/>
        <w:textAlignment w:val="auto"/>
        <w:rPr>
          <w:rFonts w:hint="eastAsia" w:ascii="微软雅黑" w:hAnsi="微软雅黑" w:eastAsia="微软雅黑" w:cs="微软雅黑"/>
          <w:sz w:val="44"/>
          <w:szCs w:val="44"/>
        </w:rPr>
      </w:pPr>
      <w:r>
        <w:rPr>
          <w:rFonts w:hint="eastAsia" w:ascii="微软雅黑" w:hAnsi="微软雅黑" w:eastAsia="微软雅黑" w:cs="微软雅黑"/>
          <w:b/>
          <w:sz w:val="44"/>
          <w:szCs w:val="44"/>
        </w:rPr>
        <w:t>成果移交确认协议书</w:t>
      </w:r>
    </w:p>
    <w:p w14:paraId="53DD4154">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甲方（用人单位）： ________</w:t>
      </w:r>
    </w:p>
    <w:p w14:paraId="3D9BECE1">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地址： ________</w:t>
      </w:r>
    </w:p>
    <w:p w14:paraId="57094D13">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乙方（员工）： ________</w:t>
      </w:r>
    </w:p>
    <w:p w14:paraId="5C416E5F">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身份证号码： ________</w:t>
      </w:r>
    </w:p>
    <w:p w14:paraId="61ADD1D9">
      <w:pPr>
        <w:keepNext w:val="0"/>
        <w:keepLines w:val="0"/>
        <w:pageBreakBefore w:val="0"/>
        <w:widowControl w:val="0"/>
        <w:kinsoku/>
        <w:wordWrap/>
        <w:overflowPunct/>
        <w:topLinePunct w:val="0"/>
        <w:autoSpaceDE/>
        <w:autoSpaceDN/>
        <w:bidi w:val="0"/>
        <w:adjustRightInd/>
        <w:snapToGrid/>
        <w:spacing w:before="120" w:after="120" w:line="288" w:lineRule="auto"/>
        <w:ind w:lef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鉴于：</w:t>
      </w:r>
    </w:p>
    <w:p w14:paraId="26D9F2ED">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1.乙方曾在甲方担任虚拟仿真开发工程师一职，主要负责核心代码编写、算法设计、项目维护及相关技术研发工作，知悉甲方虚拟仿真领域核心技术及商业秘密。</w:t>
      </w:r>
    </w:p>
    <w:p w14:paraId="26C2C755">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2.乙方因个人原因向甲方提出离职申请，双方已就劳动关系解除达成一致，确认劳动关系于约定日期正式解除。</w:t>
      </w:r>
    </w:p>
    <w:p w14:paraId="433C2AEA">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3.为保障甲方在虚拟仿真领域的核心技术资产、商业秘密及知识产权的完整性、安全性，明确乙方离职后的各项义务，防范技术泄露及相关风险，双方本着平等、自愿、诚实信用的原则，依据相关法律法规，达成如下协议，以资共同遵守。</w:t>
      </w:r>
    </w:p>
    <w:p w14:paraId="23B9E97A">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根据《中华人民共和国民法典》《中华人民共和国劳动合同法》《中华人民共和国反不正当竞争法》《中华人民共和国知识产权法》及相关法律法规，双方经充分协商，达成如下协议：</w:t>
      </w:r>
    </w:p>
    <w:p w14:paraId="71A4C164">
      <w:pPr>
        <w:keepNext w:val="0"/>
        <w:keepLines w:val="0"/>
        <w:pageBreakBefore w:val="0"/>
        <w:widowControl w:val="0"/>
        <w:kinsoku/>
        <w:wordWrap/>
        <w:overflowPunct/>
        <w:topLinePunct w:val="0"/>
        <w:autoSpaceDE/>
        <w:autoSpaceDN/>
        <w:bidi w:val="0"/>
        <w:adjustRightInd/>
        <w:snapToGrid/>
        <w:spacing w:before="320" w:after="120" w:line="480" w:lineRule="exact"/>
        <w:ind w:left="0" w:firstLine="562" w:firstLineChars="200"/>
        <w:jc w:val="left"/>
        <w:textAlignment w:val="auto"/>
        <w:outlineLvl w:val="1"/>
        <w:rPr>
          <w:rFonts w:hint="eastAsia" w:ascii="仿宋" w:hAnsi="仿宋" w:eastAsia="仿宋" w:cs="仿宋"/>
          <w:sz w:val="28"/>
          <w:szCs w:val="28"/>
        </w:rPr>
      </w:pPr>
      <w:bookmarkStart w:id="0" w:name="heading_0"/>
      <w:r>
        <w:rPr>
          <w:rFonts w:hint="eastAsia" w:ascii="仿宋" w:hAnsi="仿宋" w:eastAsia="仿宋" w:cs="仿宋"/>
          <w:b/>
          <w:sz w:val="28"/>
          <w:szCs w:val="28"/>
        </w:rPr>
        <w:t>第一条 劳动关系解除确认</w:t>
      </w:r>
      <w:bookmarkEnd w:id="0"/>
    </w:p>
    <w:p w14:paraId="2F893C62">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1.1双方一致确认，乙方与甲方的劳动关系自 ________年________月________日（下称“离职生效日”）起正式解除，双方自此终止一切劳动权利义务关系。</w:t>
      </w:r>
    </w:p>
    <w:p w14:paraId="4B8D62F5">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1.2乙方应在离职生效日前，严格按照甲方《离职交接清单》的要求，完成全部工作交接、技术资料移交及公司资产返还手续，确保交接内容完整、无遗漏，交接过程可追溯、可核查。</w:t>
      </w:r>
    </w:p>
    <w:p w14:paraId="50874D10">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1.3甲方应在乙方完成全部交接手续后，按照相关法律法规及公司制度，办理离职相关后续事宜。</w:t>
      </w:r>
    </w:p>
    <w:p w14:paraId="16FAF219">
      <w:pPr>
        <w:keepNext w:val="0"/>
        <w:keepLines w:val="0"/>
        <w:pageBreakBefore w:val="0"/>
        <w:widowControl w:val="0"/>
        <w:kinsoku/>
        <w:wordWrap/>
        <w:overflowPunct/>
        <w:topLinePunct w:val="0"/>
        <w:autoSpaceDE/>
        <w:autoSpaceDN/>
        <w:bidi w:val="0"/>
        <w:adjustRightInd/>
        <w:snapToGrid/>
        <w:spacing w:before="320" w:after="120" w:line="480" w:lineRule="exact"/>
        <w:ind w:left="0" w:firstLine="562" w:firstLineChars="200"/>
        <w:jc w:val="left"/>
        <w:textAlignment w:val="auto"/>
        <w:outlineLvl w:val="1"/>
        <w:rPr>
          <w:rFonts w:hint="eastAsia" w:ascii="仿宋" w:hAnsi="仿宋" w:eastAsia="仿宋" w:cs="仿宋"/>
          <w:sz w:val="28"/>
          <w:szCs w:val="28"/>
        </w:rPr>
      </w:pPr>
      <w:bookmarkStart w:id="1" w:name="heading_1"/>
      <w:r>
        <w:rPr>
          <w:rFonts w:hint="eastAsia" w:ascii="仿宋" w:hAnsi="仿宋" w:eastAsia="仿宋" w:cs="仿宋"/>
          <w:b/>
          <w:sz w:val="28"/>
          <w:szCs w:val="28"/>
        </w:rPr>
        <w:t>第二条 工作成果与知识产权归属（核心条款）</w:t>
      </w:r>
      <w:bookmarkEnd w:id="1"/>
    </w:p>
    <w:p w14:paraId="14E410E5">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2.1全部成果归属约定：乙方确认，其在甲方任职期间（自入职之日起至离职生效日止），单独或与甲方其他员工、合作方合作完成的，与甲方业务相关、利用甲方物质技术条件（包括但不限于甲方提供的设备、资金、数据、场地、账号权限、技术资料、研发工具等）所产生的所有工作成果，其知识产权、所有权及相关全部权益，均排他性地、无偿地归甲方所有，甲方可自由行使包括但不限于占有、使用、修改、复制、销售、许可、转让等全部权利。</w:t>
      </w:r>
    </w:p>
    <w:p w14:paraId="722EF13E">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2.2  工作成果具体范围（包括但不限于）：</w:t>
      </w:r>
    </w:p>
    <w:p w14:paraId="151EFC15">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2.2.1</w:t>
      </w:r>
      <w:r>
        <w:rPr>
          <w:rFonts w:hint="eastAsia" w:ascii="仿宋" w:hAnsi="仿宋" w:eastAsia="仿宋" w:cs="仿宋"/>
          <w:sz w:val="28"/>
          <w:szCs w:val="28"/>
        </w:rPr>
        <w:t>代码与算法：虚拟仿真系统的全部源代码、目标代码、底层算法、系统架构设计、接口定义、着色器代码（Shader）、脚本逻辑、配置文件、调试工具及相关代码片段；</w:t>
      </w:r>
    </w:p>
    <w:p w14:paraId="4D58A8F5">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2.2.2</w:t>
      </w:r>
      <w:r>
        <w:rPr>
          <w:rFonts w:hint="eastAsia" w:ascii="仿宋" w:hAnsi="仿宋" w:eastAsia="仿宋" w:cs="仿宋"/>
          <w:sz w:val="28"/>
          <w:szCs w:val="28"/>
        </w:rPr>
        <w:t>数字资产：虚拟仿真相关的三维模型、贴图材质、动作捕捉数据、特效资源、音频文件、场景工程文件、项目工程源文件及各类素材文件；</w:t>
      </w:r>
    </w:p>
    <w:p w14:paraId="702D492A">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2.2.3</w:t>
      </w:r>
      <w:r>
        <w:rPr>
          <w:rFonts w:hint="eastAsia" w:ascii="仿宋" w:hAnsi="仿宋" w:eastAsia="仿宋" w:cs="仿宋"/>
          <w:sz w:val="28"/>
          <w:szCs w:val="28"/>
        </w:rPr>
        <w:t>账户与权限：Git/SVN 代码仓库提交记录、云服务器（阿里云/腾讯云/AWS等）管理权限及服务器内相关数据、第三方服务账号（如Unity/Unreal引擎许可证、插件商店账户）下的所有资产及授权信息；</w:t>
      </w:r>
    </w:p>
    <w:p w14:paraId="64B34A32">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2.2.4</w:t>
      </w:r>
      <w:r>
        <w:rPr>
          <w:rFonts w:hint="eastAsia" w:ascii="仿宋" w:hAnsi="仿宋" w:eastAsia="仿宋" w:cs="仿宋"/>
          <w:sz w:val="28"/>
          <w:szCs w:val="28"/>
        </w:rPr>
        <w:t>文档资料：需求分析文档、详细设计说明书、测试用例、用户手册、数据库设计文档、开发日志、技术方案、调试记录及其他与工作相关的各类文档。</w:t>
      </w:r>
    </w:p>
    <w:p w14:paraId="322E9C23">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2.3 署名权保留：乙方依法享有在上述工作成果上署名的权利，但该署名权的行使不得妨碍甲方对工作成果的正常使用、修改、销售、许可或商业推广，不得用于任何损害甲方利益的行为。</w:t>
      </w:r>
    </w:p>
    <w:p w14:paraId="1F4F9AA2">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2.4补充约定：乙方确认，其在任职期间未利用甲方资源、未与甲方业务相关的个人成果，需在本协议签订之日起3个工作日内，向甲方提交书面说明及相关证明材料，经甲方确认后，该部分成果归属乙方所有；未提交说明或无法证明的，均视为归甲方所有。</w:t>
      </w:r>
    </w:p>
    <w:p w14:paraId="6D027DEE">
      <w:pPr>
        <w:keepNext w:val="0"/>
        <w:keepLines w:val="0"/>
        <w:pageBreakBefore w:val="0"/>
        <w:widowControl w:val="0"/>
        <w:kinsoku/>
        <w:wordWrap/>
        <w:overflowPunct/>
        <w:topLinePunct w:val="0"/>
        <w:autoSpaceDE/>
        <w:autoSpaceDN/>
        <w:bidi w:val="0"/>
        <w:adjustRightInd/>
        <w:snapToGrid/>
        <w:spacing w:before="320" w:after="120" w:line="480" w:lineRule="exact"/>
        <w:ind w:left="0" w:firstLine="562" w:firstLineChars="200"/>
        <w:jc w:val="left"/>
        <w:textAlignment w:val="auto"/>
        <w:outlineLvl w:val="1"/>
        <w:rPr>
          <w:rFonts w:hint="eastAsia" w:ascii="仿宋" w:hAnsi="仿宋" w:eastAsia="仿宋" w:cs="仿宋"/>
          <w:sz w:val="28"/>
          <w:szCs w:val="28"/>
        </w:rPr>
      </w:pPr>
      <w:bookmarkStart w:id="2" w:name="heading_2"/>
      <w:r>
        <w:rPr>
          <w:rFonts w:hint="eastAsia" w:ascii="仿宋" w:hAnsi="仿宋" w:eastAsia="仿宋" w:cs="仿宋"/>
          <w:b/>
          <w:sz w:val="28"/>
          <w:szCs w:val="28"/>
        </w:rPr>
        <w:t>第三条 资产交还与账户清理（执行条款）</w:t>
      </w:r>
      <w:bookmarkEnd w:id="2"/>
    </w:p>
    <w:p w14:paraId="358B9750">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3.1  实物资产交还：乙方须于离职交接当日，向甲方指定交接人员归还全部公司财物，包括但不限于：笔记本电脑、显示器、移动硬盘、U盘、门禁卡、钥匙、工牌、办公文具及其他甲方提供的各类实物资产，确保实物资产完好、无损坏、无遗失。</w:t>
      </w:r>
    </w:p>
    <w:p w14:paraId="7FFB89EF">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3.2  虚拟资产与权限清理：</w:t>
      </w:r>
    </w:p>
    <w:p w14:paraId="57CD129B">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3.2.1</w:t>
      </w:r>
      <w:r>
        <w:rPr>
          <w:rFonts w:hint="eastAsia" w:ascii="仿宋" w:hAnsi="仿宋" w:eastAsia="仿宋" w:cs="仿宋"/>
          <w:sz w:val="28"/>
          <w:szCs w:val="28"/>
        </w:rPr>
        <w:t>乙方须将个人账户（包括个人注册的公司邮箱、GitHub/GitLab个人账号、个人云存储账号等）下涉及甲方的全部私有仓库、项目目录、云存储文件、技术资料等，完整转移至甲方指定账户或彻底删除，并向甲方指定代表展示确认，确保无任何留存；</w:t>
      </w:r>
    </w:p>
    <w:p w14:paraId="4BD58C1A">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3.2.2</w:t>
      </w:r>
      <w:r>
        <w:rPr>
          <w:rFonts w:hint="eastAsia" w:ascii="仿宋" w:hAnsi="仿宋" w:eastAsia="仿宋" w:cs="仿宋"/>
          <w:sz w:val="28"/>
          <w:szCs w:val="28"/>
        </w:rPr>
        <w:t>乙方须立即退出所有与甲方相关的企业微信、钉钉群组、技术讨论群及项目管理平台（如Jira、禅道），交回所有平台账号权限，不得再以甲方员工身份开展任何活动；</w:t>
      </w:r>
    </w:p>
    <w:p w14:paraId="1EF2DBA0">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3.2.3</w:t>
      </w:r>
      <w:r>
        <w:rPr>
          <w:rFonts w:hint="eastAsia" w:ascii="仿宋" w:hAnsi="仿宋" w:eastAsia="仿宋" w:cs="仿宋"/>
          <w:sz w:val="28"/>
          <w:szCs w:val="28"/>
        </w:rPr>
        <w:t>乙方须配合甲方完成各类系统、账号的权限注销工作，确保离职后无法再访问甲方任何内部系统、数据及技术资料。</w:t>
      </w:r>
    </w:p>
    <w:p w14:paraId="6E99D22D">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3.3  禁止保留与私存：乙方郑重承诺，离职后不以任何形式（包括但不限于硬盘拷贝、网盘备份、邮箱转发、代码片段打印、手机存储、口头转述等）保留、复制、隐藏、传播或披露本协议第二条所述的全部工作成果及甲方商业秘密。一经发现乙方存在上述行为，即视为严重违约，甲方有权追究其全部责任。</w:t>
      </w:r>
    </w:p>
    <w:p w14:paraId="216D6CDD">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3.4  交接确认：乙方完成全部资产交还与账户清理后，须与甲方指定代表共同签署《离职交接确认单》，确认交接无误；未签署确认单的，视为未完成交接。</w:t>
      </w:r>
    </w:p>
    <w:p w14:paraId="00AAC0C3">
      <w:pPr>
        <w:keepNext w:val="0"/>
        <w:keepLines w:val="0"/>
        <w:pageBreakBefore w:val="0"/>
        <w:widowControl w:val="0"/>
        <w:kinsoku/>
        <w:wordWrap/>
        <w:overflowPunct/>
        <w:topLinePunct w:val="0"/>
        <w:autoSpaceDE/>
        <w:autoSpaceDN/>
        <w:bidi w:val="0"/>
        <w:adjustRightInd/>
        <w:snapToGrid/>
        <w:spacing w:before="320" w:after="120" w:line="480" w:lineRule="exact"/>
        <w:ind w:left="0" w:firstLine="562" w:firstLineChars="200"/>
        <w:jc w:val="left"/>
        <w:textAlignment w:val="auto"/>
        <w:outlineLvl w:val="1"/>
        <w:rPr>
          <w:rFonts w:hint="eastAsia" w:ascii="仿宋" w:hAnsi="仿宋" w:eastAsia="仿宋" w:cs="仿宋"/>
          <w:sz w:val="28"/>
          <w:szCs w:val="28"/>
        </w:rPr>
      </w:pPr>
      <w:bookmarkStart w:id="3" w:name="heading_3"/>
      <w:r>
        <w:rPr>
          <w:rFonts w:hint="eastAsia" w:ascii="仿宋" w:hAnsi="仿宋" w:eastAsia="仿宋" w:cs="仿宋"/>
          <w:b/>
          <w:sz w:val="28"/>
          <w:szCs w:val="28"/>
        </w:rPr>
        <w:t>第四条 产品缺陷责任追溯与配合机制（特别保护条款）</w:t>
      </w:r>
      <w:bookmarkEnd w:id="3"/>
    </w:p>
    <w:p w14:paraId="6E444C0A">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4.1移交质量保证：乙方保证，其移交的全部工作成果（特别是代码模块、算法设计、系统配置等）符合甲方既定的技术规范及质量标准，不存在因故意或重大过失预留的后门、逻辑炸弹、恶意死循环、隐藏漏洞或严重性能缺陷，不影响甲方后续项目的正常推进。</w:t>
      </w:r>
    </w:p>
    <w:p w14:paraId="1BDAF313">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4.2缺陷追溯期：自离职生效日起 _</w:t>
      </w:r>
      <w:r>
        <w:rPr>
          <w:rFonts w:hint="eastAsia" w:ascii="仿宋" w:hAnsi="仿宋" w:eastAsia="仿宋" w:cs="仿宋"/>
          <w:sz w:val="28"/>
          <w:szCs w:val="28"/>
          <w:lang w:val="en-US" w:eastAsia="zh-CN"/>
        </w:rPr>
        <w:t>12</w:t>
      </w:r>
      <w:r>
        <w:rPr>
          <w:rFonts w:hint="eastAsia" w:ascii="仿宋" w:hAnsi="仿宋" w:eastAsia="仿宋" w:cs="仿宋"/>
          <w:sz w:val="28"/>
          <w:szCs w:val="28"/>
        </w:rPr>
        <w:t>_个月内，为乙方负责工作成果的技术缺陷追溯期。</w:t>
      </w:r>
    </w:p>
    <w:p w14:paraId="7CB524BE">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4.3配合调查义务：追溯期内，若甲方经技术排查发现乙方在职期间负责的模块存在隐蔽性重大缺陷（该缺陷在离职交接时无法通过常规验收流程发现），乙方应在收到甲方书面通知、邮件或电话通知后72小时内，以远程协作或现场配合的方式，无偿提供技术说明、缺陷原因排查、修复方案指导等相关配合工作，不得拒绝、拖延或敷衍。</w:t>
      </w:r>
    </w:p>
    <w:p w14:paraId="18B2DDB3">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4.4  赔偿责任：</w:t>
      </w:r>
    </w:p>
    <w:p w14:paraId="02ECA487">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4.4.1</w:t>
      </w:r>
      <w:r>
        <w:rPr>
          <w:rFonts w:hint="eastAsia" w:ascii="仿宋" w:hAnsi="仿宋" w:eastAsia="仿宋" w:cs="仿宋"/>
          <w:sz w:val="28"/>
          <w:szCs w:val="28"/>
        </w:rPr>
        <w:t>若经双方确认或经第三方权威鉴定机构认定，上述缺陷系因乙方在职期间故意植入、恶意破坏或重大过失所致，乙方应赔偿因此给甲方造成的全部直接及间接经济损失，包括但不限于项目延误违约金、客户索赔损失、数据恢复费用、司法鉴定费、律师费、维权费用等；</w:t>
      </w:r>
    </w:p>
    <w:p w14:paraId="650394B4">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4.4.2</w:t>
      </w:r>
      <w:r>
        <w:rPr>
          <w:rFonts w:hint="eastAsia" w:ascii="仿宋" w:hAnsi="仿宋" w:eastAsia="仿宋" w:cs="仿宋"/>
          <w:sz w:val="28"/>
          <w:szCs w:val="28"/>
        </w:rPr>
        <w:t>若乙方拒绝配合本条第4.3款规定的调查及配合义务，甲方有权直接推定乙方存在主观过错，追究其违约责任，并要求乙方承担因此造成的全部损失。</w:t>
      </w:r>
    </w:p>
    <w:p w14:paraId="401B6CAC">
      <w:pPr>
        <w:keepNext w:val="0"/>
        <w:keepLines w:val="0"/>
        <w:pageBreakBefore w:val="0"/>
        <w:widowControl w:val="0"/>
        <w:kinsoku/>
        <w:wordWrap/>
        <w:overflowPunct/>
        <w:topLinePunct w:val="0"/>
        <w:autoSpaceDE/>
        <w:autoSpaceDN/>
        <w:bidi w:val="0"/>
        <w:adjustRightInd/>
        <w:snapToGrid/>
        <w:spacing w:before="320" w:after="120" w:line="480" w:lineRule="exact"/>
        <w:ind w:left="0" w:firstLine="562" w:firstLineChars="200"/>
        <w:jc w:val="left"/>
        <w:textAlignment w:val="auto"/>
        <w:outlineLvl w:val="1"/>
        <w:rPr>
          <w:rFonts w:hint="eastAsia" w:ascii="仿宋" w:hAnsi="仿宋" w:eastAsia="仿宋" w:cs="仿宋"/>
          <w:sz w:val="28"/>
          <w:szCs w:val="28"/>
        </w:rPr>
      </w:pPr>
      <w:bookmarkStart w:id="4" w:name="heading_5"/>
      <w:r>
        <w:rPr>
          <w:rFonts w:hint="eastAsia" w:ascii="仿宋" w:hAnsi="仿宋" w:eastAsia="仿宋" w:cs="仿宋"/>
          <w:b/>
          <w:sz w:val="28"/>
          <w:szCs w:val="28"/>
        </w:rPr>
        <w:t>第</w:t>
      </w:r>
      <w:r>
        <w:rPr>
          <w:rFonts w:hint="eastAsia" w:ascii="仿宋" w:hAnsi="仿宋" w:eastAsia="仿宋" w:cs="仿宋"/>
          <w:b/>
          <w:sz w:val="28"/>
          <w:szCs w:val="28"/>
          <w:lang w:val="en-US" w:eastAsia="zh-CN"/>
        </w:rPr>
        <w:t>五</w:t>
      </w:r>
      <w:r>
        <w:rPr>
          <w:rFonts w:hint="eastAsia" w:ascii="仿宋" w:hAnsi="仿宋" w:eastAsia="仿宋" w:cs="仿宋"/>
          <w:b/>
          <w:sz w:val="28"/>
          <w:szCs w:val="28"/>
        </w:rPr>
        <w:t>条 违约责任（处罚条款）</w:t>
      </w:r>
      <w:bookmarkEnd w:id="4"/>
    </w:p>
    <w:p w14:paraId="34FDBF94">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.1  违约情形：乙方违反本协议第二条（知识产权归属）、第三条（资产交还与账户清理）、第四条（缺陷责任与配合义务）、第五条（保密与竞业限制）任一约定的，均构成根本性违约，甲方有权追究乙方全部违约责任。</w:t>
      </w:r>
    </w:p>
    <w:p w14:paraId="273DA28D">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.2  违约责任承担：</w:t>
      </w:r>
    </w:p>
    <w:p w14:paraId="28B222F5">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5.2.1</w:t>
      </w:r>
      <w:r>
        <w:rPr>
          <w:rFonts w:hint="eastAsia" w:ascii="仿宋" w:hAnsi="仿宋" w:eastAsia="仿宋" w:cs="仿宋"/>
          <w:sz w:val="28"/>
          <w:szCs w:val="28"/>
        </w:rPr>
        <w:t>返还与赔偿：乙方应全额退还甲方已支付的本次离职相关所有额外补助金、经济补偿金（如有）；同时，赔偿甲方因此遭受的全部直接及间接经济损失（包括但不限于技术泄露损失、项目损失、维权费用、律师费、调查费等）。</w:t>
      </w:r>
    </w:p>
    <w:p w14:paraId="1848BDE6">
      <w:pPr>
        <w:keepNext w:val="0"/>
        <w:keepLines w:val="0"/>
        <w:pageBreakBefore w:val="0"/>
        <w:widowControl w:val="0"/>
        <w:numPr>
          <w:ilvl w:val="0"/>
          <w:numId w:val="0"/>
        </w:numPr>
        <w:kinsoku/>
        <w:wordWrap/>
        <w:overflowPunct/>
        <w:topLinePunct w:val="0"/>
        <w:autoSpaceDE/>
        <w:autoSpaceDN/>
        <w:bidi w:val="0"/>
        <w:adjustRightInd/>
        <w:snapToGrid/>
        <w:spacing w:before="120" w:after="120" w:line="48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5.2.2</w:t>
      </w:r>
      <w:r>
        <w:rPr>
          <w:rFonts w:hint="eastAsia" w:ascii="仿宋" w:hAnsi="仿宋" w:eastAsia="仿宋" w:cs="仿宋"/>
          <w:sz w:val="28"/>
          <w:szCs w:val="28"/>
        </w:rPr>
        <w:t>违约金：乙方应向甲方支付违约金，金额为人民币________元（或表述为：乙方离职前十二个月税前月平均工资的________倍）。若该违约金不足以弥补甲方实际损失的，甲方有权就不足部分继续向乙方追偿。</w:t>
      </w:r>
    </w:p>
    <w:p w14:paraId="196098E3">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.3  刑事追诉：若乙方的违约行为涉嫌触犯《中华人民共和国刑法》中“侵犯商业秘密罪”“破坏计算机信息系统罪”等相关规定，构成刑事犯罪的，甲方有权直接移送公安机关处理，追究其刑事责任，同时不免除乙方的民事赔偿责任。</w:t>
      </w:r>
    </w:p>
    <w:p w14:paraId="2634E4FF">
      <w:pPr>
        <w:keepNext w:val="0"/>
        <w:keepLines w:val="0"/>
        <w:pageBreakBefore w:val="0"/>
        <w:widowControl w:val="0"/>
        <w:kinsoku/>
        <w:wordWrap/>
        <w:overflowPunct/>
        <w:topLinePunct w:val="0"/>
        <w:autoSpaceDE/>
        <w:autoSpaceDN/>
        <w:bidi w:val="0"/>
        <w:adjustRightInd/>
        <w:snapToGrid/>
        <w:spacing w:before="320" w:after="120" w:line="480" w:lineRule="exact"/>
        <w:ind w:left="0" w:firstLine="562" w:firstLineChars="200"/>
        <w:jc w:val="left"/>
        <w:textAlignment w:val="auto"/>
        <w:outlineLvl w:val="1"/>
        <w:rPr>
          <w:rFonts w:hint="eastAsia" w:ascii="仿宋" w:hAnsi="仿宋" w:eastAsia="仿宋" w:cs="仿宋"/>
          <w:sz w:val="28"/>
          <w:szCs w:val="28"/>
        </w:rPr>
      </w:pPr>
      <w:bookmarkStart w:id="5" w:name="heading_6"/>
      <w:r>
        <w:rPr>
          <w:rFonts w:hint="eastAsia" w:ascii="仿宋" w:hAnsi="仿宋" w:eastAsia="仿宋" w:cs="仿宋"/>
          <w:b/>
          <w:sz w:val="28"/>
          <w:szCs w:val="28"/>
        </w:rPr>
        <w:t>第</w:t>
      </w:r>
      <w:r>
        <w:rPr>
          <w:rFonts w:hint="eastAsia" w:ascii="仿宋" w:hAnsi="仿宋" w:eastAsia="仿宋" w:cs="仿宋"/>
          <w:b/>
          <w:sz w:val="28"/>
          <w:szCs w:val="28"/>
          <w:lang w:val="en-US" w:eastAsia="zh-CN"/>
        </w:rPr>
        <w:t>六</w:t>
      </w:r>
      <w:r>
        <w:rPr>
          <w:rFonts w:hint="eastAsia" w:ascii="仿宋" w:hAnsi="仿宋" w:eastAsia="仿宋" w:cs="仿宋"/>
          <w:b/>
          <w:sz w:val="28"/>
          <w:szCs w:val="28"/>
        </w:rPr>
        <w:t>条 离职款项结算与支付条件</w:t>
      </w:r>
      <w:bookmarkEnd w:id="5"/>
    </w:p>
    <w:p w14:paraId="05DC67A0">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.1结算款项构成：双方确认，甲方应向乙方支付的离职相关款项包括：截至离职日的未结工资、报销款；</w:t>
      </w:r>
    </w:p>
    <w:p w14:paraId="5F8B1B0A">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w:t>
      </w:r>
      <w:r>
        <w:rPr>
          <w:rFonts w:hint="eastAsia" w:ascii="仿宋" w:hAnsi="仿宋" w:eastAsia="仿宋" w:cs="仿宋"/>
          <w:sz w:val="28"/>
          <w:szCs w:val="28"/>
          <w:lang w:val="en-US" w:eastAsia="zh-CN"/>
        </w:rPr>
        <w:t>2</w:t>
      </w:r>
      <w:r>
        <w:rPr>
          <w:rFonts w:hint="eastAsia" w:ascii="仿宋" w:hAnsi="仿宋" w:eastAsia="仿宋" w:cs="仿宋"/>
          <w:sz w:val="28"/>
          <w:szCs w:val="28"/>
        </w:rPr>
        <w:t xml:space="preserve"> 支付时间：未结工资按甲方正常发薪日支付；</w:t>
      </w:r>
    </w:p>
    <w:p w14:paraId="6680283F">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w:t>
      </w:r>
      <w:r>
        <w:rPr>
          <w:rFonts w:hint="eastAsia" w:ascii="仿宋" w:hAnsi="仿宋" w:eastAsia="仿宋" w:cs="仿宋"/>
          <w:sz w:val="28"/>
          <w:szCs w:val="28"/>
          <w:lang w:val="en-US" w:eastAsia="zh-CN"/>
        </w:rPr>
        <w:t>3</w:t>
      </w:r>
      <w:r>
        <w:rPr>
          <w:rFonts w:hint="eastAsia" w:ascii="仿宋" w:hAnsi="仿宋" w:eastAsia="仿宋" w:cs="仿宋"/>
          <w:sz w:val="28"/>
          <w:szCs w:val="28"/>
        </w:rPr>
        <w:t>暂缓支付与抵扣：若乙方未完成工作交接、存在隐瞒、私存代码或技术资料、违反保密义务等行为，甲方有权暂缓支付上述款项，直至乙方完成整改；若乙方存在违约行为，甲方有权从上述款项中直接抵扣违约金及损失赔偿款，不足部分有权向乙方追偿。</w:t>
      </w:r>
    </w:p>
    <w:p w14:paraId="683430B4">
      <w:pPr>
        <w:keepNext w:val="0"/>
        <w:keepLines w:val="0"/>
        <w:pageBreakBefore w:val="0"/>
        <w:widowControl w:val="0"/>
        <w:kinsoku/>
        <w:wordWrap/>
        <w:overflowPunct/>
        <w:topLinePunct w:val="0"/>
        <w:autoSpaceDE/>
        <w:autoSpaceDN/>
        <w:bidi w:val="0"/>
        <w:adjustRightInd/>
        <w:snapToGrid/>
        <w:spacing w:before="320" w:after="120" w:line="480" w:lineRule="exact"/>
        <w:ind w:left="0" w:firstLine="562" w:firstLineChars="200"/>
        <w:jc w:val="left"/>
        <w:textAlignment w:val="auto"/>
        <w:outlineLvl w:val="1"/>
        <w:rPr>
          <w:rFonts w:hint="eastAsia" w:ascii="仿宋" w:hAnsi="仿宋" w:eastAsia="仿宋" w:cs="仿宋"/>
          <w:sz w:val="28"/>
          <w:szCs w:val="28"/>
        </w:rPr>
      </w:pPr>
      <w:bookmarkStart w:id="6" w:name="heading_7"/>
      <w:r>
        <w:rPr>
          <w:rFonts w:hint="eastAsia" w:ascii="仿宋" w:hAnsi="仿宋" w:eastAsia="仿宋" w:cs="仿宋"/>
          <w:b/>
          <w:sz w:val="28"/>
          <w:szCs w:val="28"/>
        </w:rPr>
        <w:t>第</w:t>
      </w:r>
      <w:r>
        <w:rPr>
          <w:rFonts w:hint="eastAsia" w:ascii="仿宋" w:hAnsi="仿宋" w:eastAsia="仿宋" w:cs="仿宋"/>
          <w:b/>
          <w:sz w:val="28"/>
          <w:szCs w:val="28"/>
          <w:lang w:val="en-US" w:eastAsia="zh-CN"/>
        </w:rPr>
        <w:t>七</w:t>
      </w:r>
      <w:r>
        <w:rPr>
          <w:rFonts w:hint="eastAsia" w:ascii="仿宋" w:hAnsi="仿宋" w:eastAsia="仿宋" w:cs="仿宋"/>
          <w:b/>
          <w:sz w:val="28"/>
          <w:szCs w:val="28"/>
        </w:rPr>
        <w:t>条 附则</w:t>
      </w:r>
      <w:bookmarkEnd w:id="6"/>
    </w:p>
    <w:p w14:paraId="291EEE38">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1法律适用与管辖：本协议适用中华人民共和国法律（不包括冲突法规则）。因本协议引起的或与本协议有关的任何争议，双方应首先通过友好协商解决；协商不成的，任何一方均有权向甲方所在地人民法院提起诉讼。</w:t>
      </w:r>
    </w:p>
    <w:p w14:paraId="3FCADAB1">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.2可分割性：本协议任何条款被人民法院或仲裁机构认定为无效、可撤销或不可执行的，不影响本协议其他条款的效力，其他条款仍应继续履行。</w:t>
      </w:r>
    </w:p>
    <w:p w14:paraId="739ED856">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w:t>
      </w:r>
      <w:bookmarkStart w:id="7" w:name="_GoBack"/>
      <w:bookmarkEnd w:id="7"/>
      <w:r>
        <w:rPr>
          <w:rFonts w:hint="eastAsia" w:ascii="仿宋" w:hAnsi="仿宋" w:eastAsia="仿宋" w:cs="仿宋"/>
          <w:sz w:val="28"/>
          <w:szCs w:val="28"/>
        </w:rPr>
        <w:t>.3送达地址：双方确认，以下地址为各自的有效法律文书送达地址，一方变更送达地址的，应提前3个工作日书面通知对方，否则因此产生的送达不能、延误等不利后果，由变更方自行承担。</w:t>
      </w:r>
    </w:p>
    <w:p w14:paraId="2BB78848">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甲方送达信息：</w:t>
      </w:r>
    </w:p>
    <w:p w14:paraId="229FFB2B">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联系人：________</w:t>
      </w:r>
    </w:p>
    <w:p w14:paraId="2A54E34C">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邮箱：________</w:t>
      </w:r>
    </w:p>
    <w:p w14:paraId="6FFF7186">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地址：________</w:t>
      </w:r>
    </w:p>
    <w:p w14:paraId="03ECAB7B">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乙方送达信息：</w:t>
      </w:r>
    </w:p>
    <w:p w14:paraId="0E7EC02C">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邮箱：________</w:t>
      </w:r>
    </w:p>
    <w:p w14:paraId="4CFB681A">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地址：________</w:t>
      </w:r>
    </w:p>
    <w:p w14:paraId="5BB25F15">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8.4  协议生效：本协议自双方签字（乙方按手印）、甲方盖章之日起生效，一式两份，甲乙双方各执一份，具有同等法律效力，均作为双方权利义务的依据。</w:t>
      </w:r>
    </w:p>
    <w:p w14:paraId="41F1C54B">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8.5  补充约定：本协议未尽事宜，双方可另行签订补充协议，补充协议与本协议具有同等法律效力。</w:t>
      </w:r>
    </w:p>
    <w:p w14:paraId="56CE3C92">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（以下无正文）</w:t>
      </w:r>
    </w:p>
    <w:p w14:paraId="5C2093CB">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p>
    <w:p w14:paraId="782B1482">
      <w:pPr>
        <w:keepNext w:val="0"/>
        <w:keepLines w:val="0"/>
        <w:pageBreakBefore w:val="0"/>
        <w:widowControl w:val="0"/>
        <w:kinsoku/>
        <w:wordWrap/>
        <w:overflowPunct/>
        <w:topLinePunct w:val="0"/>
        <w:autoSpaceDE/>
        <w:autoSpaceDN/>
        <w:bidi w:val="0"/>
        <w:adjustRightInd/>
        <w:snapToGrid/>
        <w:spacing w:before="120" w:after="120" w:line="480" w:lineRule="exact"/>
        <w:ind w:left="0" w:firstLine="560" w:firstLineChars="200"/>
        <w:jc w:val="left"/>
        <w:textAlignment w:val="auto"/>
        <w:rPr>
          <w:rFonts w:hint="eastAsia" w:ascii="仿宋" w:hAnsi="仿宋" w:eastAsia="仿宋" w:cs="仿宋"/>
          <w:sz w:val="28"/>
          <w:szCs w:val="28"/>
        </w:rPr>
      </w:pPr>
    </w:p>
    <w:p w14:paraId="6D819CFA">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甲方（盖章）： ________</w:t>
      </w:r>
    </w:p>
    <w:p w14:paraId="7AF68040">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日期： 2026年</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月</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日</w:t>
      </w:r>
    </w:p>
    <w:p w14:paraId="14BA83AC">
      <w:pPr>
        <w:spacing w:before="120" w:after="120" w:line="288" w:lineRule="auto"/>
        <w:ind w:left="0"/>
        <w:jc w:val="left"/>
        <w:rPr>
          <w:rFonts w:hint="eastAsia" w:ascii="仿宋" w:hAnsi="仿宋" w:eastAsia="仿宋" w:cs="仿宋"/>
          <w:sz w:val="28"/>
          <w:szCs w:val="28"/>
        </w:rPr>
      </w:pPr>
    </w:p>
    <w:p w14:paraId="252E9575">
      <w:pPr>
        <w:spacing w:before="120" w:after="120" w:line="288" w:lineRule="auto"/>
        <w:ind w:left="0"/>
        <w:jc w:val="left"/>
        <w:rPr>
          <w:rFonts w:hint="eastAsia" w:ascii="仿宋" w:hAnsi="仿宋" w:eastAsia="仿宋" w:cs="仿宋"/>
          <w:sz w:val="28"/>
          <w:szCs w:val="28"/>
        </w:rPr>
      </w:pPr>
    </w:p>
    <w:p w14:paraId="04B9923A">
      <w:pPr>
        <w:spacing w:before="120" w:after="120" w:line="288" w:lineRule="auto"/>
        <w:ind w:left="0"/>
        <w:jc w:val="left"/>
        <w:rPr>
          <w:rFonts w:hint="eastAsia" w:ascii="仿宋" w:hAnsi="仿宋" w:eastAsia="仿宋" w:cs="仿宋"/>
          <w:sz w:val="28"/>
          <w:szCs w:val="28"/>
        </w:rPr>
      </w:pPr>
      <w:r>
        <w:rPr>
          <w:rFonts w:hint="eastAsia" w:ascii="仿宋" w:hAnsi="仿宋" w:eastAsia="仿宋" w:cs="仿宋"/>
          <w:sz w:val="28"/>
          <w:szCs w:val="28"/>
        </w:rPr>
        <w:t>乙方（签字并按手印）： ________</w:t>
      </w:r>
    </w:p>
    <w:p w14:paraId="6357DA04">
      <w:pPr>
        <w:spacing w:before="120" w:after="120" w:line="288" w:lineRule="auto"/>
        <w:ind w:left="0"/>
        <w:jc w:val="left"/>
      </w:pPr>
      <w:r>
        <w:rPr>
          <w:rFonts w:hint="eastAsia" w:ascii="仿宋" w:hAnsi="仿宋" w:eastAsia="仿宋" w:cs="仿宋"/>
          <w:sz w:val="28"/>
          <w:szCs w:val="28"/>
        </w:rPr>
        <w:t>日期： 2026年</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月</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日</w:t>
      </w:r>
    </w:p>
    <w:sectPr>
      <w:headerReference r:id="rId3" w:type="default"/>
      <w:footerReference r:id="rId4" w:type="default"/>
      <w:pgSz w:w="11905" w:h="16840"/>
      <w:pgMar w:top="1270" w:right="1179" w:bottom="1270" w:left="1349"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3AA5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7B9E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2D4D1C"/>
    <w:rsid w:val="18726FE3"/>
    <w:rsid w:val="246876EA"/>
    <w:rsid w:val="7BA914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3928</Words>
  <Characters>4254</Characters>
  <TotalTime>15</TotalTime>
  <ScaleCrop>false</ScaleCrop>
  <LinksUpToDate>false</LinksUpToDate>
  <CharactersWithSpaces>4321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2026-04-24T16:29:00Z</dcterms:created>
  <dc:creator>Apache POI</dc:creator>
  <cp:lastModifiedBy>千铝考勤19195603412</cp:lastModifiedBy>
  <dcterms:modified xsi:type="dcterms:W3CDTF">2026-04-30T07:27:08Z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eyJoZGlkIjoiNTVhMjViOTZmOGNkYTI0MWI1ZWM0YWQxMDRiYjFiNDYiLCJ1c2VySWQiOiIxNzE3OTA5NzI1In0=</vt:lpwstr>
  </property>
  <property fmtid="{D5CDD505-2E9C-101B-9397-08002B2CF9AE}" pid="3" name="KSOProductBuildVer">
    <vt:lpwstr>2052-12.1.0.25865</vt:lpwstr>
  </property>
  <property fmtid="{D5CDD505-2E9C-101B-9397-08002B2CF9AE}" pid="4" name="ICV">
    <vt:lpwstr>0EFC2920F97D4F2DB9E45348FAE5962F_13</vt:lpwstr>
  </property>
</Properties>
</file>