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509A" w14:textId="461C1A30" w:rsidR="00EC7577" w:rsidRPr="00EC7577" w:rsidRDefault="00000000" w:rsidP="00EC7577">
      <w:pPr>
        <w:spacing w:line="480" w:lineRule="auto"/>
        <w:rPr>
          <w:rFonts w:cs="Times New Roman"/>
          <w:b/>
          <w:bCs/>
          <w:szCs w:val="24"/>
        </w:rPr>
      </w:pPr>
      <w:r w:rsidRPr="00EC7577">
        <w:rPr>
          <w:rFonts w:cs="Times New Roman"/>
          <w:b/>
          <w:bCs/>
          <w:szCs w:val="24"/>
        </w:rPr>
        <w:t>Damien Dennis</w:t>
      </w:r>
    </w:p>
    <w:p w14:paraId="293A6848" w14:textId="77777777" w:rsidR="00EC7577" w:rsidRPr="00EC7577" w:rsidRDefault="00EC7577" w:rsidP="00EC7577">
      <w:pPr>
        <w:spacing w:line="480" w:lineRule="auto"/>
        <w:jc w:val="center"/>
        <w:rPr>
          <w:rFonts w:cs="Times New Roman"/>
          <w:b/>
          <w:bCs/>
          <w:szCs w:val="24"/>
        </w:rPr>
      </w:pPr>
      <w:r w:rsidRPr="00EC7577">
        <w:rPr>
          <w:rFonts w:cs="Times New Roman"/>
          <w:b/>
          <w:bCs/>
          <w:szCs w:val="24"/>
        </w:rPr>
        <w:t>Enhancement One: Software Design and Engineering</w:t>
      </w:r>
    </w:p>
    <w:p w14:paraId="7E4C394A" w14:textId="0382063B" w:rsidR="002008AC" w:rsidRPr="00A75D6C" w:rsidRDefault="00000000" w:rsidP="00EC7577">
      <w:pPr>
        <w:spacing w:line="480" w:lineRule="auto"/>
        <w:rPr>
          <w:rFonts w:cs="Times New Roman"/>
          <w:b/>
          <w:bCs/>
          <w:szCs w:val="24"/>
        </w:rPr>
      </w:pPr>
      <w:r w:rsidRPr="00A75D6C">
        <w:rPr>
          <w:rFonts w:cs="Times New Roman"/>
          <w:b/>
          <w:bCs/>
          <w:szCs w:val="24"/>
        </w:rPr>
        <w:t>Artifact Description</w:t>
      </w:r>
    </w:p>
    <w:p w14:paraId="5EA6B573" w14:textId="77777777" w:rsidR="00A75D6C" w:rsidRPr="00A75D6C" w:rsidRDefault="00A75D6C" w:rsidP="00A75D6C">
      <w:pPr>
        <w:spacing w:after="0" w:line="480" w:lineRule="auto"/>
        <w:ind w:firstLine="720"/>
        <w:rPr>
          <w:rFonts w:cs="Times New Roman"/>
          <w:szCs w:val="24"/>
        </w:rPr>
      </w:pPr>
      <w:r w:rsidRPr="00A75D6C">
        <w:rPr>
          <w:rFonts w:cs="Times New Roman"/>
          <w:szCs w:val="24"/>
        </w:rPr>
        <w:t>The artifact I selected for this enhancement is ClaimIntel, an AI powered claims intelligence platform built to support insurance professionals during claim review. The application accepts claim documents, organizes relevant information, surfaces details that still need attention, generates structured claim analysis, and allows users to save, revisit, and export reports. I originally created ClaimIntel in 2026 using Base44 and later exported the application into a React and Vite codebase so I could examine and strengthen the underlying software architecture.</w:t>
      </w:r>
    </w:p>
    <w:p w14:paraId="3C8BE78D" w14:textId="77777777" w:rsidR="00A75D6C" w:rsidRPr="00A75D6C" w:rsidRDefault="00A75D6C" w:rsidP="00A75D6C">
      <w:pPr>
        <w:spacing w:after="0" w:line="480" w:lineRule="auto"/>
        <w:ind w:firstLine="720"/>
        <w:rPr>
          <w:rFonts w:cs="Times New Roman"/>
          <w:szCs w:val="24"/>
        </w:rPr>
      </w:pPr>
      <w:r w:rsidRPr="00A75D6C">
        <w:rPr>
          <w:rFonts w:cs="Times New Roman"/>
          <w:szCs w:val="24"/>
        </w:rPr>
        <w:t>ClaimIntel grew out of my professional experience in insurance claims combined with my computer science education. The platform is designed to support, rather than replace, professional judgment. Its purpose is to improve consistency, transparency, and organization while keeping claim decisions firmly under human control. Because the project brings together a real industry problem and a functioning software product, it offers a strong foundation for showing growth across software engineering, algorithms and data structures, and databases.</w:t>
      </w:r>
    </w:p>
    <w:p w14:paraId="5E3EDFD7" w14:textId="77777777" w:rsidR="00A75D6C" w:rsidRPr="00A75D6C" w:rsidRDefault="00A75D6C" w:rsidP="00A75D6C">
      <w:pPr>
        <w:spacing w:after="0" w:line="480" w:lineRule="auto"/>
        <w:rPr>
          <w:rFonts w:cs="Times New Roman"/>
          <w:szCs w:val="24"/>
        </w:rPr>
      </w:pPr>
      <w:r w:rsidRPr="00A75D6C">
        <w:rPr>
          <w:rFonts w:cs="Times New Roman"/>
          <w:b/>
          <w:bCs/>
          <w:szCs w:val="24"/>
        </w:rPr>
        <w:t>Justification for Inclusion in the ePortfolio</w:t>
      </w:r>
    </w:p>
    <w:p w14:paraId="2D1E3038" w14:textId="77777777" w:rsidR="00A75D6C" w:rsidRPr="00A75D6C" w:rsidRDefault="00A75D6C" w:rsidP="00A75D6C">
      <w:pPr>
        <w:spacing w:after="0" w:line="480" w:lineRule="auto"/>
        <w:ind w:firstLine="720"/>
        <w:rPr>
          <w:rFonts w:cs="Times New Roman"/>
          <w:szCs w:val="24"/>
        </w:rPr>
      </w:pPr>
      <w:r w:rsidRPr="00A75D6C">
        <w:rPr>
          <w:rFonts w:cs="Times New Roman"/>
          <w:szCs w:val="24"/>
        </w:rPr>
        <w:t xml:space="preserve">I chose ClaimIntel for my ePortfolio because it represents the clearest connection between my professional background and the technical skills I developed throughout the Computer Science program. The application is not a disconnected classroom exercise. It addresses situations I have seen firsthand in claim operations, including uneven review practices, </w:t>
      </w:r>
      <w:r w:rsidRPr="00A75D6C">
        <w:rPr>
          <w:rFonts w:cs="Times New Roman"/>
          <w:szCs w:val="24"/>
        </w:rPr>
        <w:lastRenderedPageBreak/>
        <w:t>fragmented information, evidence gaps, repeated document analysis, and differences between what appears on screen and what makes it into exported reports.</w:t>
      </w:r>
    </w:p>
    <w:p w14:paraId="7A2CAA82" w14:textId="77777777" w:rsidR="00A75D6C" w:rsidRPr="00A75D6C" w:rsidRDefault="00A75D6C" w:rsidP="00A75D6C">
      <w:pPr>
        <w:spacing w:after="0" w:line="480" w:lineRule="auto"/>
        <w:ind w:firstLine="720"/>
        <w:rPr>
          <w:rFonts w:cs="Times New Roman"/>
          <w:szCs w:val="24"/>
        </w:rPr>
      </w:pPr>
      <w:r w:rsidRPr="00A75D6C">
        <w:rPr>
          <w:rFonts w:cs="Times New Roman"/>
          <w:szCs w:val="24"/>
        </w:rPr>
        <w:t>The original application demonstrated my ability to build a functional user experience, connect application features to an AI service, manage claim records, and produce reports. As the project matured, I recognized an opportunity to refine the claim review workflow, since the NewClaimReview component was carrying a wide range of responsibilities: interface state, prompt construction, response schema configuration, file processing, AI orchestration, persistence, audit logging, and error handling all in one place. The application worked well, and this next step gave me a chance to make the code even easier to maintain, test, reuse, and expand going forward.</w:t>
      </w:r>
    </w:p>
    <w:p w14:paraId="1E963916" w14:textId="77777777" w:rsidR="00A75D6C" w:rsidRPr="00A75D6C" w:rsidRDefault="00A75D6C" w:rsidP="00A75D6C">
      <w:pPr>
        <w:spacing w:after="0" w:line="480" w:lineRule="auto"/>
        <w:ind w:firstLine="720"/>
        <w:rPr>
          <w:rFonts w:cs="Times New Roman"/>
          <w:szCs w:val="24"/>
        </w:rPr>
      </w:pPr>
      <w:r w:rsidRPr="00A75D6C">
        <w:rPr>
          <w:rFonts w:cs="Times New Roman"/>
          <w:szCs w:val="24"/>
        </w:rPr>
        <w:t>The software engineering enhancement improved the artifact by distributing these responsibilities into focused modules. Prompt and response configuration now live in a centralized claim review configuration file. Claim creation, AI analysis, status updates, persistence, and auditing moved into a claim review service. Document upload, file validation, extraction, and OCR related processing moved into a document processing service. Validation rules and application errors were also standardized in their own dedicated modules. As a measurable result, the NewClaimReview page was reduced from approximately 483 lines to about 223 lines and now focuses primarily on presentation and user interaction.</w:t>
      </w:r>
    </w:p>
    <w:p w14:paraId="0418BE36" w14:textId="77777777" w:rsidR="00A75D6C" w:rsidRPr="00A75D6C" w:rsidRDefault="00A75D6C" w:rsidP="00A75D6C">
      <w:pPr>
        <w:spacing w:after="0" w:line="480" w:lineRule="auto"/>
        <w:ind w:firstLine="720"/>
        <w:rPr>
          <w:rFonts w:cs="Times New Roman"/>
          <w:szCs w:val="24"/>
        </w:rPr>
      </w:pPr>
      <w:r w:rsidRPr="00A75D6C">
        <w:rPr>
          <w:rFonts w:cs="Times New Roman"/>
          <w:szCs w:val="24"/>
        </w:rPr>
        <w:t xml:space="preserve">I also introduced an advisory Claim Readiness Check that distinguishes required issues from advisory warnings. Required information can pause an incomplete review until it is addressed, while advisory warnings let the analysis proceed when sufficient verified information is already available. This design reflects how claim professionals actually work: information </w:t>
      </w:r>
      <w:r w:rsidRPr="00A75D6C">
        <w:rPr>
          <w:rFonts w:cs="Times New Roman"/>
          <w:szCs w:val="24"/>
        </w:rPr>
        <w:lastRenderedPageBreak/>
        <w:t>gaps should be visible and actionable, while the system continues to support useful analysis whenever possible.</w:t>
      </w:r>
    </w:p>
    <w:p w14:paraId="4445E074" w14:textId="77777777" w:rsidR="00A75D6C" w:rsidRPr="00A75D6C" w:rsidRDefault="00A75D6C" w:rsidP="00A75D6C">
      <w:pPr>
        <w:spacing w:after="0" w:line="480" w:lineRule="auto"/>
        <w:ind w:firstLine="720"/>
        <w:rPr>
          <w:rFonts w:cs="Times New Roman"/>
          <w:szCs w:val="24"/>
        </w:rPr>
      </w:pPr>
      <w:r w:rsidRPr="00A75D6C">
        <w:rPr>
          <w:rFonts w:cs="Times New Roman"/>
          <w:szCs w:val="24"/>
        </w:rPr>
        <w:t>Another meaningful improvement was the creation of a canonical report model. Previously, the on screen report, clipboard output, text export, PDF export, and Word export each assembled information independently, which introduced the possibility that different versions of the same report could vary slightly. The enhanced version now prepares claim identity, report metadata, overview fields, active sections, readiness information, and reviewer notes through one structured model, and every presentation or export method draws from that shared source.</w:t>
      </w:r>
    </w:p>
    <w:p w14:paraId="47C09CE1" w14:textId="77777777" w:rsidR="00A75D6C" w:rsidRPr="00A75D6C" w:rsidRDefault="00A75D6C" w:rsidP="00A75D6C">
      <w:pPr>
        <w:spacing w:after="0" w:line="480" w:lineRule="auto"/>
        <w:ind w:firstLine="720"/>
        <w:rPr>
          <w:rFonts w:cs="Times New Roman"/>
          <w:szCs w:val="24"/>
        </w:rPr>
      </w:pPr>
      <w:r w:rsidRPr="00A75D6C">
        <w:rPr>
          <w:rFonts w:cs="Times New Roman"/>
          <w:szCs w:val="24"/>
        </w:rPr>
        <w:t>Additional improvements include centralized report loading and archive operations, consistent recovery messaging, file size and supported format checks, refined uploader markup, application versioning, and centralized founder attribution. I also replaced the generic project documentation with a professional README, architecture overview, system workflow, change log, enhancement summary, and an engineering decision record. Decision 001 documents the reasoning behind separating the original claim review workflow and records the benefits and trade offs of that decision.</w:t>
      </w:r>
    </w:p>
    <w:p w14:paraId="434F3C4E" w14:textId="77777777" w:rsidR="00A75D6C" w:rsidRPr="00A75D6C" w:rsidRDefault="00A75D6C" w:rsidP="00A75D6C">
      <w:pPr>
        <w:spacing w:after="0" w:line="480" w:lineRule="auto"/>
        <w:rPr>
          <w:rFonts w:cs="Times New Roman"/>
          <w:szCs w:val="24"/>
        </w:rPr>
      </w:pPr>
      <w:r w:rsidRPr="00A75D6C">
        <w:rPr>
          <w:rFonts w:cs="Times New Roman"/>
          <w:b/>
          <w:bCs/>
          <w:szCs w:val="24"/>
        </w:rPr>
        <w:t>Course Outcome Coverage</w:t>
      </w:r>
    </w:p>
    <w:p w14:paraId="51C94AA3" w14:textId="77777777" w:rsidR="00A75D6C" w:rsidRPr="00A75D6C" w:rsidRDefault="00A75D6C" w:rsidP="00A75D6C">
      <w:pPr>
        <w:spacing w:after="0" w:line="480" w:lineRule="auto"/>
        <w:ind w:firstLine="720"/>
        <w:rPr>
          <w:rFonts w:cs="Times New Roman"/>
          <w:szCs w:val="24"/>
        </w:rPr>
      </w:pPr>
      <w:r w:rsidRPr="00A75D6C">
        <w:rPr>
          <w:rFonts w:cs="Times New Roman"/>
          <w:szCs w:val="24"/>
        </w:rPr>
        <w:t>This enhancement made strong progress toward the course outcome requiring the use of well founded and innovative computing techniques, skills, and tools to implement solutions that deliver value and accomplish industry specific goals. ClaimIntel uses React, Vite, the Base44 SDK, modular services, centralized configuration, structured validation, reusable report data, and version control to support a practical insurance workflow. Each change was chosen to strengthen the long term value of the application, going beyond surface level appearance.</w:t>
      </w:r>
    </w:p>
    <w:p w14:paraId="324121F0" w14:textId="77777777" w:rsidR="00A75D6C" w:rsidRPr="00A75D6C" w:rsidRDefault="00A75D6C" w:rsidP="00A75D6C">
      <w:pPr>
        <w:spacing w:after="0" w:line="480" w:lineRule="auto"/>
        <w:ind w:firstLine="720"/>
        <w:rPr>
          <w:rFonts w:cs="Times New Roman"/>
          <w:szCs w:val="24"/>
        </w:rPr>
      </w:pPr>
      <w:r w:rsidRPr="00A75D6C">
        <w:rPr>
          <w:rFonts w:cs="Times New Roman"/>
          <w:szCs w:val="24"/>
        </w:rPr>
        <w:lastRenderedPageBreak/>
        <w:t>The enhancement also supports the professional communication outcome. The repository now explains the architecture, workflow, engineering decisions, enhancement scope, and release history in a way that instructors, developers, technical reviewers, and potential employers can all follow. The application identity is presented consistently as ClaimIntel version 1.0.0 beta, designed and engineered by Damien Dennis, Founder and Lead Software Engineer.</w:t>
      </w:r>
    </w:p>
    <w:p w14:paraId="07BFBC0C" w14:textId="77777777" w:rsidR="00A75D6C" w:rsidRPr="00A75D6C" w:rsidRDefault="00A75D6C" w:rsidP="00A75D6C">
      <w:pPr>
        <w:spacing w:after="0" w:line="480" w:lineRule="auto"/>
        <w:ind w:firstLine="720"/>
        <w:rPr>
          <w:rFonts w:cs="Times New Roman"/>
          <w:szCs w:val="24"/>
        </w:rPr>
      </w:pPr>
      <w:r w:rsidRPr="00A75D6C">
        <w:rPr>
          <w:rFonts w:cs="Times New Roman"/>
          <w:szCs w:val="24"/>
        </w:rPr>
        <w:t>Progress was also made toward the security mindset outcome. File uploads now receive clearer validation, application errors are normalized before they reach users, and technical failures are kept separate from safe, user facing messages. These changes strengthen the application's ability to protect implementation details and recover gracefully from invalid or unreadable input.</w:t>
      </w:r>
    </w:p>
    <w:p w14:paraId="619DD340" w14:textId="77777777" w:rsidR="00A75D6C" w:rsidRPr="00A75D6C" w:rsidRDefault="00A75D6C" w:rsidP="00A75D6C">
      <w:pPr>
        <w:spacing w:after="0" w:line="480" w:lineRule="auto"/>
        <w:ind w:firstLine="720"/>
        <w:rPr>
          <w:rFonts w:cs="Times New Roman"/>
          <w:szCs w:val="24"/>
        </w:rPr>
      </w:pPr>
      <w:r w:rsidRPr="00A75D6C">
        <w:rPr>
          <w:rFonts w:cs="Times New Roman"/>
          <w:szCs w:val="24"/>
        </w:rPr>
        <w:t>My outcome coverage plan remains consistent with the plan I outlined in Module One. Milestone Two focuses on software design and engineering. I intentionally kept liability scoring, venue analysis, exposure calculations, and other decision logic out of scope here, since those enhancements belong to the algorithms and data structures category. Likewise, a major database redesign was set aside, since persistence, relationships, indexing, and historical intelligence will be addressed in the database enhancement. Keeping these boundaries clear allows each milestone to demonstrate a distinct category of improvement rather than revisiting the same change under multiple labels.</w:t>
      </w:r>
    </w:p>
    <w:p w14:paraId="7EBE359B" w14:textId="6C413EB1" w:rsidR="00A75D6C" w:rsidRPr="00A75D6C" w:rsidRDefault="00A75D6C" w:rsidP="00A75D6C">
      <w:pPr>
        <w:spacing w:after="0" w:line="480" w:lineRule="auto"/>
        <w:rPr>
          <w:rFonts w:cs="Times New Roman"/>
          <w:szCs w:val="24"/>
        </w:rPr>
      </w:pPr>
      <w:r w:rsidRPr="00A75D6C">
        <w:rPr>
          <w:rFonts w:cs="Times New Roman"/>
          <w:b/>
          <w:bCs/>
          <w:szCs w:val="24"/>
        </w:rPr>
        <w:t>Reflection on the Enhancement Process</w:t>
      </w:r>
    </w:p>
    <w:p w14:paraId="621B8912" w14:textId="77777777" w:rsidR="00A75D6C" w:rsidRPr="00A75D6C" w:rsidRDefault="00A75D6C" w:rsidP="00A75D6C">
      <w:pPr>
        <w:spacing w:after="0" w:line="480" w:lineRule="auto"/>
        <w:ind w:firstLine="720"/>
        <w:rPr>
          <w:rFonts w:cs="Times New Roman"/>
          <w:szCs w:val="24"/>
        </w:rPr>
      </w:pPr>
      <w:r w:rsidRPr="00A75D6C">
        <w:rPr>
          <w:rFonts w:cs="Times New Roman"/>
          <w:szCs w:val="24"/>
        </w:rPr>
        <w:t xml:space="preserve">The most valuable lesson from this enhancement was that working software and well engineered software are two different achievements, both worth pursuing. The original application completed the claim review workflow successfully, and reviewing the exported code showed me how naturally a page component can accumulate responsibilities as a project grows. </w:t>
      </w:r>
      <w:r w:rsidRPr="00A75D6C">
        <w:rPr>
          <w:rFonts w:cs="Times New Roman"/>
          <w:szCs w:val="24"/>
        </w:rPr>
        <w:lastRenderedPageBreak/>
        <w:t>Redistributing those responsibilities meant looking beyond whether a feature worked and considering where each responsibility truly belonged, how data should move through the application, and how future changes could be made smoothly and consistently.</w:t>
      </w:r>
    </w:p>
    <w:p w14:paraId="55666ADA" w14:textId="77777777" w:rsidR="00A75D6C" w:rsidRPr="00A75D6C" w:rsidRDefault="00A75D6C" w:rsidP="00A75D6C">
      <w:pPr>
        <w:spacing w:after="0" w:line="480" w:lineRule="auto"/>
        <w:ind w:firstLine="720"/>
        <w:rPr>
          <w:rFonts w:cs="Times New Roman"/>
          <w:szCs w:val="24"/>
        </w:rPr>
      </w:pPr>
      <w:r w:rsidRPr="00A75D6C">
        <w:rPr>
          <w:rFonts w:cs="Times New Roman"/>
          <w:szCs w:val="24"/>
        </w:rPr>
        <w:t>The report refactor reinforced the value of a single source of truth. It would have been easy to treat the screen, PDF, Word document, text file, and clipboard output as separate features. In practice, they are different presentations of the same report. Centralizing the report model reduced duplication and made the system easier to reason about, and this is a design principle I plan to carry into future projects whenever multiple interfaces depend on the same underlying data.</w:t>
      </w:r>
    </w:p>
    <w:p w14:paraId="551E1BF0" w14:textId="77777777" w:rsidR="00A75D6C" w:rsidRPr="00A75D6C" w:rsidRDefault="00A75D6C" w:rsidP="00A75D6C">
      <w:pPr>
        <w:spacing w:after="0" w:line="480" w:lineRule="auto"/>
        <w:ind w:firstLine="720"/>
        <w:rPr>
          <w:rFonts w:cs="Times New Roman"/>
          <w:szCs w:val="24"/>
        </w:rPr>
      </w:pPr>
      <w:r w:rsidRPr="00A75D6C">
        <w:rPr>
          <w:rFonts w:cs="Times New Roman"/>
          <w:szCs w:val="24"/>
        </w:rPr>
        <w:t>One interesting decision was determining how far to take the refactor. Some generated interface files and export adapters remain relatively large by design. Splitting every large file would have added unnecessary change and risk without clearly benefiting this milestone. I learned that thoughtful engineering is measured less by the number of files created or the volume of code rewritten, and more by choosing changes that reduce meaningful risk while delivering a clear benefit.</w:t>
      </w:r>
    </w:p>
    <w:p w14:paraId="7F22B1DB" w14:textId="77777777" w:rsidR="00A75D6C" w:rsidRPr="00A75D6C" w:rsidRDefault="00A75D6C" w:rsidP="00A75D6C">
      <w:pPr>
        <w:spacing w:after="0" w:line="480" w:lineRule="auto"/>
        <w:ind w:firstLine="720"/>
        <w:rPr>
          <w:rFonts w:cs="Times New Roman"/>
          <w:szCs w:val="24"/>
        </w:rPr>
      </w:pPr>
      <w:r w:rsidRPr="00A75D6C">
        <w:rPr>
          <w:rFonts w:cs="Times New Roman"/>
          <w:szCs w:val="24"/>
        </w:rPr>
        <w:t>Another important step was confirming that the enhancement preserved the integrity of the existing application. I kept the original source code on the main branch and created a separate milestone2 software engineering branch for the enhanced version. The enhanced branch sits one commit ahead of the original and contains focused additions and refinements while keeping the original project structure intact. I ran ESLint and completed a production build before packaging and releasing the work. The build process also surfaced a small integration mismatch in the error handling service, which I resolved before finalizing the release, a good reminder of the value of validation checkpoints even when individual changes seem sound on their own.</w:t>
      </w:r>
    </w:p>
    <w:p w14:paraId="710E1F6F" w14:textId="3321770F" w:rsidR="00A75D6C" w:rsidRDefault="00A75D6C" w:rsidP="00A75D6C">
      <w:pPr>
        <w:spacing w:after="0" w:line="480" w:lineRule="auto"/>
        <w:ind w:firstLine="720"/>
        <w:rPr>
          <w:rFonts w:cs="Times New Roman"/>
          <w:szCs w:val="24"/>
        </w:rPr>
      </w:pPr>
      <w:r w:rsidRPr="00A75D6C">
        <w:rPr>
          <w:rFonts w:cs="Times New Roman"/>
          <w:szCs w:val="24"/>
        </w:rPr>
        <w:lastRenderedPageBreak/>
        <w:t>Overall, this enhancement evolved ClaimIntel from a functional application into a more mature, well-documented software project with a clearer architecture, stronger maintainability, and improved engineering practices.</w:t>
      </w:r>
      <w:r>
        <w:rPr>
          <w:rFonts w:cs="Times New Roman"/>
          <w:szCs w:val="24"/>
        </w:rPr>
        <w:t xml:space="preserve"> </w:t>
      </w:r>
      <w:r w:rsidRPr="00A75D6C">
        <w:rPr>
          <w:rFonts w:cs="Times New Roman"/>
          <w:szCs w:val="24"/>
        </w:rPr>
        <w:t>The application now has clearer separation of concerns, more consistent validation and error handling, a unified reporting model, stronger repository documentation, and a traceable Git history. The process deepened my understanding of modular design, service oriented organization, configuration management, software documentation, version control, and the trade offs involved in evolving an existing system.</w:t>
      </w:r>
    </w:p>
    <w:p w14:paraId="70EB61F2" w14:textId="77777777" w:rsidR="00A75D6C" w:rsidRDefault="00A75D6C" w:rsidP="00A75D6C">
      <w:pPr>
        <w:spacing w:after="0" w:line="480" w:lineRule="auto"/>
        <w:ind w:firstLine="720"/>
        <w:rPr>
          <w:rFonts w:cs="Times New Roman"/>
          <w:szCs w:val="24"/>
        </w:rPr>
      </w:pPr>
    </w:p>
    <w:p w14:paraId="02D15161" w14:textId="3C0EB823" w:rsidR="00A75D6C" w:rsidRPr="00A75D6C" w:rsidRDefault="00A75D6C" w:rsidP="00A75D6C">
      <w:pPr>
        <w:spacing w:after="0" w:line="480" w:lineRule="auto"/>
        <w:rPr>
          <w:rFonts w:cs="Times New Roman"/>
          <w:b/>
          <w:bCs/>
          <w:szCs w:val="24"/>
        </w:rPr>
      </w:pPr>
      <w:r w:rsidRPr="00A75D6C">
        <w:rPr>
          <w:rFonts w:cs="Times New Roman"/>
          <w:b/>
          <w:bCs/>
          <w:szCs w:val="24"/>
        </w:rPr>
        <w:t xml:space="preserve">References </w:t>
      </w:r>
    </w:p>
    <w:p w14:paraId="18C16B46" w14:textId="77777777" w:rsidR="00A75D6C" w:rsidRPr="00A75D6C" w:rsidRDefault="00A75D6C" w:rsidP="00A75D6C">
      <w:pPr>
        <w:spacing w:after="0" w:line="480" w:lineRule="auto"/>
        <w:rPr>
          <w:rFonts w:cs="Times New Roman"/>
          <w:szCs w:val="24"/>
        </w:rPr>
      </w:pPr>
      <w:r w:rsidRPr="00A75D6C">
        <w:rPr>
          <w:rFonts w:cs="Times New Roman"/>
          <w:szCs w:val="24"/>
        </w:rPr>
        <w:t xml:space="preserve">Bass, L., Clements, P., &amp; Kazman, R. (2022). </w:t>
      </w:r>
      <w:r w:rsidRPr="00A75D6C">
        <w:rPr>
          <w:rFonts w:cs="Times New Roman"/>
          <w:i/>
          <w:iCs/>
          <w:szCs w:val="24"/>
        </w:rPr>
        <w:t>Software architecture in practice</w:t>
      </w:r>
      <w:r w:rsidRPr="00A75D6C">
        <w:rPr>
          <w:rFonts w:cs="Times New Roman"/>
          <w:szCs w:val="24"/>
        </w:rPr>
        <w:t xml:space="preserve"> (4th ed.). Addison-Wesley.</w:t>
      </w:r>
    </w:p>
    <w:p w14:paraId="4F3D2496" w14:textId="77777777" w:rsidR="00A75D6C" w:rsidRPr="00A75D6C" w:rsidRDefault="00A75D6C" w:rsidP="00A75D6C">
      <w:pPr>
        <w:spacing w:after="0" w:line="480" w:lineRule="auto"/>
        <w:rPr>
          <w:rFonts w:cs="Times New Roman"/>
          <w:szCs w:val="24"/>
        </w:rPr>
      </w:pPr>
      <w:r w:rsidRPr="00A75D6C">
        <w:rPr>
          <w:rFonts w:cs="Times New Roman"/>
          <w:szCs w:val="24"/>
        </w:rPr>
        <w:t xml:space="preserve">Martin, R. C. (2018). </w:t>
      </w:r>
      <w:r w:rsidRPr="00A75D6C">
        <w:rPr>
          <w:rFonts w:cs="Times New Roman"/>
          <w:i/>
          <w:iCs/>
          <w:szCs w:val="24"/>
        </w:rPr>
        <w:t>Clean architecture: A craftsman's guide to software structure and design</w:t>
      </w:r>
      <w:r w:rsidRPr="00A75D6C">
        <w:rPr>
          <w:rFonts w:cs="Times New Roman"/>
          <w:szCs w:val="24"/>
        </w:rPr>
        <w:t>. Pearson.</w:t>
      </w:r>
    </w:p>
    <w:p w14:paraId="77B16542" w14:textId="77777777" w:rsidR="00A75D6C" w:rsidRPr="00A75D6C" w:rsidRDefault="00A75D6C" w:rsidP="00A75D6C">
      <w:pPr>
        <w:spacing w:after="0" w:line="480" w:lineRule="auto"/>
        <w:rPr>
          <w:rFonts w:cs="Times New Roman"/>
          <w:szCs w:val="24"/>
        </w:rPr>
      </w:pPr>
      <w:r w:rsidRPr="00A75D6C">
        <w:rPr>
          <w:rFonts w:cs="Times New Roman"/>
          <w:szCs w:val="24"/>
        </w:rPr>
        <w:t xml:space="preserve">Pressman, R. S., &amp; Maxim, B. R. (2020). </w:t>
      </w:r>
      <w:r w:rsidRPr="00A75D6C">
        <w:rPr>
          <w:rFonts w:cs="Times New Roman"/>
          <w:i/>
          <w:iCs/>
          <w:szCs w:val="24"/>
        </w:rPr>
        <w:t>Software engineering: A practitioner's approach</w:t>
      </w:r>
      <w:r w:rsidRPr="00A75D6C">
        <w:rPr>
          <w:rFonts w:cs="Times New Roman"/>
          <w:szCs w:val="24"/>
        </w:rPr>
        <w:t xml:space="preserve"> (9th ed.). McGraw-Hill.</w:t>
      </w:r>
    </w:p>
    <w:p w14:paraId="6DEA8669" w14:textId="77777777" w:rsidR="00A75D6C" w:rsidRPr="00A75D6C" w:rsidRDefault="00A75D6C" w:rsidP="00A75D6C">
      <w:pPr>
        <w:spacing w:after="0" w:line="480" w:lineRule="auto"/>
        <w:rPr>
          <w:rFonts w:cs="Times New Roman"/>
          <w:szCs w:val="24"/>
        </w:rPr>
      </w:pPr>
    </w:p>
    <w:p w14:paraId="51AB7DE9" w14:textId="71D3AE0A" w:rsidR="002008AC" w:rsidRPr="00EC7577" w:rsidRDefault="002008AC" w:rsidP="00EC7577">
      <w:pPr>
        <w:spacing w:after="0" w:line="480" w:lineRule="auto"/>
        <w:ind w:firstLine="720"/>
        <w:rPr>
          <w:rFonts w:cs="Times New Roman"/>
          <w:szCs w:val="24"/>
        </w:rPr>
      </w:pPr>
    </w:p>
    <w:sectPr w:rsidR="002008AC" w:rsidRPr="00EC757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0F2E6" w14:textId="77777777" w:rsidR="00BF3DD4" w:rsidRDefault="00BF3DD4">
      <w:pPr>
        <w:spacing w:after="0" w:line="240" w:lineRule="auto"/>
      </w:pPr>
      <w:r>
        <w:separator/>
      </w:r>
    </w:p>
  </w:endnote>
  <w:endnote w:type="continuationSeparator" w:id="0">
    <w:p w14:paraId="30C24C6F" w14:textId="77777777" w:rsidR="00BF3DD4" w:rsidRDefault="00BF3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5D35" w14:textId="77777777" w:rsidR="002008AC" w:rsidRDefault="00000000">
    <w:pPr>
      <w:pStyle w:val="Footer"/>
      <w:jc w:val="center"/>
    </w:pPr>
    <w:r>
      <w:fldChar w:fldCharType="begin"/>
    </w:r>
    <w:r>
      <w:instrText xml:space="preserve"> PAGE </w:instrText>
    </w:r>
    <w:r w:rsidR="00EC7577">
      <w:fldChar w:fldCharType="separate"/>
    </w:r>
    <w:r w:rsidR="00EC75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81A81" w14:textId="77777777" w:rsidR="00BF3DD4" w:rsidRDefault="00BF3DD4">
      <w:pPr>
        <w:spacing w:after="0" w:line="240" w:lineRule="auto"/>
      </w:pPr>
      <w:r>
        <w:separator/>
      </w:r>
    </w:p>
  </w:footnote>
  <w:footnote w:type="continuationSeparator" w:id="0">
    <w:p w14:paraId="7A953178" w14:textId="77777777" w:rsidR="00BF3DD4" w:rsidRDefault="00BF3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0753" w14:textId="77777777" w:rsidR="002008AC" w:rsidRDefault="00000000">
    <w:pPr>
      <w:pStyle w:val="Header"/>
      <w:jc w:val="right"/>
    </w:pPr>
    <w:r>
      <w:rPr>
        <w:sz w:val="20"/>
      </w:rPr>
      <w:t>Damien Dennis | CS 499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839166">
    <w:abstractNumId w:val="8"/>
  </w:num>
  <w:num w:numId="2" w16cid:durableId="582371893">
    <w:abstractNumId w:val="6"/>
  </w:num>
  <w:num w:numId="3" w16cid:durableId="2087992699">
    <w:abstractNumId w:val="5"/>
  </w:num>
  <w:num w:numId="4" w16cid:durableId="157506941">
    <w:abstractNumId w:val="4"/>
  </w:num>
  <w:num w:numId="5" w16cid:durableId="1764647953">
    <w:abstractNumId w:val="7"/>
  </w:num>
  <w:num w:numId="6" w16cid:durableId="725644784">
    <w:abstractNumId w:val="3"/>
  </w:num>
  <w:num w:numId="7" w16cid:durableId="1620409735">
    <w:abstractNumId w:val="2"/>
  </w:num>
  <w:num w:numId="8" w16cid:durableId="1916089076">
    <w:abstractNumId w:val="1"/>
  </w:num>
  <w:num w:numId="9" w16cid:durableId="1845781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AC"/>
    <w:rsid w:val="0029639D"/>
    <w:rsid w:val="00326F90"/>
    <w:rsid w:val="00A75D6C"/>
    <w:rsid w:val="00AA1D8D"/>
    <w:rsid w:val="00B47730"/>
    <w:rsid w:val="00BF3DD4"/>
    <w:rsid w:val="00C832F6"/>
    <w:rsid w:val="00CB0664"/>
    <w:rsid w:val="00EC75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7FFD4"/>
  <w14:defaultImageDpi w14:val="300"/>
  <w15:docId w15:val="{167310F7-44BD-4EAF-BF86-8BA5398D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 Damien</cp:lastModifiedBy>
  <cp:revision>2</cp:revision>
  <dcterms:created xsi:type="dcterms:W3CDTF">2013-12-23T23:15:00Z</dcterms:created>
  <dcterms:modified xsi:type="dcterms:W3CDTF">2026-07-15T06:25:00Z</dcterms:modified>
  <cp:category/>
</cp:coreProperties>
</file>