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747" w:rsidRDefault="00182F46" w:rsidP="00F73B96">
      <w:pPr>
        <w:pStyle w:val="Heading1"/>
        <w:spacing w:after="240" w:line="257" w:lineRule="auto"/>
      </w:pPr>
      <w:r>
        <w:t>Damian Bałdyga</w:t>
      </w:r>
      <w:bookmarkStart w:id="0" w:name="_GoBack"/>
      <w:bookmarkEnd w:id="0"/>
      <w:r w:rsidR="00E86A11">
        <w:t>, PSI, Zadanie 1</w:t>
      </w:r>
      <w:r w:rsidR="000C6747">
        <w:t>, gr. 1</w:t>
      </w:r>
    </w:p>
    <w:p w:rsidR="0048659D" w:rsidRPr="0048659D" w:rsidRDefault="0048659D" w:rsidP="0048659D">
      <w:pPr>
        <w:pStyle w:val="Heading1"/>
        <w:spacing w:after="240" w:line="257" w:lineRule="auto"/>
      </w:pPr>
      <w:r>
        <w:t>WSTĘP</w:t>
      </w:r>
    </w:p>
    <w:p w:rsidR="000C6747" w:rsidRPr="00F73B96" w:rsidRDefault="000C6747" w:rsidP="00301C8F">
      <w:pPr>
        <w:pStyle w:val="BodyText"/>
      </w:pPr>
      <w:r w:rsidRPr="00F73B96">
        <w:t xml:space="preserve">Poniżej zamieszczone są rezultaty uczenia sieci jednowarstwowej sieci „Perceptron”. Jako funkcję aktywacji zastosowaliśmy </w:t>
      </w:r>
      <w:r w:rsidR="00D92A6C" w:rsidRPr="00F73B96">
        <w:t>funkcję skoku jednostkowego dzielącą wyjścia</w:t>
      </w:r>
      <w:r w:rsidRPr="00F73B96">
        <w:t xml:space="preserve"> na 0-1. Jeśli suma iloczynów wejść oraz wag na danym neuronie była większa od zera, wtedy odpowiedź sieci wynosiła 1, a w przeciwnym wypadku zero.</w:t>
      </w:r>
      <w:r w:rsidR="00370CA5" w:rsidRPr="00F73B96">
        <w:t xml:space="preserve"> Nauczyciela ustawialiśmy w taki sposób, żeby na pierwsze wejście klasyfikował cyfrę 0, a na drugie klasyfikował cyfrę 1. </w:t>
      </w:r>
      <w:r w:rsidR="009314DF" w:rsidRPr="00F73B96">
        <w:t>Modyfikacji wag dokonywaliśmy według reguły delta.</w:t>
      </w:r>
      <w:r w:rsidR="0066571A">
        <w:t xml:space="preserve"> Początkowe wagi </w:t>
      </w:r>
      <w:r w:rsidR="00921AFD">
        <w:t>ustalaliśmy</w:t>
      </w:r>
      <w:r w:rsidR="0066571A">
        <w:t xml:space="preserve"> według stałego algorytmu zawartego w kodzie, którym będziemy się posługiwali w dalszych, następnych realizacjach</w:t>
      </w:r>
      <w:r w:rsidR="00196B04">
        <w:t xml:space="preserve"> </w:t>
      </w:r>
      <w:r w:rsidR="000839AC">
        <w:t>algorytmów</w:t>
      </w:r>
      <w:r w:rsidR="0066571A">
        <w:t xml:space="preserve"> neuronowych.</w:t>
      </w:r>
    </w:p>
    <w:p w:rsidR="000C6747" w:rsidRPr="00F73B96" w:rsidRDefault="000C6747" w:rsidP="00301C8F">
      <w:pPr>
        <w:pStyle w:val="BodyText"/>
      </w:pPr>
      <w:r w:rsidRPr="00F73B96">
        <w:t xml:space="preserve">Jako wyniki drukujemy kilka wprowadzonych wejść oraz wyniki na wyjściach dla końcowych </w:t>
      </w:r>
      <w:r w:rsidR="002A4347" w:rsidRPr="00F73B96">
        <w:t>3</w:t>
      </w:r>
      <w:r w:rsidRPr="00F73B96">
        <w:t>0 końcowych epok</w:t>
      </w:r>
      <w:r w:rsidR="004D3F19" w:rsidRPr="00F73B96">
        <w:t xml:space="preserve"> (spośród łącznej ilości 100</w:t>
      </w:r>
      <w:r w:rsidR="002A4347" w:rsidRPr="00F73B96">
        <w:t xml:space="preserve"> lub 50</w:t>
      </w:r>
      <w:r w:rsidR="004D3F19" w:rsidRPr="00F73B96">
        <w:t xml:space="preserve"> epok)</w:t>
      </w:r>
      <w:r w:rsidRPr="00F73B96">
        <w:t xml:space="preserve">. </w:t>
      </w:r>
      <w:r w:rsidR="004251F0" w:rsidRPr="00F73B96">
        <w:t>Do rezultatu dołączamy też wartości wyjść, zanim zostały zmodyfikowane funkcją aktywacji.</w:t>
      </w:r>
      <w:r w:rsidR="004D3F19" w:rsidRPr="00F73B96">
        <w:t xml:space="preserve"> Będziemy przedstawiać także współczynnik eta char</w:t>
      </w:r>
      <w:r w:rsidR="00E71565" w:rsidRPr="00F73B96">
        <w:t>akterystyczny dla danego testu.</w:t>
      </w:r>
    </w:p>
    <w:p w:rsidR="00340B5E" w:rsidRDefault="00C83073" w:rsidP="00F73B96">
      <w:r>
        <w:t>Efekty nauczania</w:t>
      </w:r>
      <w:r w:rsidR="00340B5E">
        <w:t xml:space="preserve"> są zebrane</w:t>
      </w:r>
      <w:r w:rsidR="004A41A2">
        <w:t xml:space="preserve"> w plikach „NAUKA1-NAUKA</w:t>
      </w:r>
      <w:r w:rsidR="00EE486D">
        <w:t>5” w tym samym folderze.</w:t>
      </w:r>
    </w:p>
    <w:p w:rsidR="008D14E1" w:rsidRDefault="0073029B" w:rsidP="007569D3">
      <w:pPr>
        <w:pStyle w:val="Heading1"/>
        <w:spacing w:after="240" w:line="257" w:lineRule="auto"/>
      </w:pPr>
      <w:r>
        <w:t>NAUKA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534"/>
        <w:gridCol w:w="1379"/>
        <w:gridCol w:w="1211"/>
        <w:gridCol w:w="1686"/>
        <w:gridCol w:w="1601"/>
        <w:gridCol w:w="1601"/>
      </w:tblGrid>
      <w:tr w:rsidR="00FD0943" w:rsidTr="007B1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</w:tcPr>
          <w:p w:rsidR="00FD0943" w:rsidRDefault="00FD0943" w:rsidP="007569D3">
            <w:pPr>
              <w:jc w:val="center"/>
            </w:pPr>
            <w:r>
              <w:t>Numer podejścia</w:t>
            </w:r>
          </w:p>
        </w:tc>
        <w:tc>
          <w:tcPr>
            <w:tcW w:w="1379" w:type="dxa"/>
          </w:tcPr>
          <w:p w:rsidR="00FD0943" w:rsidRDefault="00FD0943" w:rsidP="007569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Ilość epok</w:t>
            </w:r>
          </w:p>
        </w:tc>
        <w:tc>
          <w:tcPr>
            <w:tcW w:w="1211" w:type="dxa"/>
          </w:tcPr>
          <w:p w:rsidR="00FD0943" w:rsidRDefault="00FD0943" w:rsidP="007569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Czas (ms)</w:t>
            </w:r>
          </w:p>
        </w:tc>
        <w:tc>
          <w:tcPr>
            <w:tcW w:w="1686" w:type="dxa"/>
          </w:tcPr>
          <w:p w:rsidR="00FD0943" w:rsidRDefault="00FD0943" w:rsidP="007569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Współczynnik eta</w:t>
            </w:r>
          </w:p>
        </w:tc>
        <w:tc>
          <w:tcPr>
            <w:tcW w:w="1601" w:type="dxa"/>
          </w:tcPr>
          <w:p w:rsidR="00FD0943" w:rsidRDefault="0034455A" w:rsidP="007569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Obraz cyfry</w:t>
            </w:r>
            <w:r w:rsidR="00FD0943">
              <w:t xml:space="preserve"> na </w:t>
            </w:r>
            <w:r>
              <w:t>wejście</w:t>
            </w:r>
          </w:p>
        </w:tc>
        <w:tc>
          <w:tcPr>
            <w:tcW w:w="1601" w:type="dxa"/>
          </w:tcPr>
          <w:p w:rsidR="00FD0943" w:rsidRDefault="00FD0943" w:rsidP="007569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Odpowiedź neuronu</w:t>
            </w:r>
          </w:p>
        </w:tc>
      </w:tr>
      <w:tr w:rsidR="00FD0943" w:rsidTr="007B1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</w:tcPr>
          <w:p w:rsidR="00FD0943" w:rsidRPr="007569D3" w:rsidRDefault="00FD0943" w:rsidP="007569D3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379" w:type="dxa"/>
          </w:tcPr>
          <w:p w:rsidR="00FD0943" w:rsidRPr="007569D3" w:rsidRDefault="00FD0943" w:rsidP="00756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211" w:type="dxa"/>
          </w:tcPr>
          <w:p w:rsidR="00FD0943" w:rsidRDefault="00FD0943" w:rsidP="00756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392</w:t>
            </w:r>
          </w:p>
        </w:tc>
        <w:tc>
          <w:tcPr>
            <w:tcW w:w="1686" w:type="dxa"/>
          </w:tcPr>
          <w:p w:rsidR="00FD0943" w:rsidRPr="007569D3" w:rsidRDefault="00FD0943" w:rsidP="00756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601" w:type="dxa"/>
          </w:tcPr>
          <w:p w:rsidR="00FD0943" w:rsidRDefault="00885C8D" w:rsidP="003C35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01" w:type="dxa"/>
          </w:tcPr>
          <w:p w:rsidR="00FD0943" w:rsidRDefault="00FD0943" w:rsidP="003C35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 7.78002</w:t>
            </w:r>
          </w:p>
          <w:p w:rsidR="00FD0943" w:rsidRPr="007569D3" w:rsidRDefault="00FD0943" w:rsidP="003C35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-0.0349879</w:t>
            </w:r>
          </w:p>
        </w:tc>
      </w:tr>
      <w:tr w:rsidR="00FD0943" w:rsidTr="007B1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</w:tcPr>
          <w:p w:rsidR="00FD0943" w:rsidRPr="007569D3" w:rsidRDefault="00FD0943" w:rsidP="007569D3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379" w:type="dxa"/>
          </w:tcPr>
          <w:p w:rsidR="00FD0943" w:rsidRPr="007569D3" w:rsidRDefault="00FD0943" w:rsidP="00756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211" w:type="dxa"/>
          </w:tcPr>
          <w:p w:rsidR="00FD0943" w:rsidRDefault="00FD0943" w:rsidP="00756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456</w:t>
            </w:r>
          </w:p>
        </w:tc>
        <w:tc>
          <w:tcPr>
            <w:tcW w:w="1686" w:type="dxa"/>
          </w:tcPr>
          <w:p w:rsidR="00FD0943" w:rsidRPr="007569D3" w:rsidRDefault="00FD0943" w:rsidP="00756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1601" w:type="dxa"/>
          </w:tcPr>
          <w:p w:rsidR="00FD0943" w:rsidRPr="007569D3" w:rsidRDefault="00A01C30" w:rsidP="00756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01" w:type="dxa"/>
          </w:tcPr>
          <w:p w:rsidR="00A01C30" w:rsidRDefault="00A01C30" w:rsidP="00A01C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 3.86035</w:t>
            </w:r>
          </w:p>
          <w:p w:rsidR="00FD0943" w:rsidRPr="007569D3" w:rsidRDefault="00A01C30" w:rsidP="00A01C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-3.84363</w:t>
            </w:r>
          </w:p>
        </w:tc>
      </w:tr>
      <w:tr w:rsidR="00FD0943" w:rsidTr="007B1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</w:tcPr>
          <w:p w:rsidR="00FD0943" w:rsidRPr="007569D3" w:rsidRDefault="00FD0943" w:rsidP="007569D3">
            <w:p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1379" w:type="dxa"/>
          </w:tcPr>
          <w:p w:rsidR="00FD0943" w:rsidRPr="007569D3" w:rsidRDefault="00FD0943" w:rsidP="00756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211" w:type="dxa"/>
          </w:tcPr>
          <w:p w:rsidR="00FD0943" w:rsidRDefault="00FD0943" w:rsidP="00756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425</w:t>
            </w:r>
          </w:p>
        </w:tc>
        <w:tc>
          <w:tcPr>
            <w:tcW w:w="1686" w:type="dxa"/>
          </w:tcPr>
          <w:p w:rsidR="00FD0943" w:rsidRPr="007569D3" w:rsidRDefault="00FD0943" w:rsidP="00756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0.15</w:t>
            </w:r>
          </w:p>
        </w:tc>
        <w:tc>
          <w:tcPr>
            <w:tcW w:w="1601" w:type="dxa"/>
          </w:tcPr>
          <w:p w:rsidR="00FD0943" w:rsidRPr="007569D3" w:rsidRDefault="0034455A" w:rsidP="00756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01" w:type="dxa"/>
          </w:tcPr>
          <w:p w:rsidR="009524A9" w:rsidRDefault="009524A9" w:rsidP="009524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 -0.889607</w:t>
            </w:r>
          </w:p>
          <w:p w:rsidR="00FD0943" w:rsidRPr="007569D3" w:rsidRDefault="009524A9" w:rsidP="009524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0.0358385</w:t>
            </w:r>
          </w:p>
        </w:tc>
      </w:tr>
      <w:tr w:rsidR="00FD0943" w:rsidTr="007B1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</w:tcPr>
          <w:p w:rsidR="00FD0943" w:rsidRPr="007569D3" w:rsidRDefault="00FD0943" w:rsidP="007569D3">
            <w:p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379" w:type="dxa"/>
          </w:tcPr>
          <w:p w:rsidR="00FD0943" w:rsidRPr="007569D3" w:rsidRDefault="00FD0943" w:rsidP="00756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211" w:type="dxa"/>
          </w:tcPr>
          <w:p w:rsidR="00FD0943" w:rsidRDefault="00FD0943" w:rsidP="00756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389</w:t>
            </w:r>
          </w:p>
        </w:tc>
        <w:tc>
          <w:tcPr>
            <w:tcW w:w="1686" w:type="dxa"/>
          </w:tcPr>
          <w:p w:rsidR="00FD0943" w:rsidRPr="007569D3" w:rsidRDefault="00FD0943" w:rsidP="00756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0.15</w:t>
            </w:r>
          </w:p>
        </w:tc>
        <w:tc>
          <w:tcPr>
            <w:tcW w:w="1601" w:type="dxa"/>
          </w:tcPr>
          <w:p w:rsidR="00FD0943" w:rsidRPr="007569D3" w:rsidRDefault="00CC6F86" w:rsidP="00756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01" w:type="dxa"/>
          </w:tcPr>
          <w:p w:rsidR="00CC6F86" w:rsidRDefault="00CC6F86" w:rsidP="00CC6F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 -0.294717</w:t>
            </w:r>
          </w:p>
          <w:p w:rsidR="00FD0943" w:rsidRPr="007569D3" w:rsidRDefault="00CC6F86" w:rsidP="00CC6F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0.0141044</w:t>
            </w:r>
          </w:p>
        </w:tc>
      </w:tr>
      <w:tr w:rsidR="00FD0943" w:rsidTr="007B1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</w:tcPr>
          <w:p w:rsidR="00FD0943" w:rsidRPr="007569D3" w:rsidRDefault="00FD0943" w:rsidP="007569D3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1379" w:type="dxa"/>
          </w:tcPr>
          <w:p w:rsidR="00FD0943" w:rsidRPr="007569D3" w:rsidRDefault="00FD0943" w:rsidP="00756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211" w:type="dxa"/>
          </w:tcPr>
          <w:p w:rsidR="00FD0943" w:rsidRDefault="00FD0943" w:rsidP="00756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380</w:t>
            </w:r>
          </w:p>
        </w:tc>
        <w:tc>
          <w:tcPr>
            <w:tcW w:w="1686" w:type="dxa"/>
          </w:tcPr>
          <w:p w:rsidR="00FD0943" w:rsidRPr="007569D3" w:rsidRDefault="00FD0943" w:rsidP="00756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601" w:type="dxa"/>
          </w:tcPr>
          <w:p w:rsidR="00FD0943" w:rsidRPr="007569D3" w:rsidRDefault="0047710B" w:rsidP="00756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01" w:type="dxa"/>
          </w:tcPr>
          <w:p w:rsidR="005141D9" w:rsidRDefault="005141D9" w:rsidP="00514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 -5.39191</w:t>
            </w:r>
          </w:p>
          <w:p w:rsidR="00FD0943" w:rsidRPr="007569D3" w:rsidRDefault="005141D9" w:rsidP="00514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5.42362</w:t>
            </w:r>
          </w:p>
        </w:tc>
      </w:tr>
    </w:tbl>
    <w:p w:rsidR="006C02E9" w:rsidRDefault="00B33362" w:rsidP="00B33362">
      <w:pPr>
        <w:spacing w:before="240" w:line="257" w:lineRule="auto"/>
      </w:pPr>
      <w:r>
        <w:t>Co charakterystyczne: proces nauki przebiegał właściwie zero-jedynkowo.</w:t>
      </w:r>
      <w:r w:rsidR="00F350B7">
        <w:t xml:space="preserve"> Dzięki obecności nauczyciela, wagi błyskawicznie się przemodulowywały</w:t>
      </w:r>
      <w:r w:rsidR="00330A5F">
        <w:t>. Jako odpowiedź neuronu daliśmy sumę iloczynów wag i początkowych wejść.</w:t>
      </w:r>
      <w:r w:rsidR="006470B7">
        <w:t xml:space="preserve"> Jak</w:t>
      </w:r>
      <w:r w:rsidR="008F0A91">
        <w:t xml:space="preserve"> można sprawdzić w plikach .txt, </w:t>
      </w:r>
      <w:r w:rsidR="00A96C72">
        <w:t>w zależności od wprowadzenia cyfry 0 lub 1, dla końcowych iteracji neurony zawsze poprawnie rozpoznają je</w:t>
      </w:r>
      <w:r w:rsidR="003E73EA">
        <w:t>dno z dwóch wejść, ustalając te same wagi (oczywiście, dla danego podejścia).</w:t>
      </w:r>
    </w:p>
    <w:p w:rsidR="00174B05" w:rsidRDefault="003E73EA" w:rsidP="003E73EA">
      <w:pPr>
        <w:spacing w:after="120" w:line="257" w:lineRule="auto"/>
      </w:pPr>
      <w:r>
        <w:t xml:space="preserve">Zgodnie z oczekiwaniami, </w:t>
      </w:r>
      <w:r w:rsidR="00174B05">
        <w:t>przy wzroście współczynnika eta</w:t>
      </w:r>
      <w:r>
        <w:t xml:space="preserve"> rośnie również siła odpowiedzi neuronu ze względu na wzrost wag.</w:t>
      </w:r>
    </w:p>
    <w:p w:rsidR="00174B05" w:rsidRDefault="00174B05" w:rsidP="00174B05">
      <w:pPr>
        <w:pStyle w:val="Heading1"/>
        <w:spacing w:after="240" w:line="257" w:lineRule="auto"/>
      </w:pPr>
      <w:r>
        <w:t>Wnioski</w:t>
      </w:r>
    </w:p>
    <w:p w:rsidR="003E73EA" w:rsidRPr="006C02E9" w:rsidRDefault="00174B05" w:rsidP="003E73EA">
      <w:pPr>
        <w:spacing w:after="120" w:line="257" w:lineRule="auto"/>
      </w:pPr>
      <w:r>
        <w:t>Chociaż przy początkowej liczbie neuronów zero-jedynkowych</w:t>
      </w:r>
      <w:r w:rsidR="00B96B8B">
        <w:t xml:space="preserve"> wynoszącej 35 otrzymujemy bardzo stabilną pracę sieci, to trzeba pamiętać o wprowadzonych ograniczeniach: </w:t>
      </w:r>
      <w:r w:rsidR="00915AEF">
        <w:t>uczymy się tylko dwóch takich samych wejść, ponadto funkcja aktywacji jest zero-jedynkowa. Co za tym idzie</w:t>
      </w:r>
      <w:r w:rsidR="00045D94">
        <w:t xml:space="preserve">, przy wzroście </w:t>
      </w:r>
      <w:r w:rsidR="00045D94">
        <w:lastRenderedPageBreak/>
        <w:t>rozpoznanych wzorców oraz realizowanych ewentualnych testach</w:t>
      </w:r>
      <w:r w:rsidR="00A97766">
        <w:t>, prostota funkcji aktywacji</w:t>
      </w:r>
      <w:r w:rsidR="00C728D2">
        <w:t xml:space="preserve"> mogłaby znacząco ograniczyć fun</w:t>
      </w:r>
      <w:r w:rsidR="00E20211">
        <w:t>kcjonalnośc naszego perceptronu. Z drugiej strony, ten bardzo dobrze nadaje się do prostych problemów.</w:t>
      </w:r>
    </w:p>
    <w:p w:rsidR="000F3FD0" w:rsidRPr="000F3FD0" w:rsidRDefault="000F3FD0" w:rsidP="000F3FD0"/>
    <w:p w:rsidR="00E24F59" w:rsidRDefault="00E24F59"/>
    <w:sectPr w:rsidR="00E24F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C37"/>
    <w:rsid w:val="00045D94"/>
    <w:rsid w:val="000839AC"/>
    <w:rsid w:val="00084526"/>
    <w:rsid w:val="000A0088"/>
    <w:rsid w:val="000C6747"/>
    <w:rsid w:val="000E770C"/>
    <w:rsid w:val="000F3FD0"/>
    <w:rsid w:val="00174B05"/>
    <w:rsid w:val="00182F46"/>
    <w:rsid w:val="00196B04"/>
    <w:rsid w:val="00243F07"/>
    <w:rsid w:val="002A4347"/>
    <w:rsid w:val="00301C8F"/>
    <w:rsid w:val="00330A5F"/>
    <w:rsid w:val="00340B5E"/>
    <w:rsid w:val="0034455A"/>
    <w:rsid w:val="00344836"/>
    <w:rsid w:val="00354E4B"/>
    <w:rsid w:val="00361CE7"/>
    <w:rsid w:val="00370CA5"/>
    <w:rsid w:val="003C3538"/>
    <w:rsid w:val="003C4239"/>
    <w:rsid w:val="003E73EA"/>
    <w:rsid w:val="00400C37"/>
    <w:rsid w:val="004251F0"/>
    <w:rsid w:val="0047710B"/>
    <w:rsid w:val="0048659D"/>
    <w:rsid w:val="004A41A2"/>
    <w:rsid w:val="004D3F19"/>
    <w:rsid w:val="005141D9"/>
    <w:rsid w:val="005C2A94"/>
    <w:rsid w:val="00637D4F"/>
    <w:rsid w:val="006470B7"/>
    <w:rsid w:val="0066571A"/>
    <w:rsid w:val="006A6CEC"/>
    <w:rsid w:val="006C02E9"/>
    <w:rsid w:val="0073029B"/>
    <w:rsid w:val="007569D3"/>
    <w:rsid w:val="007F01A1"/>
    <w:rsid w:val="00885C8D"/>
    <w:rsid w:val="008D14E1"/>
    <w:rsid w:val="008F0A91"/>
    <w:rsid w:val="00915AEF"/>
    <w:rsid w:val="00921AFD"/>
    <w:rsid w:val="009314DF"/>
    <w:rsid w:val="009524A9"/>
    <w:rsid w:val="00A01C30"/>
    <w:rsid w:val="00A96C72"/>
    <w:rsid w:val="00A97766"/>
    <w:rsid w:val="00AF5ECF"/>
    <w:rsid w:val="00B33362"/>
    <w:rsid w:val="00B96B8B"/>
    <w:rsid w:val="00C36098"/>
    <w:rsid w:val="00C728D2"/>
    <w:rsid w:val="00C83073"/>
    <w:rsid w:val="00CB54D3"/>
    <w:rsid w:val="00CC6F86"/>
    <w:rsid w:val="00CF44EC"/>
    <w:rsid w:val="00D15CD2"/>
    <w:rsid w:val="00D92A6C"/>
    <w:rsid w:val="00E20211"/>
    <w:rsid w:val="00E24F59"/>
    <w:rsid w:val="00E71565"/>
    <w:rsid w:val="00E72ED1"/>
    <w:rsid w:val="00E86A11"/>
    <w:rsid w:val="00EE486D"/>
    <w:rsid w:val="00F350B7"/>
    <w:rsid w:val="00F73B96"/>
    <w:rsid w:val="00FB3C50"/>
    <w:rsid w:val="00FD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B756D"/>
  <w15:chartTrackingRefBased/>
  <w15:docId w15:val="{5BAE8D30-109E-42AB-B7F6-2C237DDE3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6747"/>
    <w:pPr>
      <w:spacing w:line="256" w:lineRule="auto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4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4E1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C2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C2A9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3">
    <w:name w:val="Grid Table 5 Dark Accent 3"/>
    <w:basedOn w:val="TableNormal"/>
    <w:uiPriority w:val="50"/>
    <w:rsid w:val="005C2A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6">
    <w:name w:val="Grid Table 4 Accent 6"/>
    <w:basedOn w:val="TableNormal"/>
    <w:uiPriority w:val="49"/>
    <w:rsid w:val="005C2A9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5C2A9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BodyText">
    <w:name w:val="Body Text"/>
    <w:basedOn w:val="Normal"/>
    <w:link w:val="BodyTextChar"/>
    <w:uiPriority w:val="99"/>
    <w:unhideWhenUsed/>
    <w:rsid w:val="00301C8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1C8F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353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marcin.cholewka@wp.pl</dc:creator>
  <cp:keywords/>
  <dc:description/>
  <cp:lastModifiedBy>Damian</cp:lastModifiedBy>
  <cp:revision>66</cp:revision>
  <dcterms:created xsi:type="dcterms:W3CDTF">2017-01-12T09:47:00Z</dcterms:created>
  <dcterms:modified xsi:type="dcterms:W3CDTF">2017-02-16T00:01:00Z</dcterms:modified>
</cp:coreProperties>
</file>