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36eqhwuhpb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Struktura informacyjna serwisu Cross-Border Commerce Association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w8q2u60bx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Strona główna (Home)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Krótkie przedstawienie stowarzyszenia (misja i wizja)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Najważniejsze aktualności lub wydarzenia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Dołącz do nas / Zostań członkiem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h7pdb1ql5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 nas (About Us)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Misja i cele stowarzyszenia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powstania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Zespół zarządzający (Board, Zarząd)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Partnerzy strategiczni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Dokumenty statutowe i regulaminy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8fqdwd92t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Członkostwo (Membership)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Korzyści z członkostwa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Typy członkostwa (np. firma, ekspert indywidualny, organizacja partnerska)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dołączyć (formularz rejestracyjny)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Aktualna lista członków (opcjonalnie)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epxua647tz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Nasze działania (Our Activities)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Wsparcie ekspansji międzynarodowej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Programy mentoringowe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Usługi doradcze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Wymiana wiedzy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Platforma wymiany wiedzy (fora, publikacje, raporty)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Baza najlepszych praktyk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Budowa sieci kontaktów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Programy networkingowe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Wirtualne i fizyczne spotkania B2B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qa85gtl6mi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Edukacja i wydarzenia (Events &amp; Education)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Kalendarz wydarzeń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Seminaria i warsztaty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Szkolenia tematyczne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Archiwum nagrań / materiałów szkoleniowych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eaqjjj9hq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Nasi Eksperci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 Ekspertów i Specjalizacje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Umów się z ekspertem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r0wnngvkb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Publikacje (Resources)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Raporty rynkowe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Analizy regulacyjne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Przewodniki po rynkach zagranicznych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Studium przypadków (case studies)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znwclov839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Kontakt (Contact)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Formularz kontaktowy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Dane kontaktowe (e-mail, telefon)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– zapisz się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1e40phxty2i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Strefa dla członków (Member Zone) – tylko dla zalogowanych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Ekskluzywne materiały i raporty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 dyskusyjne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Oferty partnerów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Baza mentorów i ekspertów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Zarządzanie profilem członka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c6paa6j64v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Uwagi dodatkowe: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Wersje językowe</w:t>
      </w:r>
      <w:r w:rsidDel="00000000" w:rsidR="00000000" w:rsidRPr="00000000">
        <w:rPr>
          <w:rtl w:val="0"/>
        </w:rPr>
        <w:t xml:space="preserve"> – strona powinna być dostępna przynajmniej w języku polskim i angielskim.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– każda podstrona powinna mieć odpowiednie opisy i słowa kluczowe pod kątem SEO (handel międzynarodowy, ekspansja zagraniczna, cross-border commerce itp.).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Dostępność (Accessibility)</w:t>
      </w:r>
      <w:r w:rsidDel="00000000" w:rsidR="00000000" w:rsidRPr="00000000">
        <w:rPr>
          <w:rtl w:val="0"/>
        </w:rPr>
        <w:t xml:space="preserve"> – zgodność z WCAG dla osób niepełnosprawnych.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Bezpieczeństwo</w:t>
      </w:r>
      <w:r w:rsidDel="00000000" w:rsidR="00000000" w:rsidRPr="00000000">
        <w:rPr>
          <w:rtl w:val="0"/>
        </w:rPr>
        <w:t xml:space="preserve"> – szczególnie ważne w strefie dla członków (bezpieczne logowanie, ochrona danych osobowych).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