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spacing w:after="200"/>
        <w:jc w:val="center"/>
      </w:pPr>
      <w:r>
        <w:rPr>
          <w:rFonts w:ascii="Arial" w:cs="Arial" w:eastAsia="Arial" w:hAnsi="Arial"/>
          <w:b/>
          <w:bCs/>
          <w:color w:val="1B4F72"/>
          <w:sz w:val="52"/>
          <w:szCs w:val="52"/>
        </w:rPr>
        <w:t xml:space="preserve">Accessibility Testing in Engineering</w:t>
      </w:r>
    </w:p>
    <w:p>
      <w:pPr>
        <w:spacing w:after="600"/>
        <w:jc w:val="center"/>
      </w:pPr>
      <w:r>
        <w:rPr>
          <w:color w:val="2E86C1"/>
          <w:sz w:val="32"/>
          <w:szCs w:val="32"/>
        </w:rPr>
        <w:t xml:space="preserve">LLM-Guided Playwright Testing on the Rendered UI</w:t>
      </w:r>
    </w:p>
    <w:p>
      <w:pPr>
        <w:pBdr>
          <w:top w:val="single" w:color="2E86C1" w:sz="2" w:space="12"/>
        </w:pBdr>
        <w:spacing w:after="100" w:before="400"/>
        <w:jc w:val="center"/>
      </w:pPr>
      <w:r>
        <w:rPr>
          <w:color w:val="7F8C8D"/>
          <w:sz w:val="24"/>
          <w:szCs w:val="24"/>
        </w:rPr>
        <w:t xml:space="preserve">Proposal &amp; Technical Specification</w:t>
      </w:r>
    </w:p>
    <w:p>
      <w:pPr>
        <w:spacing w:after="100"/>
        <w:jc w:val="center"/>
      </w:pPr>
      <w:r>
        <w:rPr>
          <w:color w:val="2C3E50"/>
          <w:sz w:val="24"/>
          <w:szCs w:val="24"/>
        </w:rPr>
        <w:t xml:space="preserve">Damian Sian</w:t>
      </w:r>
    </w:p>
    <w:p>
      <w:pPr>
        <w:spacing w:after="100"/>
        <w:jc w:val="center"/>
      </w:pPr>
      <w:r>
        <w:rPr>
          <w:color w:val="7F8C8D"/>
          <w:sz w:val="22"/>
          <w:szCs w:val="22"/>
        </w:rPr>
        <w:t xml:space="preserve">Digital Accessibility</w:t>
      </w:r>
    </w:p>
    <w:p>
      <w:pPr>
        <w:jc w:val="center"/>
      </w:pPr>
      <w:r>
        <w:rPr>
          <w:color w:val="7F8C8D"/>
          <w:sz w:val="22"/>
          <w:szCs w:val="22"/>
        </w:rPr>
        <w:t xml:space="preserve">March 2026</w:t>
      </w:r>
    </w:p>
    <w:p>
      <w:pPr>
        <w:spacing w:before="1200"/>
        <w:jc w:val="center"/>
      </w:pPr>
      <w:r>
        <w:rPr>
          <w:b/>
          <w:bCs/>
          <w:color w:val="7F8C8D"/>
          <w:sz w:val="20"/>
          <w:szCs w:val="20"/>
        </w:rPr>
        <w:t xml:space="preserve">DRAFT — FOR INTERNAL REVIEW</w:t>
      </w:r>
    </w:p>
    <w:p>
      <w:pPr>
        <w:sectPr>
          <w:pgSz w:w="12240" w:h="15840" w:orient="portrait"/>
          <w:pgMar w:top="1440" w:right="1440" w:bottom="1440" w:left="1440" w:header="708" w:footer="708" w:gutter="0"/>
          <w:pgNumType/>
          <w:docGrid w:linePitch="360"/>
        </w:sectPr>
      </w:pPr>
    </w:p>
    <w:p>
      <w:pPr>
        <w:pStyle w:val="Heading1"/>
      </w:pPr>
      <w:r>
        <w:t xml:space="preserve">The Problem</w:t>
      </w:r>
    </w:p>
    <w:p>
      <w:pPr>
        <w:spacing w:after="200"/>
      </w:pPr>
      <w:r>
        <w:t xml:space="preserve">Automated accessibility tools like axe-core and Ally catch roughly 30–57% of real accessibility issues. The remaining defects — the ones that create the most significant barriers for users with disabilities — live in the rendered, painted UI and require testing that no static analysis tool can perform.</w:t>
      </w:r>
    </w:p>
    <w:p>
      <w:pPr>
        <w:spacing w:after="200"/>
      </w:pPr>
      <w:r>
        <w:t xml:space="preserve">These are the failures our Jira data shows engineering teams ship most often:</w:t>
      </w:r>
    </w:p>
    <w:p>
      <w:pPr>
        <w:pStyle w:val="ListParagraph"/>
        <w:numPr>
          <w:ilvl w:val="0"/>
          <w:numId w:val="2"/>
        </w:numPr>
        <w:spacing w:after="80"/>
      </w:pPr>
      <w:r>
        <w:rPr>
          <w:b/>
          <w:bCs/>
        </w:rPr>
        <w:t xml:space="preserve">Focus indicators </w:t>
      </w:r>
      <w:r>
        <w:t xml:space="preserve">missing, insufficient contrast, or broken in High Contrast Mode</w:t>
      </w:r>
    </w:p>
    <w:p>
      <w:pPr>
        <w:pStyle w:val="ListParagraph"/>
        <w:numPr>
          <w:ilvl w:val="0"/>
          <w:numId w:val="2"/>
        </w:numPr>
        <w:spacing w:after="80"/>
      </w:pPr>
      <w:r>
        <w:rPr>
          <w:b/>
          <w:bCs/>
        </w:rPr>
        <w:t xml:space="preserve">Keyboard traps and focus management </w:t>
      </w:r>
      <w:r>
        <w:t xml:space="preserve">in modals, drawers, and multi-step flows</w:t>
      </w:r>
    </w:p>
    <w:p>
      <w:pPr>
        <w:pStyle w:val="ListParagraph"/>
        <w:numPr>
          <w:ilvl w:val="0"/>
          <w:numId w:val="2"/>
        </w:numPr>
        <w:spacing w:after="80"/>
      </w:pPr>
      <w:r>
        <w:rPr>
          <w:b/>
          <w:bCs/>
        </w:rPr>
        <w:t xml:space="preserve">State changes not announced </w:t>
      </w:r>
      <w:r>
        <w:t xml:space="preserve">to screen readers via live regions after user interactions</w:t>
      </w:r>
    </w:p>
    <w:p>
      <w:pPr>
        <w:pStyle w:val="ListParagraph"/>
        <w:numPr>
          <w:ilvl w:val="0"/>
          <w:numId w:val="2"/>
        </w:numPr>
        <w:spacing w:after="80"/>
      </w:pPr>
      <w:r>
        <w:rPr>
          <w:b/>
          <w:bCs/>
        </w:rPr>
        <w:t xml:space="preserve">Accessible names </w:t>
      </w:r>
      <w:r>
        <w:t xml:space="preserve">that are technically present but contextually incorrect or misleading</w:t>
      </w:r>
    </w:p>
    <w:p>
      <w:pPr>
        <w:pStyle w:val="ListParagraph"/>
        <w:numPr>
          <w:ilvl w:val="0"/>
          <w:numId w:val="2"/>
        </w:numPr>
        <w:spacing w:after="80"/>
      </w:pPr>
      <w:r>
        <w:rPr>
          <w:b/>
          <w:bCs/>
        </w:rPr>
        <w:t xml:space="preserve">Interactive elements occluded </w:t>
      </w:r>
      <w:r>
        <w:t xml:space="preserve">by sticky headers/footers when focused</w:t>
      </w:r>
    </w:p>
    <w:p>
      <w:pPr>
        <w:pStyle w:val="ListParagraph"/>
        <w:numPr>
          <w:ilvl w:val="0"/>
          <w:numId w:val="2"/>
        </w:numPr>
        <w:spacing w:after="200"/>
      </w:pPr>
      <w:r>
        <w:rPr>
          <w:b/>
          <w:bCs/>
        </w:rPr>
        <w:t xml:space="preserve">Zoom/reflow breakdowns </w:t>
      </w:r>
      <w:r>
        <w:t xml:space="preserve">at 200% and 400% magnification</w:t>
      </w:r>
    </w:p>
    <w:p>
      <w:pPr>
        <w:spacing w:after="200"/>
      </w:pPr>
      <w:r>
        <w:t xml:space="preserve">These are not obscure edge cases. They are the most common accessibility defects filed against our products, and none of them are caught by automated scanning.</w:t>
      </w:r>
    </w:p>
    <w:p>
      <w:pPr>
        <w:pStyle w:val="Heading1"/>
      </w:pPr>
      <w:r>
        <w:t xml:space="preserve">The Opportunity</w:t>
      </w:r>
    </w:p>
    <w:p>
      <w:pPr>
        <w:spacing w:after="200"/>
      </w:pPr>
      <w:r>
        <w:t xml:space="preserve">Three technologies have matured to the point where they can be combined into something that didn’t previously exist: scripted accessibility testing of the rendered UI, guided by AI, informed by our own defect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b/>
                <w:bCs/>
                <w:color w:val="FFFFFF"/>
                <w:sz w:val="20"/>
                <w:szCs w:val="20"/>
              </w:rPr>
              <w:t xml:space="preserve">Technology</w:t>
            </w:r>
          </w:p>
        </w:tc>
        <w:tc>
          <w:tcPr>
            <w:tcW w:type="dxa" w:w="358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b/>
                <w:bCs/>
                <w:color w:val="FFFFFF"/>
                <w:sz w:val="20"/>
                <w:szCs w:val="20"/>
              </w:rPr>
              <w:t xml:space="preserve">What It Does</w:t>
            </w:r>
          </w:p>
        </w:tc>
        <w:tc>
          <w:tcPr>
            <w:tcW w:type="dxa" w:w="358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b/>
                <w:bCs/>
                <w:color w:val="FFFFFF"/>
                <w:sz w:val="20"/>
                <w:szCs w:val="20"/>
              </w:rPr>
              <w:t xml:space="preserve">Why It Matters</w:t>
            </w:r>
          </w:p>
        </w:tc>
      </w:tr>
      <w:tr>
        <w:tc>
          <w:tcPr>
            <w:tcW w:type="dxa" w:w="22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b/>
                <w:bCs/>
                <w:sz w:val="20"/>
                <w:szCs w:val="20"/>
              </w:rPr>
              <w:t xml:space="preserve">Playwright</w:t>
            </w:r>
          </w:p>
        </w:tc>
        <w:tc>
          <w:tcPr>
            <w:tcW w:type="dxa" w:w="358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sz w:val="20"/>
                <w:szCs w:val="20"/>
              </w:rPr>
              <w:t xml:space="preserve">Opens a real browser, inspects the DOM for semantic/structural correctness, simulates keyboard/mouse interaction, captures screenshots of the rendered page</w:t>
            </w:r>
          </w:p>
        </w:tc>
        <w:tc>
          <w:tcPr>
            <w:tcW w:type="dxa" w:w="358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sz w:val="20"/>
                <w:szCs w:val="20"/>
              </w:rPr>
              <w:t xml:space="preserve">Two passes: DOM inspection for what’s structurally true (ARIA, roles, names), rendered-page testing for what’s experientially true (focus behavior, visual indicators, zoom)</w:t>
            </w:r>
          </w:p>
        </w:tc>
      </w:tr>
      <w:tr>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b/>
                <w:bCs/>
                <w:sz w:val="20"/>
                <w:szCs w:val="20"/>
              </w:rPr>
              <w:t xml:space="preserve">LLM (AI)</w:t>
            </w:r>
          </w:p>
        </w:tc>
        <w:tc>
          <w:tcPr>
            <w:tcW w:type="dxa" w:w="358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sz w:val="20"/>
                <w:szCs w:val="20"/>
              </w:rPr>
              <w:t xml:space="preserve">Recognizes UI patterns from code, knows ARIA requirements per pattern, generates correct test scripts</w:t>
            </w:r>
          </w:p>
        </w:tc>
        <w:tc>
          <w:tcPr>
            <w:tcW w:type="dxa" w:w="358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sz w:val="20"/>
                <w:szCs w:val="20"/>
              </w:rPr>
              <w:t xml:space="preserve">Bridges the gap between what the developer built and what accessibility requires</w:t>
            </w:r>
          </w:p>
        </w:tc>
      </w:tr>
      <w:tr>
        <w:tc>
          <w:tcPr>
            <w:tcW w:type="dxa" w:w="22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b/>
                <w:bCs/>
                <w:sz w:val="20"/>
                <w:szCs w:val="20"/>
              </w:rPr>
              <w:t xml:space="preserve">Our Jira Data</w:t>
            </w:r>
          </w:p>
        </w:tc>
        <w:tc>
          <w:tcPr>
            <w:tcW w:type="dxa" w:w="358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sz w:val="20"/>
                <w:szCs w:val="20"/>
              </w:rPr>
              <w:t xml:space="preserve">Empirical record of which patterns fail most often and how they fail in our specific products</w:t>
            </w:r>
          </w:p>
        </w:tc>
        <w:tc>
          <w:tcPr>
            <w:tcW w:type="dxa" w:w="358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sz w:val="20"/>
                <w:szCs w:val="20"/>
              </w:rPr>
              <w:t xml:space="preserve">Prioritizes testing by actual risk, not theoretical coverage — the system gets smarter over time</w:t>
            </w:r>
          </w:p>
        </w:tc>
      </w:tr>
    </w:tbl>
    <w:p>
      <w:pPr>
        <w:spacing w:after="200"/>
      </w:pPr>
    </w:p>
    <w:p>
      <w:pPr>
        <w:pStyle w:val="Heading1"/>
      </w:pPr>
      <w:r>
        <w:t xml:space="preserve">How It Works</w:t>
      </w:r>
    </w:p>
    <w:p>
      <w:pPr>
        <w:spacing w:after="200"/>
      </w:pPr>
      <w:r>
        <w:t xml:space="preserve">The approach integrates into the existing development workflow. No separate QA phase. No “we’ll audit it later.” Testing happens as the developer builds.</w:t>
      </w:r>
    </w:p>
    <w:p>
      <w:pPr>
        <w:pStyle w:val="Heading2"/>
      </w:pPr>
      <w:r>
        <w:t xml:space="preserve">The Developer’s Experience</w:t>
      </w:r>
    </w:p>
    <w:p>
      <w:pPr>
        <w:pStyle w:val="ListParagraph"/>
        <w:numPr>
          <w:ilvl w:val="0"/>
          <w:numId w:val="3"/>
        </w:numPr>
        <w:spacing w:after="100"/>
      </w:pPr>
      <w:r>
        <w:rPr>
          <w:b/>
          <w:bCs/>
        </w:rPr>
        <w:t xml:space="preserve">Developer builds an interaction </w:t>
      </w:r>
      <w:r>
        <w:t xml:space="preserve">— a modal, a dropdown, a tab panel, a toast notification, any scripted UI pattern.</w:t>
      </w:r>
    </w:p>
    <w:p>
      <w:pPr>
        <w:pStyle w:val="ListParagraph"/>
        <w:numPr>
          <w:ilvl w:val="0"/>
          <w:numId w:val="3"/>
        </w:numPr>
        <w:spacing w:after="100"/>
      </w:pPr>
      <w:r>
        <w:rPr>
          <w:b/>
          <w:bCs/>
        </w:rPr>
        <w:t xml:space="preserve">The LLM recognizes the pattern </w:t>
      </w:r>
      <w:r>
        <w:t xml:space="preserve">— either by watching the code in the IDE, or by the developer describing the interaction in plain language. The developer does not need to know ARIA pattern names.</w:t>
      </w:r>
    </w:p>
    <w:p>
      <w:pPr>
        <w:pStyle w:val="ListParagraph"/>
        <w:numPr>
          <w:ilvl w:val="0"/>
          <w:numId w:val="3"/>
        </w:numPr>
        <w:spacing w:after="100"/>
      </w:pPr>
      <w:r>
        <w:rPr>
          <w:b/>
          <w:bCs/>
        </w:rPr>
        <w:t xml:space="preserve">The skill provides the accessibility requirements </w:t>
      </w:r>
      <w:r>
        <w:t xml:space="preserve">— every scripted interaction carries specific accessibility responsibilities. The skill is the source of truth for what needs to be verified per pattern, weighted by our Jira defect history.</w:t>
      </w:r>
    </w:p>
    <w:p>
      <w:pPr>
        <w:pStyle w:val="ListParagraph"/>
        <w:numPr>
          <w:ilvl w:val="0"/>
          <w:numId w:val="3"/>
        </w:numPr>
        <w:spacing w:after="100"/>
      </w:pPr>
      <w:r>
        <w:rPr>
          <w:b/>
          <w:bCs/>
        </w:rPr>
        <w:t xml:space="preserve">Playwright tests are generated and executed </w:t>
      </w:r>
      <w:r>
        <w:t xml:space="preserve">— two complementary passes on the same component. DOM inspection verifies the structural and semantic layer: correct ARIA roles, attributes, accessible names, live region presence, and element relationships. Rendered-page testing verifies the experiential layer: real keyboard navigation, visual focus indicators, viewport occlusion, zoom behavior. Each check uses the right tool for what it’s actually verifying.</w:t>
      </w:r>
    </w:p>
    <w:p>
      <w:pPr>
        <w:pStyle w:val="ListParagraph"/>
        <w:numPr>
          <w:ilvl w:val="0"/>
          <w:numId w:val="3"/>
        </w:numPr>
        <w:spacing w:after="100"/>
      </w:pPr>
      <w:r>
        <w:rPr>
          <w:b/>
          <w:bCs/>
        </w:rPr>
        <w:t xml:space="preserve">Results come back in a structured format </w:t>
      </w:r>
      <w:r>
        <w:t xml:space="preserve">— pass/fail per checkpoint, with screenshots of failures and clear descriptions of what’s wrong.</w:t>
      </w:r>
    </w:p>
    <w:p>
      <w:pPr>
        <w:pStyle w:val="ListParagraph"/>
        <w:numPr>
          <w:ilvl w:val="0"/>
          <w:numId w:val="3"/>
        </w:numPr>
        <w:spacing w:after="200"/>
      </w:pPr>
      <w:r>
        <w:rPr>
          <w:b/>
          <w:bCs/>
        </w:rPr>
        <w:t xml:space="preserve">Developer and LLM collaborate to fix failures </w:t>
      </w:r>
      <w:r>
        <w:t xml:space="preserve">— the same AI that identified the issue helps write the fix. The test reruns to confirm.</w:t>
      </w:r>
    </w:p>
    <w:p>
      <w:pPr>
        <w:pStyle w:val="Heading2"/>
      </w:pPr>
      <w:r>
        <w:t xml:space="preserve">Concrete Example: Modal Dialog</w:t>
      </w:r>
    </w:p>
    <w:p>
      <w:pPr>
        <w:spacing w:after="200"/>
      </w:pPr>
      <w:r>
        <w:t xml:space="preserve">A developer builds a button that opens a modal. The LLM sees the code — a button with an onClick that sets showModal to true, and a component that conditionally renders with a close button inside it. Without the developer saying anything, the LLM recognizes this as a dialog pattern and generates Playwright tests that verify:</w:t>
      </w:r>
    </w:p>
    <w:p>
      <w:pPr>
        <w:pStyle w:val="ListParagraph"/>
        <w:numPr>
          <w:ilvl w:val="0"/>
          <w:numId w:val="2"/>
        </w:numPr>
        <w:spacing w:after="60"/>
      </w:pPr>
      <w:r>
        <w:rPr>
          <w:sz w:val="20"/>
          <w:szCs w:val="20"/>
        </w:rPr>
        <w:t xml:space="preserve">Focus moves to the dialog (or its first focusable element) on open</w:t>
      </w:r>
    </w:p>
    <w:p>
      <w:pPr>
        <w:pStyle w:val="ListParagraph"/>
        <w:numPr>
          <w:ilvl w:val="0"/>
          <w:numId w:val="2"/>
        </w:numPr>
        <w:spacing w:after="60"/>
      </w:pPr>
      <w:r>
        <w:rPr>
          <w:sz w:val="20"/>
          <w:szCs w:val="20"/>
        </w:rPr>
        <w:t xml:space="preserve">Tab cycles through only the dialog’s content (focus trap)</w:t>
      </w:r>
    </w:p>
    <w:p>
      <w:pPr>
        <w:pStyle w:val="ListParagraph"/>
        <w:numPr>
          <w:ilvl w:val="0"/>
          <w:numId w:val="2"/>
        </w:numPr>
        <w:spacing w:after="60"/>
      </w:pPr>
      <w:r>
        <w:rPr>
          <w:sz w:val="20"/>
          <w:szCs w:val="20"/>
        </w:rPr>
        <w:t xml:space="preserve">Escape key closes the dialog</w:t>
      </w:r>
    </w:p>
    <w:p>
      <w:pPr>
        <w:pStyle w:val="ListParagraph"/>
        <w:numPr>
          <w:ilvl w:val="0"/>
          <w:numId w:val="2"/>
        </w:numPr>
        <w:spacing w:after="60"/>
      </w:pPr>
      <w:r>
        <w:rPr>
          <w:sz w:val="20"/>
          <w:szCs w:val="20"/>
        </w:rPr>
        <w:t xml:space="preserve">Focus returns to the trigger button on close</w:t>
      </w:r>
    </w:p>
    <w:p>
      <w:pPr>
        <w:pStyle w:val="ListParagraph"/>
        <w:numPr>
          <w:ilvl w:val="0"/>
          <w:numId w:val="2"/>
        </w:numPr>
        <w:spacing w:after="60"/>
      </w:pPr>
      <w:r>
        <w:rPr>
          <w:sz w:val="20"/>
          <w:szCs w:val="20"/>
        </w:rPr>
        <w:t xml:space="preserve">The dialog has role="dialog" and an accessible name</w:t>
      </w:r>
    </w:p>
    <w:p>
      <w:pPr>
        <w:pStyle w:val="ListParagraph"/>
        <w:numPr>
          <w:ilvl w:val="0"/>
          <w:numId w:val="2"/>
        </w:numPr>
        <w:spacing w:after="60"/>
      </w:pPr>
      <w:r>
        <w:rPr>
          <w:sz w:val="20"/>
          <w:szCs w:val="20"/>
        </w:rPr>
        <w:t xml:space="preserve">Background content is inert (not reachable by screen reader virtual cursor)</w:t>
      </w:r>
    </w:p>
    <w:p>
      <w:pPr>
        <w:pStyle w:val="ListParagraph"/>
        <w:numPr>
          <w:ilvl w:val="0"/>
          <w:numId w:val="2"/>
        </w:numPr>
        <w:spacing w:after="60"/>
      </w:pPr>
      <w:r>
        <w:rPr>
          <w:sz w:val="20"/>
          <w:szCs w:val="20"/>
        </w:rPr>
        <w:t xml:space="preserve">All interactive elements inside the dialog have visible focus indicators</w:t>
      </w:r>
    </w:p>
    <w:p>
      <w:pPr>
        <w:pStyle w:val="ListParagraph"/>
        <w:numPr>
          <w:ilvl w:val="0"/>
          <w:numId w:val="2"/>
        </w:numPr>
        <w:spacing w:after="200"/>
      </w:pPr>
      <w:r>
        <w:rPr>
          <w:sz w:val="20"/>
          <w:szCs w:val="20"/>
        </w:rPr>
        <w:t xml:space="preserve">The dialog is usable at 200% and 400% zoom without content clipping</w:t>
      </w:r>
    </w:p>
    <w:p>
      <w:pPr>
        <w:spacing w:after="200"/>
      </w:pPr>
      <w:r>
        <w:t xml:space="preserve">None of these checks are performed by axe-core or any static analysis tool. All of them are common defects in our Jira history. All of them are testable with Playwright against the rendered page.</w:t>
      </w:r>
    </w:p>
    <w:p>
      <w:r>
        <w:br w:type="page"/>
      </w:r>
    </w:p>
    <w:p>
      <w:pPr>
        <w:pStyle w:val="Heading1"/>
      </w:pPr>
      <w:r>
        <w:t xml:space="preserve">Skill Architecture</w:t>
      </w:r>
    </w:p>
    <w:p>
      <w:pPr>
        <w:spacing w:after="200"/>
      </w:pPr>
      <w:r>
        <w:t xml:space="preserve">The system is modular by design. Each component has a single responsibility:</w:t>
      </w:r>
    </w:p>
    <w:p>
      <w:pPr>
        <w:pStyle w:val="Heading3"/>
      </w:pPr>
      <w:r>
        <w:t xml:space="preserve">Pattern Knowledge Base (the Skill)</w:t>
      </w:r>
    </w:p>
    <w:p>
      <w:pPr>
        <w:spacing w:after="200"/>
      </w:pPr>
      <w:r>
        <w:t xml:space="preserve">The core of the system. Contains the accessibility requirements for each UI interaction pattern — modal dialog, disclosure, tabs, combobox, toast/alert, menu, and more. Each pattern maps to specific checkpoints from what we call the “interaction chain”: keyboard reachability, accessible name correctness, focus indicator visibility and contrast, viewport visibility, keyboard activation, state change announcements, announcement politeness, zoom/reflow behavior, and High Contrast Mode support. Requirements are weighted by our Jira defect frequency data.</w:t>
      </w:r>
    </w:p>
    <w:p>
      <w:pPr>
        <w:pStyle w:val="Heading3"/>
      </w:pPr>
      <w:r>
        <w:t xml:space="preserve">Playwright Test Generator</w:t>
      </w:r>
    </w:p>
    <w:p>
      <w:pPr>
        <w:spacing w:after="200"/>
      </w:pPr>
      <w:r>
        <w:t xml:space="preserve">Translates pattern requirements into executable Playwright scripts. The LLM handles the translation — it knows both the accessibility requirements (from the skill) and how to write Playwright code. Each test runs two complementary passes: DOM inspection for the structural and semantic layer (ARIA roles, attributes, accessible names, live region presence, element relationships), and rendered-page testing for the experiential layer (keyboard navigation, visual focus indicators, viewport occlusion, zoom behavior). The baseline tab-through-every-element test is always included. Pattern-specific tests are layered on top based on what the developer built.</w:t>
      </w:r>
    </w:p>
    <w:p>
      <w:pPr>
        <w:pStyle w:val="Heading3"/>
      </w:pPr>
      <w:r>
        <w:t xml:space="preserve">Defect Data Integration</w:t>
      </w:r>
    </w:p>
    <w:p>
      <w:pPr>
        <w:spacing w:after="200"/>
      </w:pPr>
      <w:r>
        <w:t xml:space="preserve">Our Jira accessibility defect data feeds back into the system. Patterns that fail most often get more aggressive test coverage. New failure modes discovered in production get added as test cases. The system’s priorities evolve based on what actually breaks, not theoretical risk.</w:t>
      </w:r>
    </w:p>
    <w:p>
      <w:pPr>
        <w:pStyle w:val="Heading3"/>
      </w:pPr>
      <w:r>
        <w:t xml:space="preserve">Results Template</w:t>
      </w:r>
    </w:p>
    <w:p>
      <w:pPr>
        <w:spacing w:after="200"/>
      </w:pPr>
      <w:r>
        <w:t xml:space="preserve">Structured output format: pass/fail per checkpoint, screenshots for failures, WCAG success criteria mapping, and concrete next steps. The developer and LLM use these results to collaboratively fix issues in the same session.</w:t>
      </w:r>
    </w:p>
    <w:p>
      <w:pPr>
        <w:pStyle w:val="Heading1"/>
      </w:pPr>
      <w:r>
        <w:t xml:space="preserve">Coverage: What This Catches</w:t>
      </w:r>
    </w:p>
    <w:p>
      <w:pPr>
        <w:spacing w:after="200"/>
      </w:pPr>
      <w:r>
        <w:t xml:space="preserve">This is not a replacement for automated scanning — it’s the layer above it. Together, they move the coverage needle significantly.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b/>
                <w:bCs/>
                <w:color w:val="FFFFFF"/>
                <w:sz w:val="20"/>
                <w:szCs w:val="20"/>
              </w:rPr>
              <w:t xml:space="preserve">Layer</w:t>
            </w:r>
          </w:p>
        </w:tc>
        <w:tc>
          <w:tcPr>
            <w:tcW w:type="dxa" w:w="312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b/>
                <w:bCs/>
                <w:color w:val="FFFFFF"/>
                <w:sz w:val="20"/>
                <w:szCs w:val="20"/>
              </w:rPr>
              <w:t xml:space="preserve">Coverage</w:t>
            </w:r>
          </w:p>
        </w:tc>
        <w:tc>
          <w:tcPr>
            <w:tcW w:type="dxa" w:w="312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b/>
                <w:bCs/>
                <w:color w:val="FFFFFF"/>
                <w:sz w:val="20"/>
                <w:szCs w:val="20"/>
              </w:rPr>
              <w:t xml:space="preserve">What It Catches</w:t>
            </w:r>
          </w:p>
        </w:tc>
      </w:tr>
      <w:tr>
        <w:tc>
          <w:tcPr>
            <w:tcW w:type="dxa" w:w="312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sz w:val="20"/>
                <w:szCs w:val="20"/>
              </w:rPr>
              <w:t xml:space="preserve">Automated Scanning (axe-core)</w:t>
            </w:r>
          </w:p>
        </w:tc>
        <w:tc>
          <w:tcPr>
            <w:tcW w:type="dxa" w:w="312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sz w:val="20"/>
                <w:szCs w:val="20"/>
              </w:rPr>
              <w:t xml:space="preserve">~30–57% of issues</w:t>
            </w:r>
          </w:p>
        </w:tc>
        <w:tc>
          <w:tcPr>
            <w:tcW w:type="dxa" w:w="312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sz w:val="20"/>
                <w:szCs w:val="20"/>
              </w:rPr>
              <w:t xml:space="preserve">Missing alt text, missing form labels, color contrast ratios, ARIA attribute validity, heading hierarchy</w:t>
            </w:r>
          </w:p>
        </w:tc>
      </w:tr>
      <w:tr>
        <w:tc>
          <w:tcPr>
            <w:tcW w:type="dxa" w:w="312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b/>
                <w:bCs/>
                <w:sz w:val="20"/>
                <w:szCs w:val="20"/>
              </w:rPr>
              <w:t xml:space="preserve">LLM + Playwright (this proposal)</w:t>
            </w:r>
          </w:p>
        </w:tc>
        <w:tc>
          <w:tcPr>
            <w:tcW w:type="dxa" w:w="312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sz w:val="20"/>
                <w:szCs w:val="20"/>
              </w:rPr>
              <w:t xml:space="preserve">Significant additional coverage</w:t>
            </w:r>
          </w:p>
        </w:tc>
        <w:tc>
          <w:tcPr>
            <w:tcW w:type="dxa" w:w="312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sz w:val="20"/>
                <w:szCs w:val="20"/>
              </w:rPr>
              <w:t xml:space="preserve">Focus management, keyboard traps, focus indicators, state announcements, zoom behavior, interaction pattern compliance, focus return, viewport occlusion</w:t>
            </w:r>
          </w:p>
        </w:tc>
      </w:tr>
      <w:tr>
        <w:tc>
          <w:tcPr>
            <w:tcW w:type="dxa" w:w="312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sz w:val="20"/>
                <w:szCs w:val="20"/>
              </w:rPr>
              <w:t xml:space="preserve">Manual Testing (still required)</w:t>
            </w:r>
          </w:p>
        </w:tc>
        <w:tc>
          <w:tcPr>
            <w:tcW w:type="dxa" w:w="312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sz w:val="20"/>
                <w:szCs w:val="20"/>
              </w:rPr>
              <w:t xml:space="preserve">Remaining edge cases</w:t>
            </w:r>
          </w:p>
        </w:tc>
        <w:tc>
          <w:tcPr>
            <w:tcW w:type="dxa" w:w="312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sz w:val="20"/>
                <w:szCs w:val="20"/>
              </w:rPr>
              <w:t xml:space="preserve">Screen reader output quality, cognitive load, reading order nuance, complex interaction flows requiring human judgment</w:t>
            </w:r>
          </w:p>
        </w:tc>
      </w:tr>
    </w:tbl>
    <w:p>
      <w:pPr>
        <w:spacing w:after="200"/>
      </w:pPr>
    </w:p>
    <w:p>
      <w:pPr>
        <w:spacing w:after="200"/>
      </w:pPr>
      <w:r>
        <w:t xml:space="preserve">Does this catch 100%? No. Manual expert testing remains essential for judgment-dependent checks. But the gap between 30% automated coverage and the rendered-UI failures that drive the majority of our Jira defects — that’s the gap this fills.</w:t>
      </w:r>
    </w:p>
    <w:p>
      <w:pPr>
        <w:pStyle w:val="Heading1"/>
      </w:pPr>
      <w:r>
        <w:t xml:space="preserve">Implementation Path</w:t>
      </w:r>
    </w:p>
    <w:p>
      <w:pPr>
        <w:pStyle w:val="Heading2"/>
      </w:pPr>
      <w:r>
        <w:t xml:space="preserve">Phase 1: Foundation (4–6 weeks)</w:t>
      </w:r>
    </w:p>
    <w:p>
      <w:pPr>
        <w:pStyle w:val="ListParagraph"/>
        <w:numPr>
          <w:ilvl w:val="0"/>
          <w:numId w:val="2"/>
        </w:numPr>
        <w:spacing w:after="80"/>
      </w:pPr>
      <w:r>
        <w:rPr>
          <w:sz w:val="20"/>
          <w:szCs w:val="20"/>
        </w:rPr>
        <w:t xml:space="preserve">Build the pattern knowledge base for the 6 most common interactive patterns (modal, disclosure, tabs, combobox, toast, menu)</w:t>
      </w:r>
    </w:p>
    <w:p>
      <w:pPr>
        <w:pStyle w:val="ListParagraph"/>
        <w:numPr>
          <w:ilvl w:val="0"/>
          <w:numId w:val="2"/>
        </w:numPr>
        <w:spacing w:after="80"/>
      </w:pPr>
      <w:r>
        <w:rPr>
          <w:sz w:val="20"/>
          <w:szCs w:val="20"/>
        </w:rPr>
        <w:t xml:space="preserve">Define the interaction chain checkpoints as testable assertions</w:t>
      </w:r>
    </w:p>
    <w:p>
      <w:pPr>
        <w:pStyle w:val="ListParagraph"/>
        <w:numPr>
          <w:ilvl w:val="0"/>
          <w:numId w:val="2"/>
        </w:numPr>
        <w:spacing w:after="80"/>
      </w:pPr>
      <w:r>
        <w:rPr>
          <w:sz w:val="20"/>
          <w:szCs w:val="20"/>
        </w:rPr>
        <w:t xml:space="preserve">Create Playwright helper library for common accessibility checks: DOM inspection (ARIA roles, accessible names, live regions) and rendered-page testing (tab order, focus indicator detection via screenshots, focus trap verification, Escape key handling, zoom behavior)</w:t>
      </w:r>
    </w:p>
    <w:p>
      <w:pPr>
        <w:pStyle w:val="ListParagraph"/>
        <w:numPr>
          <w:ilvl w:val="0"/>
          <w:numId w:val="2"/>
        </w:numPr>
        <w:spacing w:after="200"/>
      </w:pPr>
      <w:r>
        <w:rPr>
          <w:sz w:val="20"/>
          <w:szCs w:val="20"/>
        </w:rPr>
        <w:t xml:space="preserve">Validate against known-good and known-bad pages to confirm accuracy</w:t>
      </w:r>
    </w:p>
    <w:p>
      <w:pPr>
        <w:pStyle w:val="Heading2"/>
      </w:pPr>
      <w:r>
        <w:t xml:space="preserve">Phase 2: Jira Integration (2–4 weeks)</w:t>
      </w:r>
    </w:p>
    <w:p>
      <w:pPr>
        <w:pStyle w:val="ListParagraph"/>
        <w:numPr>
          <w:ilvl w:val="0"/>
          <w:numId w:val="2"/>
        </w:numPr>
        <w:spacing w:after="80"/>
      </w:pPr>
      <w:r>
        <w:rPr>
          <w:sz w:val="20"/>
          <w:szCs w:val="20"/>
        </w:rPr>
        <w:t xml:space="preserve">Analyze historical accessibility defect data from Jira</w:t>
      </w:r>
    </w:p>
    <w:p>
      <w:pPr>
        <w:pStyle w:val="ListParagraph"/>
        <w:numPr>
          <w:ilvl w:val="0"/>
          <w:numId w:val="2"/>
        </w:numPr>
        <w:spacing w:after="80"/>
      </w:pPr>
      <w:r>
        <w:rPr>
          <w:sz w:val="20"/>
          <w:szCs w:val="20"/>
        </w:rPr>
        <w:t xml:space="preserve">Map defect patterns to interaction chain checkpoints</w:t>
      </w:r>
    </w:p>
    <w:p>
      <w:pPr>
        <w:pStyle w:val="ListParagraph"/>
        <w:numPr>
          <w:ilvl w:val="0"/>
          <w:numId w:val="2"/>
        </w:numPr>
        <w:spacing w:after="80"/>
      </w:pPr>
      <w:r>
        <w:rPr>
          <w:sz w:val="20"/>
          <w:szCs w:val="20"/>
        </w:rPr>
        <w:t xml:space="preserve">Weight test priorities based on actual failure frequency</w:t>
      </w:r>
    </w:p>
    <w:p>
      <w:pPr>
        <w:pStyle w:val="ListParagraph"/>
        <w:numPr>
          <w:ilvl w:val="0"/>
          <w:numId w:val="2"/>
        </w:numPr>
        <w:spacing w:after="200"/>
      </w:pPr>
      <w:r>
        <w:rPr>
          <w:sz w:val="20"/>
          <w:szCs w:val="20"/>
        </w:rPr>
        <w:t xml:space="preserve">Establish feedback loop for new defects to update the knowledge base</w:t>
      </w:r>
    </w:p>
    <w:p>
      <w:pPr>
        <w:pStyle w:val="Heading2"/>
      </w:pPr>
      <w:r>
        <w:t xml:space="preserve">Phase 3: Developer Integration (2–4 weeks)</w:t>
      </w:r>
    </w:p>
    <w:p>
      <w:pPr>
        <w:pStyle w:val="ListParagraph"/>
        <w:numPr>
          <w:ilvl w:val="0"/>
          <w:numId w:val="2"/>
        </w:numPr>
        <w:spacing w:after="80"/>
      </w:pPr>
      <w:r>
        <w:rPr>
          <w:sz w:val="20"/>
          <w:szCs w:val="20"/>
        </w:rPr>
        <w:t xml:space="preserve">Integrate with LLM-assisted development environments (Claude Code, Copilot, Cursor, etc.)</w:t>
      </w:r>
    </w:p>
    <w:p>
      <w:pPr>
        <w:pStyle w:val="ListParagraph"/>
        <w:numPr>
          <w:ilvl w:val="0"/>
          <w:numId w:val="2"/>
        </w:numPr>
        <w:spacing w:after="80"/>
      </w:pPr>
      <w:r>
        <w:rPr>
          <w:sz w:val="20"/>
          <w:szCs w:val="20"/>
        </w:rPr>
        <w:t xml:space="preserve">Enable proactive pattern recognition from developer’s code</w:t>
      </w:r>
    </w:p>
    <w:p>
      <w:pPr>
        <w:pStyle w:val="ListParagraph"/>
        <w:numPr>
          <w:ilvl w:val="0"/>
          <w:numId w:val="2"/>
        </w:numPr>
        <w:spacing w:after="80"/>
      </w:pPr>
      <w:r>
        <w:rPr>
          <w:sz w:val="20"/>
          <w:szCs w:val="20"/>
        </w:rPr>
        <w:t xml:space="preserve">Create structured results template for consistent reporting</w:t>
      </w:r>
    </w:p>
    <w:p>
      <w:pPr>
        <w:pStyle w:val="ListParagraph"/>
        <w:numPr>
          <w:ilvl w:val="0"/>
          <w:numId w:val="2"/>
        </w:numPr>
        <w:spacing w:after="200"/>
      </w:pPr>
      <w:r>
        <w:rPr>
          <w:sz w:val="20"/>
          <w:szCs w:val="20"/>
        </w:rPr>
        <w:t xml:space="preserve">Pilot with 2–3 engineering teams to validate workflow</w:t>
      </w:r>
    </w:p>
    <w:p>
      <w:pPr>
        <w:pStyle w:val="Heading2"/>
      </w:pPr>
      <w:r>
        <w:t xml:space="preserve">Phase 4: Scale &amp; Evolve (Ongoing)</w:t>
      </w:r>
    </w:p>
    <w:p>
      <w:pPr>
        <w:pStyle w:val="ListParagraph"/>
        <w:numPr>
          <w:ilvl w:val="0"/>
          <w:numId w:val="2"/>
        </w:numPr>
        <w:spacing w:after="80"/>
      </w:pPr>
      <w:r>
        <w:rPr>
          <w:sz w:val="20"/>
          <w:szCs w:val="20"/>
        </w:rPr>
        <w:t xml:space="preserve">Expand pattern library based on team feedback and new component types</w:t>
      </w:r>
    </w:p>
    <w:p>
      <w:pPr>
        <w:pStyle w:val="ListParagraph"/>
        <w:numPr>
          <w:ilvl w:val="0"/>
          <w:numId w:val="2"/>
        </w:numPr>
        <w:spacing w:after="80"/>
      </w:pPr>
      <w:r>
        <w:rPr>
          <w:sz w:val="20"/>
          <w:szCs w:val="20"/>
        </w:rPr>
        <w:t xml:space="preserve">Continuously update risk weighting from Jira data</w:t>
      </w:r>
    </w:p>
    <w:p>
      <w:pPr>
        <w:pStyle w:val="ListParagraph"/>
        <w:numPr>
          <w:ilvl w:val="0"/>
          <w:numId w:val="2"/>
        </w:numPr>
        <w:spacing w:after="200"/>
      </w:pPr>
      <w:r>
        <w:rPr>
          <w:sz w:val="20"/>
          <w:szCs w:val="20"/>
        </w:rPr>
        <w:t xml:space="preserve">Roll out to additional teams across the organization</w:t>
      </w:r>
    </w:p>
    <w:p>
      <w:pPr>
        <w:pStyle w:val="Heading1"/>
      </w:pPr>
      <w:r>
        <w:t xml:space="preserve">Why This Is Different</w:t>
      </w:r>
    </w:p>
    <w:p>
      <w:pPr>
        <w:spacing w:after="200"/>
      </w:pPr>
      <w:r>
        <w:t xml:space="preserve">This is not another linting tool. It’s not a configuration of axe-core. It’s three things that have never been combined before:</w:t>
      </w:r>
    </w:p>
    <w:p>
      <w:pPr>
        <w:pStyle w:val="ListParagraph"/>
        <w:numPr>
          <w:ilvl w:val="0"/>
          <w:numId w:val="4"/>
        </w:numPr>
        <w:spacing w:after="100"/>
      </w:pPr>
      <w:r>
        <w:rPr>
          <w:b/>
          <w:bCs/>
        </w:rPr>
        <w:t xml:space="preserve">Data-driven. </w:t>
      </w:r>
      <w:r>
        <w:t xml:space="preserve">Our Jira defect history tells us where we actually fail. The system tests what matters based on evidence, not checklists.</w:t>
      </w:r>
    </w:p>
    <w:p>
      <w:pPr>
        <w:pStyle w:val="ListParagraph"/>
        <w:numPr>
          <w:ilvl w:val="0"/>
          <w:numId w:val="4"/>
        </w:numPr>
        <w:spacing w:after="100"/>
      </w:pPr>
      <w:r>
        <w:rPr>
          <w:b/>
          <w:bCs/>
        </w:rPr>
        <w:t xml:space="preserve">Contextual. </w:t>
      </w:r>
      <w:r>
        <w:t xml:space="preserve">The LLM understands what the developer built and generates tests specific to that pattern. A modal gets modal tests. A tab panel gets tab panel tests. No generic one-size-fits-all scanning.</w:t>
      </w:r>
    </w:p>
    <w:p>
      <w:pPr>
        <w:pStyle w:val="ListParagraph"/>
        <w:numPr>
          <w:ilvl w:val="0"/>
          <w:numId w:val="4"/>
        </w:numPr>
        <w:spacing w:after="100"/>
      </w:pPr>
      <w:r>
        <w:rPr>
          <w:b/>
          <w:bCs/>
        </w:rPr>
        <w:t xml:space="preserve">DOM + rendered-UI testing. </w:t>
      </w:r>
      <w:r>
        <w:t xml:space="preserve">Playwright inspects the DOM for structural correctness — ARIA roles, accessible names, attribute validity, live region markup — and tests the rendered page for experiential correctness: keyboard navigation, visual focus indicators, viewport occlusion, zoom behavior. Each check uses the right verification method for what it’s actually measuring.</w:t>
      </w:r>
    </w:p>
    <w:p>
      <w:pPr>
        <w:pStyle w:val="ListParagraph"/>
        <w:numPr>
          <w:ilvl w:val="0"/>
          <w:numId w:val="4"/>
        </w:numPr>
        <w:spacing w:after="200"/>
      </w:pPr>
      <w:r>
        <w:rPr>
          <w:b/>
          <w:bCs/>
        </w:rPr>
        <w:t xml:space="preserve">Integrated into the build cycle. </w:t>
      </w:r>
      <w:r>
        <w:t xml:space="preserve">No separate audit phase. No handoff to a QA team weeks later. Testing happens while the developer is building, guided by the same AI they’re already using to write code.</w:t>
      </w:r>
    </w:p>
    <w:p>
      <w:pPr>
        <w:spacing w:after="200"/>
      </w:pPr>
      <w:r>
        <w:rPr>
          <w:i/>
          <w:iCs/>
        </w:rPr>
        <w:t xml:space="preserve">The developer doesn’t need to become an accessibility expert. The system carries that expertise and applies it in context.</w:t>
      </w:r>
    </w:p>
    <w:p>
      <w:pPr>
        <w:pStyle w:val="Heading1"/>
      </w:pPr>
      <w:r>
        <w:t xml:space="preserve">Recommended Next Steps</w:t>
      </w:r>
    </w:p>
    <w:p>
      <w:pPr>
        <w:pStyle w:val="ListParagraph"/>
        <w:numPr>
          <w:ilvl w:val="0"/>
          <w:numId w:val="2"/>
        </w:numPr>
        <w:spacing w:after="100"/>
      </w:pPr>
      <w:r>
        <w:t xml:space="preserve">Review this proposal and provide feedback on scope and phasing</w:t>
      </w:r>
    </w:p>
    <w:p>
      <w:pPr>
        <w:pStyle w:val="ListParagraph"/>
        <w:numPr>
          <w:ilvl w:val="0"/>
          <w:numId w:val="2"/>
        </w:numPr>
        <w:spacing w:after="100"/>
      </w:pPr>
      <w:r>
        <w:t xml:space="preserve">Identify 2–3 pilot engineering teams for initial validation</w:t>
      </w:r>
    </w:p>
    <w:p>
      <w:pPr>
        <w:pStyle w:val="ListParagraph"/>
        <w:numPr>
          <w:ilvl w:val="0"/>
          <w:numId w:val="2"/>
        </w:numPr>
        <w:spacing w:after="100"/>
      </w:pPr>
      <w:r>
        <w:t xml:space="preserve">Confirm Jira data access for defect pattern analysis</w:t>
      </w:r>
    </w:p>
    <w:p>
      <w:pPr>
        <w:pStyle w:val="ListParagraph"/>
        <w:numPr>
          <w:ilvl w:val="0"/>
          <w:numId w:val="2"/>
        </w:numPr>
        <w:spacing w:after="200"/>
      </w:pPr>
      <w:r>
        <w:t xml:space="preserve">Schedule a working session to demo the Playwright + LLM approach against a real product page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DC3C7" w:sz="1" w:space="4"/>
      </w:pBdr>
      <w:jc w:val="right"/>
    </w:pPr>
    <w:r>
      <w:rPr>
        <w:color w:val="7F8C8D"/>
        <w:sz w:val="18"/>
        <w:szCs w:val="18"/>
      </w:rPr>
      <w:t xml:space="preserve">Page </w:t>
    </w:r>
    <w:r>
      <w:rPr>
        <w:color w:val="7F8C8D"/>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86C1" w:sz="1" w:space="4"/>
      </w:pBdr>
    </w:pPr>
    <w:r>
      <w:rPr>
        <w:rFonts w:ascii="Arial" w:cs="Arial" w:eastAsia="Arial" w:hAnsi="Arial"/>
        <w:color w:val="7F8C8D"/>
        <w:sz w:val="18"/>
        <w:szCs w:val="18"/>
      </w:rPr>
      <w:t xml:space="preserve">Accessibility Testing in Engineering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C3E5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4F72"/>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1B4F72"/>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2E86C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2026-03-29T13:01:15.431Z</dcterms:created>
  <dcterms:modified xsi:type="dcterms:W3CDTF">2026-03-29T13:01:15.431Z</dcterms:modified>
</cp:coreProperties>
</file>

<file path=docProps/custom.xml><?xml version="1.0" encoding="utf-8"?>
<Properties xmlns="http://schemas.openxmlformats.org/officeDocument/2006/custom-properties" xmlns:vt="http://schemas.openxmlformats.org/officeDocument/2006/docPropsVTypes"/>
</file>