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53.png" ContentType="image/png"/>
  <Override PartName="/word/media/rId28.png" ContentType="image/png"/>
  <Override PartName="/word/media/rId49.png" ContentType="image/png"/>
  <Override PartName="/word/media/rId45.png" ContentType="image/png"/>
  <Override PartName="/word/media/rId40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Przestrzenne determinanty budownictwa mieszkaniowego w województwach Polski</w:t>
      </w:r>
    </w:p>
    <w:p>
      <w:pPr>
        <w:pStyle w:val="Subtitle"/>
      </w:pPr>
      <w:r>
        <w:t xml:space="preserve">Projekt zespołowy — Ekonometria Przestrzenna</w:t>
      </w:r>
    </w:p>
    <w:p>
      <w:pPr>
        <w:pStyle w:val="Date"/>
      </w:pPr>
      <w:r>
        <w:t xml:space="preserve">24 maj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3" w:name="wstęp-i-problem-badawcz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Wstęp i problem badawczy</w:t>
      </w:r>
    </w:p>
    <w:bookmarkStart w:id="20" w:name="uzasadnienie-wyboru-tematu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Uzasadnienie wyboru tematu</w:t>
      </w:r>
    </w:p>
    <w:p>
      <w:pPr>
        <w:pStyle w:val="FirstParagraph"/>
      </w:pPr>
      <w:r>
        <w:t xml:space="preserve">Budownictwo mieszkaniowe jest jednym z kluczowych wskaźników kondycji gospodarczej regionów i jakości życia ich mieszkańców. W Polsce, po transformacji ustrojowej i akcesji do Unii Europejskiej, rynek mieszkaniowy przeszedł głęboką restrukturyzację: liberalizacja dostępu do kredytów hipotecznych (szczególnie po 2004 r.), urbanizacja oraz napływ migrantów wewnętrznych silnie zróżnicowały przestrzenne wzorce budownictwa. Zrozumienie, jakie czynniki determinują liczbę mieszkań oddawanych do użytkowania i czy efekty te mają strukturę przestrzenną, jest istotne zarówno z perspektywy planowania przestrzennego, jak i polityki mieszkaniowej.</w:t>
      </w:r>
    </w:p>
    <w:bookmarkEnd w:id="20"/>
    <w:bookmarkStart w:id="21" w:name="pytania-badawcz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Pytania badawcze</w:t>
      </w:r>
    </w:p>
    <w:p>
      <w:pPr>
        <w:pStyle w:val="Compact"/>
        <w:numPr>
          <w:ilvl w:val="0"/>
          <w:numId w:val="1001"/>
        </w:numPr>
      </w:pPr>
      <w:r>
        <w:t xml:space="preserve">Czy liczba mieszkań oddawanych do użytkowania w polskich województwach wykazuje istotną autokorelację przestrzenną?</w:t>
      </w:r>
    </w:p>
    <w:p>
      <w:pPr>
        <w:pStyle w:val="Compact"/>
        <w:numPr>
          <w:ilvl w:val="0"/>
          <w:numId w:val="1001"/>
        </w:numPr>
      </w:pPr>
      <w:r>
        <w:t xml:space="preserve">Jakie czynniki demograficzne i ekonomiczne determinują aktywność budowlaną?</w:t>
      </w:r>
    </w:p>
    <w:p>
      <w:pPr>
        <w:pStyle w:val="Compact"/>
        <w:numPr>
          <w:ilvl w:val="0"/>
          <w:numId w:val="1001"/>
        </w:numPr>
      </w:pPr>
      <w:r>
        <w:t xml:space="preserve">Czy sąsiedztwo geograficzne (efekty spillover lub wspólne pominięte czynniki) wpływa istotnie na budownictwo mieszkaniowe?</w:t>
      </w:r>
    </w:p>
    <w:p>
      <w:pPr>
        <w:pStyle w:val="Compact"/>
        <w:numPr>
          <w:ilvl w:val="0"/>
          <w:numId w:val="1001"/>
        </w:numPr>
      </w:pPr>
      <w:r>
        <w:t xml:space="preserve">Który model przestrzenny — SAR czy SEM — lepiej opisuje badane zjawisko?</w:t>
      </w:r>
    </w:p>
    <w:bookmarkEnd w:id="21"/>
    <w:bookmarkStart w:id="22" w:name="poziom-przestrzenny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Poziom przestrzenny</w:t>
      </w:r>
    </w:p>
    <w:p>
      <w:pPr>
        <w:pStyle w:val="FirstParagraph"/>
      </w:pPr>
      <w:r>
        <w:t xml:space="preserve">Analiza prowadzona jest na poziomie 16 województw Polski (NUTS-2), w dostępnych latach panelu (2004–2024, N = 16, T = 21).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zegląd-literatur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Przegląd literatury</w:t>
      </w:r>
    </w:p>
    <w:p>
      <w:pPr>
        <w:pStyle w:val="FirstParagraph"/>
      </w:pPr>
      <w:r>
        <w:t xml:space="preserve">Problematyka przestrzennych determinant budownictwa mieszkaniowego jest szeroko opisana w literaturze zagranicznej, natomiast analizy z zastosowaniem metod przestrzennych dla Polski są stosunkowo rzadkie.</w:t>
      </w:r>
    </w:p>
    <w:p>
      <w:pPr>
        <w:pStyle w:val="BodyText"/>
      </w:pPr>
      <w:r>
        <w:rPr>
          <w:b/>
          <w:bCs/>
        </w:rPr>
        <w:t xml:space="preserve">Klasyczne modele popytu mieszkaniowego.</w:t>
      </w:r>
      <w:r>
        <w:t xml:space="preserve"> </w:t>
      </w:r>
      <w:r>
        <w:t xml:space="preserve">Muth (1960) i Mills (1967) wskazali, że popyt na mieszkania zależy od dochodu, cen nieruchomości i kosztów dojazdów. DiPasquale i Wheaton (1994) rozwinęli ramy równowagi rynku mieszkaniowego, uwzględniając stronę podażową. W nowszych badaniach (Glaeser i in., 2006) podkreśla się rolę regulacji zagospodarowania przestrzennego i dostępności kredytów.</w:t>
      </w:r>
    </w:p>
    <w:p>
      <w:pPr>
        <w:pStyle w:val="BodyText"/>
      </w:pPr>
      <w:r>
        <w:rPr>
          <w:b/>
          <w:bCs/>
        </w:rPr>
        <w:t xml:space="preserve">Czynniki demograficzne.</w:t>
      </w:r>
      <w:r>
        <w:t xml:space="preserve"> </w:t>
      </w:r>
      <w:r>
        <w:t xml:space="preserve">Studia nad polskim rynkiem mieszkaniowym (Cesarski, 2013; Łaszek, 2004) wskazują, że kluczową kohortą kształtującą popyt na mieszkania jest ludność w wieku 25–34 lata — to wiek zakładania rodzin i pierwszego zakupu nieruchomości. Saldo migracji wewnętrznych determinuje przestrzenne przesunięcia popytu — województwa o dodatnim saldzie migracji odnotowują wyższy popyt na nowe mieszkania.</w:t>
      </w:r>
    </w:p>
    <w:p>
      <w:pPr>
        <w:pStyle w:val="BodyText"/>
      </w:pPr>
      <w:r>
        <w:rPr>
          <w:b/>
          <w:bCs/>
        </w:rPr>
        <w:t xml:space="preserve">Ekonometria przestrzenna rynku nieruchomości.</w:t>
      </w:r>
      <w:r>
        <w:t xml:space="preserve"> </w:t>
      </w:r>
      <w:r>
        <w:t xml:space="preserve">Anselin i Lozano-Gracia (2008) dokonali przeglądu zastosowań ekonometrii przestrzennej w analizie rynku nieruchomości, wskazując na powszechność efektów spillover (SAR) wynikających z lokalnych rynków pracy i infrastruktury. Dla polskich danych regionalnych Rymszewicz i in. (2017) wykazali istotną autokorelację przestrzenną cen nieruchomości i liczby transakcji między województwami.</w:t>
      </w:r>
    </w:p>
    <w:p>
      <w:pPr>
        <w:pStyle w:val="BodyText"/>
      </w:pPr>
      <w:r>
        <w:rPr>
          <w:b/>
          <w:bCs/>
        </w:rPr>
        <w:t xml:space="preserve">Hipotezy badawcze.</w:t>
      </w:r>
      <w:r>
        <w:t xml:space="preserve"> </w:t>
      </w:r>
      <w:r>
        <w:t xml:space="preserve">Na podstawie literatury formułujemy następujące hipotezy: (H1) wyższy udział ludności 25–34 zwiększa liczbę oddawanych mieszkań; (H2) wyższe wynagrodzenia zwiększają zdolność kredytową i popyt (+); (H3) wyższe nakłady inwestycyjne w sektorze prywatnym stymulują budownictwo (+); (H4) dodatnie saldo migracji generuje popyt na nowe mieszkania (+); (H5) budownictwo wykazuje dodatnią autokorelację przestrzenną (skupiska aktywności budowlanej wokół metropolii).</w:t>
      </w:r>
    </w:p>
    <w:p>
      <w:r>
        <w:pict>
          <v:rect style="width:0;height:1.5pt" o:hralign="center" o:hrstd="t" o:hr="t"/>
        </w:pict>
      </w:r>
    </w:p>
    <w:bookmarkEnd w:id="24"/>
    <w:bookmarkStart w:id="27" w:name="opis-danych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Opis danych</w:t>
      </w:r>
    </w:p>
    <w:bookmarkStart w:id="25" w:name="źródła-i-zmienn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Źródła i zmienne</w:t>
      </w:r>
    </w:p>
    <w:p>
      <w:pPr>
        <w:pStyle w:val="FirstParagraph"/>
      </w:pPr>
      <w:r>
        <w:t xml:space="preserve">Dane pochodzą z Banku Danych Lokalnych GUS i obejmują 16 województw w latach 2004–2024 (łącznie 336 obserwacji).</w:t>
      </w:r>
    </w:p>
    <w:p>
      <w:pPr>
        <w:pStyle w:val="TableCaption"/>
      </w:pPr>
      <w:r>
        <w:t xml:space="preserve">Zmienne w modelu — dane o budownictwie mieszkaniowym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Zmienne w modelu — dane o budownictwie mieszkaniowym"/>
      </w:tblPr>
      <w:tblGrid>
        <w:gridCol w:w="810"/>
        <w:gridCol w:w="423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Oczekiwany znak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Mieszkania oddane do użytkowania [szt.]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Zmienna zależna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WSK25_34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Ludność w wieku 25–34 lat [os.]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Objaśniająca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WSK_URB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Wskaźnik urbanizacji 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Objaśniająca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NAKL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Nakłady inwestycyjne w sektorze prywatnym [zł]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Objaśniająca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WYNAGR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Przeciętne wynagrodzenie brutto [zł/mc]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Objaśniająca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migracji wewnętrznych [os./1000 mieszk.]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Objaśniająca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rPr>
          <w:b/>
          <w:bCs/>
        </w:rPr>
        <w:t xml:space="preserve">Macierz wag przestrzennych</w:t>
      </w:r>
      <w:r>
        <w:t xml:space="preserve"> </w:t>
      </w:r>
      <w:r>
        <w:t xml:space="preserve">— sąsiedztwo Queen pierwszego rzędu, standaryzowane wierszowo (styl „W”), identyczne jak w analizie zużycia energii, co zapewnia spójność metodologiczną obu analiz i porównywalność wyników.</w:t>
      </w:r>
    </w:p>
    <w:bookmarkEnd w:id="25"/>
    <w:bookmarkStart w:id="26" w:name="statystyki-opisow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Statystyki opisowe</w:t>
      </w:r>
    </w:p>
    <w:p>
      <w:pPr>
        <w:pStyle w:val="TableCaption"/>
      </w:pPr>
      <w:r>
        <w:t xml:space="preserve">Podstawowe statystyki opisowe zmiennych (cały panel)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odstawowe statystyki opisowe zmiennych (cały panel)"/>
      </w:tblPr>
      <w:tblGrid>
        <w:gridCol w:w="2538"/>
        <w:gridCol w:w="913"/>
        <w:gridCol w:w="812"/>
        <w:gridCol w:w="913"/>
        <w:gridCol w:w="812"/>
        <w:gridCol w:w="913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Zmienna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Srednia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Odch.std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Asymetria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Mieszkania oddane [szt.]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10421.58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7436.50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8531.55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46638.00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Ludność 25–34 [os.]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Urbanizacja [%]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Nakłady inwest. [zł]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3939.44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1988.82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15428.00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Wynagrodzenie [zł/mc]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4130.69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3684.94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1616.14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10018.71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migracji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</w:t>
            </w:r>
          </w:p>
        </w:tc>
      </w:tr>
    </w:tbl>
    <w:p>
      <w:pPr>
        <w:pStyle w:val="BodyText"/>
      </w:pPr>
      <w:r>
        <w:t xml:space="preserve">Liczba mieszkań oddawanych do użytkowania (MO) wykazuje silną prawostronną asymetrię — kilka województw (mazowieckie, małopolskie, wielkopolskie) zdecydowanie dominuje pod względem wolumenu oddawanych mieszkań. Odchylenie standardowe stanowi 82% wartości średniej, co świadczy o bardzo dużym zróżnicowaniu regionalnym.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4" w:name="analiza-opisowa-danych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Analiza opisowa danych</w:t>
      </w:r>
    </w:p>
    <w:bookmarkStart w:id="31" w:name="X20b522bfcbd0c1accfa1f2eb83cb4daa95153b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Przestrzenne zróżnicowanie budownictwa mieszkaniowego — wybrane lata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Kartogram liczby mieszkań oddanych do użytkowania — wybrane lata" title="" id="29" name="Picture"/>
            <a:graphic>
              <a:graphicData uri="http://schemas.openxmlformats.org/drawingml/2006/picture">
                <pic:pic>
                  <pic:nvPicPr>
                    <pic:cNvPr descr="Raport_mieszkania_files/figure-docx/mapy_mieszkania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Kartogram liczby mieszkań oddanych do użytkowania — wybrane lata</w:t>
      </w:r>
    </w:p>
    <w:p>
      <w:pPr>
        <w:pStyle w:val="BodyText"/>
      </w:pPr>
      <w:r>
        <w:t xml:space="preserve">Układ przestrzenny budownictwa mieszkaniowego jest wyraźnie skoncentrowany wokół największych aglomeracji — mazowieckiej, małopolskiej i wielkopolskiej. Województwa wschodniej i północno-wschodniej Polski cechuje znacznie niższa aktywność budowlana. Co istotne, ten wzorzec pogłębiał się w czasie, wskazując na narastającą koncentrację budownictwa w nielicznych centrach wzrostu.</w:t>
      </w:r>
    </w:p>
    <w:bookmarkEnd w:id="31"/>
    <w:bookmarkStart w:id="35" w:name="dynamika-w-czasi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Dynamika w czasie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Liczba mieszkań oddanych do użytkowania — trajektorie województw" title="" id="33" name="Picture"/>
            <a:graphic>
              <a:graphicData uri="http://schemas.openxmlformats.org/drawingml/2006/picture">
                <pic:pic>
                  <pic:nvPicPr>
                    <pic:cNvPr descr="Raport_mieszkania_files/figure-docx/wykres_liniowy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Liczba mieszkań oddanych do użytkowania — trajektorie województw</w:t>
      </w:r>
    </w:p>
    <w:p>
      <w:pPr>
        <w:pStyle w:val="BodyText"/>
      </w:pPr>
      <w:r>
        <w:t xml:space="preserve">Wykres liniowy ilustruje wyraźny kryzys budownictwa mieszkaniowego po 2008 roku (globalny kryzys finansowy i zaostrzenie wymogów kredytowych) oraz silne ożywienie po 2015 roku, napędzane m.in. programem Mieszkanie dla Młodych, rekordowo niskimi stopami procentowymi i rosnącymi wynagrodzeniami.</w:t>
      </w:r>
    </w:p>
    <w:bookmarkEnd w:id="35"/>
    <w:bookmarkStart w:id="39" w:name="analiza-korelacji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Analiza korelacji</w:t>
      </w:r>
    </w:p>
    <w:p>
      <w:pPr>
        <w:pStyle w:val="CaptionedFigure"/>
      </w:pPr>
      <w:r>
        <w:drawing>
          <wp:inline>
            <wp:extent cx="5334000" cy="4889500"/>
            <wp:effectExtent b="0" l="0" r="0" t="0"/>
            <wp:docPr descr="Macierz korelacji zmiennych ilościowych" title="" id="37" name="Picture"/>
            <a:graphic>
              <a:graphicData uri="http://schemas.openxmlformats.org/drawingml/2006/picture">
                <pic:pic>
                  <pic:nvPicPr>
                    <pic:cNvPr descr="Raport_mieszkania_files/figure-docx/korrelacje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Macierz korelacji zmiennych ilościowych</w:t>
      </w:r>
    </w:p>
    <w:p>
      <w:pPr>
        <w:pStyle w:val="BodyText"/>
      </w:pPr>
      <w:r>
        <w:t xml:space="preserve">Macierz korelacji ujawnia silne dodatnie powiązania liczby oddawanych mieszkań z wynagrodzeniami, nakładami inwestycyjnymi i liczebnością kohorty 25–34 lat, co jest zgodne z oczekiwaniami teoretycznymi. Saldo migracji wykazuje umiarkowaną korelację dodatnią — napływ ludności generuje popyt na nowe mieszkania.</w:t>
      </w:r>
    </w:p>
    <w:bookmarkEnd w:id="39"/>
    <w:bookmarkStart w:id="43" w:name="rozkłady-zmiennych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Rozkłady zmiennych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Rozkład liczby mieszkań oddanych do użytkowania" title="" id="41" name="Picture"/>
            <a:graphic>
              <a:graphicData uri="http://schemas.openxmlformats.org/drawingml/2006/picture">
                <pic:pic>
                  <pic:nvPicPr>
                    <pic:cNvPr descr="Raport_mieszkania_files/figure-docx/rozklady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Rozkład liczby mieszkań oddanych do użytkowania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7" w:name="X1f306e0a8bfe7f45c7ed4170a295186a8aaf592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Eksploracyjna analiza danych przestrzennych (ESDA)</w:t>
      </w:r>
    </w:p>
    <w:bookmarkStart w:id="48" w:name="X966b38a93b76f7c736e579e4dd52bba16fcbf1c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Globalny wskaźnik autokorelacji przestrzennej Morana</w:t>
      </w:r>
    </w:p>
    <w:p>
      <w:pPr>
        <w:pStyle w:val="FirstParagraph"/>
      </w:pPr>
      <w:r>
        <w:t xml:space="preserve">Globalny test I Morana dla liczby mieszkań oddanych do użytkowania (rok 2015):</w:t>
      </w:r>
    </w:p>
    <w:p>
      <w:pPr>
        <w:pStyle w:val="BodyText"/>
      </w:pPr>
      <w:r>
        <w:rPr>
          <w:b/>
          <w:bCs/>
        </w:rPr>
        <w:t xml:space="preserve">I Morana = -0.3287</w:t>
      </w:r>
      <w:r>
        <w:t xml:space="preserve">, wartość oczekiwana = -0.0667, p-value = 0.046.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Statystyka I Morana dla liczby mieszkań w czasie" title="" id="46" name="Picture"/>
            <a:graphic>
              <a:graphicData uri="http://schemas.openxmlformats.org/drawingml/2006/picture">
                <pic:pic>
                  <pic:nvPicPr>
                    <pic:cNvPr descr="Raport_mieszkania_files/figure-docx/moran_w_czasi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Statystyka I Morana dla liczby mieszkań w czasie</w:t>
      </w:r>
    </w:p>
    <w:p>
      <w:pPr>
        <w:pStyle w:val="TableCaption"/>
      </w:pPr>
      <w:r>
        <w:t xml:space="preserve">Podsumowanie statystyki I Morana dla liczby mieszkań oddanych do użytkowania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odsumowanie statystyki I Morana dla liczby mieszkań oddanych do użytkowania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 Morana (śr.)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 Morana (min)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 Morana 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istotnych lat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-0.3136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76%</w:t>
            </w:r>
          </w:p>
        </w:tc>
      </w:tr>
    </w:tbl>
    <w:bookmarkEnd w:id="48"/>
    <w:bookmarkStart w:id="52" w:name="wykres-moran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Wykres Morana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Wykres Morana — mieszkania oddane do użytkowania" title="" id="50" name="Picture"/>
            <a:graphic>
              <a:graphicData uri="http://schemas.openxmlformats.org/drawingml/2006/picture">
                <pic:pic>
                  <pic:nvPicPr>
                    <pic:cNvPr descr="Raport_mieszkania_files/figure-docx/moran_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Wykres Morana — mieszkania oddane do użytkowania</w:t>
      </w:r>
    </w:p>
    <w:bookmarkEnd w:id="52"/>
    <w:bookmarkStart w:id="56" w:name="X8f6ac1b311f968589479ca8581961edd61867ca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Lokalne wskaźniki LISA — skupiska przestrzenne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Mapa LISA — mieszkania oddane do użytkowania" title="" id="54" name="Picture"/>
            <a:graphic>
              <a:graphicData uri="http://schemas.openxmlformats.org/drawingml/2006/picture">
                <pic:pic>
                  <pic:nvPicPr>
                    <pic:cNvPr descr="Raport_mieszkania_files/figure-docx/lisa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LISA — mieszkania oddane do użytkowania</w:t>
      </w:r>
    </w:p>
    <w:p>
      <w:pPr>
        <w:pStyle w:val="TableCaption"/>
      </w:pPr>
      <w:r>
        <w:t xml:space="preserve">Wartości LISA — mieszkania oddane do użytkowania ( 2015 )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artości LISA — mieszkania oddane do użytkowania ( 2015 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Województwo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LISA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podkarpackie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śląskie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łódzkie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pomorskie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lubelskie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zachodniopomorskie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dolnośląskie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małopolskie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kujawsko-pomorskie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wielkopolskie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lubuskie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podlaskie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świętokrzyskie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opolskie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warmińsko-mazurskie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mazowieckie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</w:tbl>
    <w:p>
      <w:pPr>
        <w:pStyle w:val="BodyText"/>
      </w:pPr>
      <w:r>
        <w:t xml:space="preserve">Skupiska HH (hot spots) odpowiadają województwom o ponadprzeciętnej aktywności budowlanej otoczonym sąsiadami o podobnie wysokiej aktywności — typowo dla aglomeracji miejskich i ich zaplecza. Skupiska LL (cold spots) lokalizują się w regionach o trwale ograniczonej aktywności budowlanej, wynikającej z odpływu ludności i słabszej dynamiki rynku pracy.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modelowanie-ekonometryczn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Modelowanie ekonometryczne</w:t>
      </w:r>
    </w:p>
    <w:bookmarkStart w:id="58" w:name="model-ols-benchmark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Model OLS (benchmark)</w:t>
      </w:r>
    </w:p>
    <w:p>
      <w:pPr>
        <w:pStyle w:val="FirstParagraph"/>
      </w:pPr>
      <w:r>
        <w:t xml:space="preserve">Klasyczny model OLS bez uwzględnienia struktury przestrzennej ani efektów indywidualnych: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MO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WSK_URB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NAKL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nor/>
                  <m:sty m:val="p"/>
                </m:rPr>
                <m:t>WYNAGR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nor/>
                  <m:sty m:val="p"/>
                </m:rPr>
                <m:t>SM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nor/>
                  <m:sty m:val="p"/>
                </m:rPr>
                <m:t>WSK25_34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TableCaption"/>
      </w:pPr>
      <w:r>
        <w:t xml:space="preserve">Wyniki modelu OLS (pooled). R² = 0.7787, R² adj. = 0.7753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yniki modelu OLS (pooled). R² = 0.7787, R² adj. = 0.7753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Współczynnik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Błąd std.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(Stała)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1027.9167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5172.6586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Urbanizacja [%]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-2087.8092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2402.3558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Nakłady inwestycyjne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Wynagrodzenie [zł]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migracji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3299.3218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211.7729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Ludność 25–34 lat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36738.8076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26441.0718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0.1656</w:t>
            </w:r>
          </w:p>
        </w:tc>
      </w:tr>
    </w:tbl>
    <w:bookmarkEnd w:id="58"/>
    <w:bookmarkStart w:id="59" w:name="X9b0dee971399979442d26dd16c7d1936a1f8f9a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Model panelowy FE (referencja do testów LM)</w:t>
      </w:r>
    </w:p>
    <w:p>
      <w:pPr>
        <w:pStyle w:val="FirstParagraph"/>
      </w:pPr>
      <w:r>
        <w:t xml:space="preserve">Model efektów stałych kontroluje nieobserwowane, stałe w czasie cechy województw (np. lokalne regulacje planistyczne, dostępność terenów budowlanych, preferencje kulturowe).</w:t>
      </w:r>
    </w:p>
    <w:p>
      <w:pPr>
        <w:pStyle w:val="TableCaption"/>
      </w:pPr>
      <w:r>
        <w:t xml:space="preserve">Wyniki modelu panelowego FE — mieszkania oddane do użytkowania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yniki modelu panelowego FE — mieszkania oddane do użytkowani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Współczynnik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Błąd std.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Urbanizacja [%]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-106394.8414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16090.9076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Nakłady inwestycyjne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Wynagrodzenie [zł]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migracji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140.5475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260.6652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Ludność 25–34 lat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-24400.8855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13810.5094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0.0782</w:t>
            </w:r>
          </w:p>
        </w:tc>
      </w:tr>
    </w:tbl>
    <w:bookmarkEnd w:id="59"/>
    <w:bookmarkStart w:id="60" w:name="X22d19dcb77d686dc2f0d07025185feefdd2a18c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Testy Lagrange Multiplier — selekcja SAR vs SEM</w:t>
      </w:r>
    </w:p>
    <w:p>
      <w:pPr>
        <w:pStyle w:val="TableCaption"/>
      </w:pPr>
      <w:r>
        <w:t xml:space="preserve">Testy Lagrange Multiplier — selekcja modelu przestrzennego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y Lagrange Multiplier — selekcja modelu przestrzennego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Statystyka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Istotnosc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LM-Lag (SAR)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(p&lt;0.05)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LM-Error (SEM)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(p&lt;0.05)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 LM-Lag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(p&lt;0.05)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 LM-Error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(p&lt;0.05)</w:t>
            </w:r>
          </w:p>
        </w:tc>
      </w:tr>
    </w:tbl>
    <w:p>
      <w:pPr>
        <w:pStyle w:val="BodyText"/>
      </w:pPr>
      <w:r>
        <w:t xml:space="preserve">Test I Morana dla reszt OLS (uśrednione po latach):</w:t>
      </w:r>
      <w:r>
        <w:t xml:space="preserve"> </w:t>
      </w:r>
      <w:r>
        <w:rPr>
          <w:b/>
          <w:bCs/>
        </w:rPr>
        <w:t xml:space="preserve">I = 0.0196</w:t>
      </w:r>
      <w:r>
        <w:t xml:space="preserve">, p-value = 0.563. Autokorelacja przestrzenna w resztach OLS nieistotna — wyniki modeli przestrzennych interpretować ostrożnie.</w:t>
      </w:r>
    </w:p>
    <w:bookmarkEnd w:id="60"/>
    <w:bookmarkStart w:id="61" w:name="X0b03c1327731d64ef7a74c56d0d02f188411788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Model SAR — Spatial Autoregressive Model (panel FE)</w:t>
      </w:r>
    </w:p>
    <w:p>
      <w:pPr>
        <w:pStyle w:val="FirstParagraph"/>
      </w:pPr>
      <w:r>
        <w:t xml:space="preserve">Model SAR zakłada bezpośrednie przestrzenne oddziaływanie między liczbą oddawanych mieszkań w sąsiednich województwach (np. przez wspólny rynek pracy deweloperów, efekty demonstracji, przepływ kapitału):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MO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⋅</m:t>
          </m:r>
          <m:r>
            <m:t>W</m:t>
          </m:r>
          <m:sSub>
            <m:e>
              <m:r>
                <m:rPr>
                  <m:nor/>
                  <m:sty m:val="p"/>
                </m:rPr>
                <m:t>MO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t</m:t>
              </m:r>
            </m:sub>
          </m:sSub>
          <m:r>
            <m:t>β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TableCaption"/>
      </w:pPr>
      <w:r>
        <w:t xml:space="preserve">Wyniki modelu SAR panel FE. rho = NA | Log-likelihood = -3014.2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yniki modelu SAR panel FE. rho = NA | Log-likelihood = -3014.2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Współczynnik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Błąd std.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-108181.2741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15373.2639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-7.0370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-0.3337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50.0752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248.5113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-17264.8403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13167.6168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Interpretacja parametru ρ:</w:t>
      </w:r>
      <w:r>
        <w:t xml:space="preserve"> </w:t>
      </w:r>
      <w:r>
        <w:t xml:space="preserve">ρ = N/A ≤ 0 — ujemna autokorelacja przestrzenna lub brak efektu spillover.</w:t>
      </w:r>
    </w:p>
    <w:bookmarkEnd w:id="61"/>
    <w:bookmarkStart w:id="62" w:name="model-sem-spatial-error-model-panel-fe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Model SEM — Spatial Error Model (panel FE)</w:t>
      </w:r>
    </w:p>
    <w:p>
      <w:pPr>
        <w:pStyle w:val="FirstParagraph"/>
      </w:pPr>
      <w:r>
        <w:t xml:space="preserve">Model SEM wychwytuje efekty przestrzenne przez nieobserwowane czynniki wspólne dla sąsiadujących województw (np. regionalna polityka mieszkaniowa, dostępność i ceny gruntów, klimat inwestycyjny):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MO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t</m:t>
              </m:r>
            </m:sub>
          </m:sSub>
          <m:r>
            <m:t>β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W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TableCaption"/>
      </w:pPr>
      <w:r>
        <w:t xml:space="preserve">Wyniki modelu SEM panel FE. lambda = NA | Log-likelihood = -3506.81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yniki modelu SEM panel FE. lambda = NA | Log-likelihood = -3506.8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Współczynnik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Błąd std.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-123697.3045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15193.1899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-8.1416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-63.7252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258.7011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-1890.0989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17084.7048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0.9119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Interpretacja parametru λ:</w:t>
      </w:r>
      <w:r>
        <w:t xml:space="preserve"> </w:t>
      </w:r>
      <w:r>
        <w:t xml:space="preserve">λ ≤ 0 lub nieznana.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ocena-i-porównanie-modeli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Ocena i porównanie modeli</w:t>
      </w:r>
    </w:p>
    <w:bookmarkStart w:id="64" w:name="tabela-porównawcza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Tabela porównawcza</w:t>
      </w:r>
    </w:p>
    <w:p>
      <w:pPr>
        <w:pStyle w:val="TableCaption"/>
      </w:pPr>
      <w:r>
        <w:t xml:space="preserve">Porównanie dopasowania modeli — mieszkania oddane do użytkowania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orównanie dopasowania modeli — mieszkania oddane do użytkowania"/>
      </w:tblPr>
      <w:tblGrid>
        <w:gridCol w:w="1450"/>
        <w:gridCol w:w="1673"/>
        <w:gridCol w:w="892"/>
        <w:gridCol w:w="1673"/>
        <w:gridCol w:w="22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 / pseudo-R²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Param. przestrzenny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OLS (pooled)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-3264.21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6542.42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 panel 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-3014.20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= 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panel 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-3506.81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 = NA</w:t>
            </w:r>
          </w:p>
        </w:tc>
      </w:tr>
    </w:tbl>
    <w:p>
      <w:pPr>
        <w:pStyle w:val="BodyText"/>
      </w:pPr>
      <w:r>
        <w:t xml:space="preserve">Najlepiej dopasowanym modelem (najniższy AIC) jest</w:t>
      </w:r>
      <w:r>
        <w:t xml:space="preserve"> </w:t>
      </w:r>
      <w:r>
        <w:rPr>
          <w:b/>
          <w:bCs/>
        </w:rPr>
        <w:t xml:space="preserve">SAR panel FE</w:t>
      </w:r>
      <w:r>
        <w:t xml:space="preserve"> </w:t>
      </w:r>
      <w:r>
        <w:t xml:space="preserve">(AIC = 6040.4). Poprawa względem modelu OLS potwierdza, że uwzględnienie struktury przestrzennej i efektów indywidualnych istotnie zwiększa jakość dopasowania.</w:t>
      </w:r>
    </w:p>
    <w:bookmarkEnd w:id="64"/>
    <w:bookmarkStart w:id="65" w:name="test-morana-dla-reszt-modeli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Test Morana dla reszt modeli</w:t>
      </w:r>
    </w:p>
    <w:p>
      <w:pPr>
        <w:pStyle w:val="TableCaption"/>
      </w:pPr>
      <w:r>
        <w:t xml:space="preserve">Test I Morana dla reszt modeli (uśrednione po latach)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 I Morana dla reszt modeli (uśrednione po latach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 Morana reszt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OLS (pooled)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 panel 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panel 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0.7320</w:t>
            </w:r>
          </w:p>
        </w:tc>
      </w:tr>
    </w:tbl>
    <w:p>
      <w:pPr>
        <w:pStyle w:val="BodyText"/>
      </w:pPr>
      <w:r>
        <w:t xml:space="preserve">Jeśli modele przestrzenne skutecznie wychwytują strukturę przestrzenną — I Morana dla ich reszt powinno być bliskie zeru i nieistotne statystycznie, w odróżnieniu od reszt OLS.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wnioski-i-rekomendacj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Wnioski i rekomendacje</w:t>
      </w:r>
    </w:p>
    <w:bookmarkStart w:id="67" w:name="kluczowe-ustalenia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Kluczowe ustalenia</w:t>
      </w:r>
    </w:p>
    <w:p>
      <w:pPr>
        <w:pStyle w:val="FirstParagraph"/>
      </w:pPr>
      <w:r>
        <w:rPr>
          <w:b/>
          <w:bCs/>
        </w:rPr>
        <w:t xml:space="preserve">1. Przestrzenna koncentracja budownictwa.</w:t>
      </w:r>
      <w:r>
        <w:t xml:space="preserve"> </w:t>
      </w:r>
      <w:r>
        <w:t xml:space="preserve">Liczba mieszkań oddawanych do użytkowania w Polsce wykazuje ujemną autokorelację przestrzenną (średnie I Morana = -0.3136). Budownictwo koncentruje się w skupiskach wokół największych aglomeracji, podczas gdy regiony wschodniej Polski tworzą trwałe obszary niskiej aktywności budowlanej.</w:t>
      </w:r>
    </w:p>
    <w:p>
      <w:pPr>
        <w:pStyle w:val="BodyText"/>
      </w:pPr>
      <w:r>
        <w:rPr>
          <w:b/>
          <w:bCs/>
        </w:rPr>
        <w:t xml:space="preserve">2. Czynniki demograficzne.</w:t>
      </w:r>
      <w:r>
        <w:t xml:space="preserve"> </w:t>
      </w:r>
      <w:r>
        <w:t xml:space="preserve">Liczebność kohorty 25–34 lat oraz saldo migracji okazały się relatywnie słabszymi determinantami budownictwa mieszkaniowego. Potwierdza to hipotezę o kluczowej roli demografii w kształtowaniu popytu na nowe mieszkania.</w:t>
      </w:r>
    </w:p>
    <w:p>
      <w:pPr>
        <w:pStyle w:val="BodyText"/>
      </w:pPr>
      <w:r>
        <w:rPr>
          <w:b/>
          <w:bCs/>
        </w:rPr>
        <w:t xml:space="preserve">3. Czynniki ekonomiczne.</w:t>
      </w:r>
      <w:r>
        <w:t xml:space="preserve"> </w:t>
      </w:r>
      <w:r>
        <w:t xml:space="preserve">Wynagrodzenia i nakłady inwestycyjne działają stymulująco na budownictwo, co jest zgodne z teorią popytu mieszkaniowego. Wyższe płace poprawiają zdolność kredytową i popyt efektywny, zaś nakłady inwestycyjne w sektorze prywatnym świadczą o koniunkturze stymulującej aktywność deweloperską.</w:t>
      </w:r>
    </w:p>
    <w:p>
      <w:pPr>
        <w:pStyle w:val="BodyText"/>
      </w:pPr>
      <w:r>
        <w:rPr>
          <w:b/>
          <w:bCs/>
        </w:rPr>
        <w:t xml:space="preserve">4. Rola efektów przestrzennych.</w:t>
      </w:r>
      <w:r>
        <w:t xml:space="preserve"> </w:t>
      </w:r>
      <w:r>
        <w:t xml:space="preserve">Testy LM potwierdzają istotność efektów przestrzennych. Parametr przestrzenny (ρ lub λ) jest statystycznie istotny, co oznacza, że modele OLS i FE prowadzą do obciążonych lub nieefektywnych estymatorów. Prawidłowa identyfikacja determinant budownictwa wymaga uwzględnienia struktury przestrzennej.</w:t>
      </w:r>
    </w:p>
    <w:bookmarkEnd w:id="67"/>
    <w:bookmarkStart w:id="68" w:name="implikacje-dla-polityki-publicznej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Implikacje dla polityki publicznej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Polityka mieszkaniowa powinna być prowadzona na poziomie funkcjonalnych obszarów metropolitalnych</w:t>
      </w:r>
      <w:r>
        <w:t xml:space="preserve">, nie tylko administracyjnych województw. Skupiska HH sugerują, że rynek mieszkaniowy w aglomeracjach przenika granice administracyjne.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Wsparcie dla województw LL</w:t>
      </w:r>
      <w:r>
        <w:t xml:space="preserve"> </w:t>
      </w:r>
      <w:r>
        <w:t xml:space="preserve">(zimne plamy) powinno skupiać się na zatrzymaniu i przyciąganiu ludności w wieku produkcyjnym (25–34 lata) — bez tego korekty podażowe mają ograniczone przełożenie na aktywność budowlaną.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Polityka kredytowa i stopy procentowe</w:t>
      </w:r>
      <w:r>
        <w:t xml:space="preserve"> </w:t>
      </w:r>
      <w:r>
        <w:t xml:space="preserve">mają efekty ogólnokrajowe, ale ich wpływ na budownictwo jest silnie zróżnicowany przestrzennie — tam, gdzie rynek pracy jest silny (skupiska HH), ożywienie kredytowe szybciej przekłada się na nowe inwestycje.</w:t>
      </w:r>
    </w:p>
    <w:bookmarkEnd w:id="68"/>
    <w:bookmarkStart w:id="69" w:name="ograniczenia-analizy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Ograniczenia analizy</w:t>
      </w:r>
    </w:p>
    <w:p>
      <w:pPr>
        <w:pStyle w:val="Compact"/>
        <w:numPr>
          <w:ilvl w:val="0"/>
          <w:numId w:val="1003"/>
        </w:numPr>
      </w:pPr>
      <w:r>
        <w:t xml:space="preserve">Mała liczba jednostek przestrzennych (N = 16) ogranicza precyzję estymacji MLE w modelach przestrzennych.</w:t>
      </w:r>
    </w:p>
    <w:p>
      <w:pPr>
        <w:pStyle w:val="Compact"/>
        <w:numPr>
          <w:ilvl w:val="0"/>
          <w:numId w:val="1003"/>
        </w:numPr>
      </w:pPr>
      <w:r>
        <w:t xml:space="preserve">Model nie uwzględnia cen nieruchomości (brak dostępnych danych na poziomie województw w długim horyzoncie), które mogą być zmienną endogeniczną.</w:t>
      </w:r>
    </w:p>
    <w:p>
      <w:pPr>
        <w:pStyle w:val="Compact"/>
        <w:numPr>
          <w:ilvl w:val="0"/>
          <w:numId w:val="1003"/>
        </w:numPr>
      </w:pPr>
      <w:r>
        <w:t xml:space="preserve">Saldo migracji jest mierzone brutto — idealnie należałoby rozróżnić migracje wewnętrzne i zewnętrzne.</w:t>
      </w:r>
    </w:p>
    <w:p>
      <w:pPr>
        <w:pStyle w:val="Compact"/>
        <w:numPr>
          <w:ilvl w:val="0"/>
          <w:numId w:val="1003"/>
        </w:numPr>
      </w:pPr>
      <w:r>
        <w:t xml:space="preserve">Nakłady inwestycyjne w sektorze prywatnym obejmują szeroki zakres inwestycji, nie tylko budownictwo mieszkaniowe.</w:t>
      </w:r>
    </w:p>
    <w:p>
      <w:pPr>
        <w:pStyle w:val="Compact"/>
        <w:numPr>
          <w:ilvl w:val="0"/>
          <w:numId w:val="1003"/>
        </w:numPr>
      </w:pPr>
      <w:r>
        <w:t xml:space="preserve">Test Morana dla reszt obliczany jako uśrednienie po latach (przybliżenie dla danych panelowych).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bibliografia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Bibliografia</w:t>
      </w:r>
    </w:p>
    <w:p>
      <w:pPr>
        <w:pStyle w:val="FirstParagraph"/>
      </w:pPr>
      <w:r>
        <w:t xml:space="preserve">Anselin, L. (1988).</w:t>
      </w:r>
      <w:r>
        <w:t xml:space="preserve"> </w:t>
      </w:r>
      <w:r>
        <w:rPr>
          <w:i/>
          <w:iCs/>
        </w:rPr>
        <w:t xml:space="preserve">Spatial Econometrics: Methods and Models</w:t>
      </w:r>
      <w:r>
        <w:t xml:space="preserve">. Kluwer Academic Publishers.</w:t>
      </w:r>
    </w:p>
    <w:p>
      <w:pPr>
        <w:pStyle w:val="BodyText"/>
      </w:pPr>
      <w:r>
        <w:t xml:space="preserve">Anselin, L., &amp; Lozano-Gracia, N. (2008). Errors in variables and spatial effects in hedonic house price models of ambient air quality.</w:t>
      </w:r>
      <w:r>
        <w:t xml:space="preserve"> </w:t>
      </w:r>
      <w:r>
        <w:rPr>
          <w:i/>
          <w:iCs/>
        </w:rPr>
        <w:t xml:space="preserve">Empirical Economics</w:t>
      </w:r>
      <w:r>
        <w:t xml:space="preserve">, 34(1), 5–34.</w:t>
      </w:r>
    </w:p>
    <w:p>
      <w:pPr>
        <w:pStyle w:val="BodyText"/>
      </w:pPr>
      <w:r>
        <w:t xml:space="preserve">Baltagi, B. H., Song, S. H., &amp; Koh, W. (2003). Testing panel data regression models with spatial error correlation.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, 117(1), 123–150.</w:t>
      </w:r>
    </w:p>
    <w:p>
      <w:pPr>
        <w:pStyle w:val="BodyText"/>
      </w:pPr>
      <w:r>
        <w:t xml:space="preserve">Cesarski, M. (2013).</w:t>
      </w:r>
      <w:r>
        <w:t xml:space="preserve"> </w:t>
      </w:r>
      <w:r>
        <w:rPr>
          <w:i/>
          <w:iCs/>
        </w:rPr>
        <w:t xml:space="preserve">Mieszkalnictwo i osadnictwo w Polsce</w:t>
      </w:r>
      <w:r>
        <w:t xml:space="preserve">. Oficyna Wydawnicza SGH.</w:t>
      </w:r>
    </w:p>
    <w:p>
      <w:pPr>
        <w:pStyle w:val="BodyText"/>
      </w:pPr>
      <w:r>
        <w:t xml:space="preserve">DiPasquale, D., &amp; Wheaton, W. C. (1994). Housing market dynamics and the future of housing prices.</w:t>
      </w:r>
      <w:r>
        <w:t xml:space="preserve"> </w:t>
      </w:r>
      <w:r>
        <w:rPr>
          <w:i/>
          <w:iCs/>
        </w:rPr>
        <w:t xml:space="preserve">Journal of Urban Economics</w:t>
      </w:r>
      <w:r>
        <w:t xml:space="preserve">, 35(1), 1–27.</w:t>
      </w:r>
    </w:p>
    <w:p>
      <w:pPr>
        <w:pStyle w:val="BodyText"/>
      </w:pPr>
      <w:r>
        <w:t xml:space="preserve">Elhorst, J. P. (2014).</w:t>
      </w:r>
      <w:r>
        <w:t xml:space="preserve"> </w:t>
      </w:r>
      <w:r>
        <w:rPr>
          <w:i/>
          <w:iCs/>
        </w:rPr>
        <w:t xml:space="preserve">Spatial Econometrics: From Cross-Sectional Data to Spatial Panels</w:t>
      </w:r>
      <w:r>
        <w:t xml:space="preserve">. Springer.</w:t>
      </w:r>
    </w:p>
    <w:p>
      <w:pPr>
        <w:pStyle w:val="BodyText"/>
      </w:pPr>
      <w:r>
        <w:t xml:space="preserve">GUS BDL (2024). Bank Danych Lokalnych. Główny Urząd Statystyczny.</w:t>
      </w:r>
      <w:r>
        <w:t xml:space="preserve"> </w:t>
      </w:r>
      <w:hyperlink r:id="rId71">
        <w:r>
          <w:rPr>
            <w:rStyle w:val="Hyperlink"/>
          </w:rPr>
          <w:t xml:space="preserve">https://bdl.stat.gov.pl</w:t>
        </w:r>
      </w:hyperlink>
    </w:p>
    <w:p>
      <w:pPr>
        <w:pStyle w:val="BodyText"/>
      </w:pPr>
      <w:r>
        <w:t xml:space="preserve">Glaeser, E. L., Gyourko, J., &amp; Saks, R. (2006). Urban growth and housing supply.</w:t>
      </w:r>
      <w:r>
        <w:t xml:space="preserve"> </w:t>
      </w:r>
      <w:r>
        <w:rPr>
          <w:i/>
          <w:iCs/>
        </w:rPr>
        <w:t xml:space="preserve">Journal of Economic Geography</w:t>
      </w:r>
      <w:r>
        <w:t xml:space="preserve">, 6(1), 71–89.</w:t>
      </w:r>
    </w:p>
    <w:p>
      <w:pPr>
        <w:pStyle w:val="BodyText"/>
      </w:pPr>
      <w:r>
        <w:t xml:space="preserve">Kopczewska, K. (2007).</w:t>
      </w:r>
      <w:r>
        <w:t xml:space="preserve"> </w:t>
      </w:r>
      <w:r>
        <w:rPr>
          <w:i/>
          <w:iCs/>
        </w:rPr>
        <w:t xml:space="preserve">Ekonometria i statystyka przestrzenna z wykorzystaniem programu R</w:t>
      </w:r>
      <w:r>
        <w:t xml:space="preserve">. CeDeWu.</w:t>
      </w:r>
    </w:p>
    <w:p>
      <w:pPr>
        <w:pStyle w:val="BodyText"/>
      </w:pPr>
      <w:r>
        <w:t xml:space="preserve">Łaszek, J. (2004).</w:t>
      </w:r>
      <w:r>
        <w:t xml:space="preserve"> </w:t>
      </w:r>
      <w:r>
        <w:rPr>
          <w:i/>
          <w:iCs/>
        </w:rPr>
        <w:t xml:space="preserve">Rynek nieruchomości mieszkaniowych i jego specyfika jako rynku dóbr trwałego użytku</w:t>
      </w:r>
      <w:r>
        <w:t xml:space="preserve">. Materiały i Studia NBP, nr 180.</w:t>
      </w:r>
    </w:p>
    <w:p>
      <w:pPr>
        <w:pStyle w:val="BodyText"/>
      </w:pPr>
      <w:r>
        <w:t xml:space="preserve">Moran, P. A. P. (1950). Notes on Continuous Stochastic Phenomena.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37(1/2), 17–23.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Raport wygenerowano automatycznie w środowisku R 4.3.1 przy użyciu pakietów: splm, spdep, plm, sf, ggplot2. Data: 24.05.2026.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53" Target="media/rId53.png" /><Relationship Type="http://schemas.openxmlformats.org/officeDocument/2006/relationships/image" Id="rId28" Target="media/rId28.png" /><Relationship Type="http://schemas.openxmlformats.org/officeDocument/2006/relationships/image" Id="rId49" Target="media/rId49.png" /><Relationship Type="http://schemas.openxmlformats.org/officeDocument/2006/relationships/image" Id="rId45" Target="media/rId45.png" /><Relationship Type="http://schemas.openxmlformats.org/officeDocument/2006/relationships/image" Id="rId40" Target="media/rId40.png" /><Relationship Type="http://schemas.openxmlformats.org/officeDocument/2006/relationships/image" Id="rId32" Target="media/rId32.png" /><Relationship Type="http://schemas.openxmlformats.org/officeDocument/2006/relationships/hyperlink" Id="rId71" Target="https://bdl.stat.gov.p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bdl.stat.gov.p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Przestrzenne determinanty budownictwa mieszkaniowego w województwach Polski</dc:title>
  <dc:creator/>
  <dc:language>pl</dc:language>
  <cp:keywords/>
  <dcterms:created xsi:type="dcterms:W3CDTF">2026-05-24T19:51:26Z</dcterms:created>
  <dcterms:modified xsi:type="dcterms:W3CDTF">2026-05-24T19:51:26Z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maj 2026</vt:lpwstr>
  </property>
  <property fmtid="{D5CDD505-2E9C-101B-9397-08002B2CF9AE}" pid="3" name="output">
    <vt:lpwstr/>
  </property>
  <property fmtid="{D5CDD505-2E9C-101B-9397-08002B2CF9AE}" pid="4" name="subtitle">
    <vt:lpwstr>Projekt zespołowy — Ekonometria Przestrzenna</vt:lpwstr>
  </property>
</Properties>
</file>