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C85B1" w14:textId="77777777" w:rsidR="006879B9" w:rsidRDefault="00050C95">
      <w:pPr>
        <w:pStyle w:val="Tytu"/>
      </w:pPr>
      <w:r>
        <w:t>Przestrzenne determinanty budownictwa mieszkaniowego w województwach Polski</w:t>
      </w:r>
    </w:p>
    <w:p w14:paraId="04A19FAF" w14:textId="77777777" w:rsidR="006879B9" w:rsidRDefault="00050C95">
      <w:pPr>
        <w:pStyle w:val="Podtytu"/>
      </w:pPr>
      <w:r>
        <w:t>Projekt zespołowy — Ekonometria Przestrzenna</w:t>
      </w:r>
    </w:p>
    <w:p w14:paraId="4777C1E2" w14:textId="77777777" w:rsidR="006879B9" w:rsidRDefault="00050C95">
      <w:pPr>
        <w:pStyle w:val="Data"/>
      </w:pPr>
      <w:r>
        <w:t>26 maj 2026</w:t>
      </w:r>
    </w:p>
    <w:sdt>
      <w:sdtPr>
        <w:rPr>
          <w:lang w:val="pl-PL"/>
        </w:rPr>
        <w:id w:val="-21116542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pl"/>
        </w:rPr>
      </w:sdtEndPr>
      <w:sdtContent>
        <w:p w14:paraId="540C4EE3" w14:textId="5392C80E" w:rsidR="00DA7B82" w:rsidRDefault="00DA7B82">
          <w:pPr>
            <w:pStyle w:val="Nagwekspisutreci"/>
          </w:pPr>
          <w:r>
            <w:rPr>
              <w:lang w:val="pl-PL"/>
            </w:rPr>
            <w:t>Spis treści</w:t>
          </w:r>
        </w:p>
        <w:p w14:paraId="2EB94D87" w14:textId="571AC79A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7214" w:history="1">
            <w:r w:rsidRPr="00DA7B82">
              <w:rPr>
                <w:rStyle w:val="Hipercze"/>
                <w:noProof/>
                <w:color w:val="auto"/>
              </w:rPr>
              <w:t>1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Wstęp i problem badawczy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_Toc232627214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2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15E0081E" w14:textId="1D93A01E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15" w:history="1">
            <w:r w:rsidRPr="00DA7B82">
              <w:rPr>
                <w:rStyle w:val="Hipercze"/>
                <w:color w:val="auto"/>
              </w:rPr>
              <w:t>1.1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Uzasadnienie wyboru tematu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_Toc232627215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2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4EA412BB" w14:textId="1A897751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16" w:history="1">
            <w:r w:rsidRPr="00DA7B82">
              <w:rPr>
                <w:rStyle w:val="Hipercze"/>
                <w:color w:val="auto"/>
              </w:rPr>
              <w:t>1.2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Pytania badawcze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_Toc232627216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2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076F73BE" w14:textId="67E2DA86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17" w:history="1">
            <w:r w:rsidRPr="00DA7B82">
              <w:rPr>
                <w:rStyle w:val="Hipercze"/>
                <w:color w:val="auto"/>
              </w:rPr>
              <w:t>1.3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Poziom przestrzenny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_Toc232627217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2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59B7F166" w14:textId="161B5696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18" w:history="1">
            <w:r w:rsidRPr="00DA7B82">
              <w:rPr>
                <w:rStyle w:val="Hipercze"/>
                <w:noProof/>
                <w:color w:val="auto"/>
              </w:rPr>
              <w:t>2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Przegląd literatury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_Toc232627218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3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00B4CACC" w14:textId="63449EF3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19" w:history="1">
            <w:r w:rsidRPr="00DA7B82">
              <w:rPr>
                <w:rStyle w:val="Hipercze"/>
                <w:noProof/>
                <w:color w:val="auto"/>
              </w:rPr>
              <w:t>3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Opis danych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_Toc232627219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4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32D4A770" w14:textId="53C8F532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0" w:history="1">
            <w:r w:rsidRPr="00DA7B82">
              <w:rPr>
                <w:rStyle w:val="Hipercze"/>
                <w:color w:val="auto"/>
              </w:rPr>
              <w:t>3.1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Źródła i zmienne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_Toc232627220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4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2328376D" w14:textId="5706625C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1" w:history="1">
            <w:r w:rsidRPr="00DA7B82">
              <w:rPr>
                <w:rStyle w:val="Hipercze"/>
                <w:color w:val="auto"/>
              </w:rPr>
              <w:t>3.2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Statystyki opisowe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_Toc232627221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4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58E3175E" w14:textId="0702D9F5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22" w:history="1">
            <w:r w:rsidRPr="00DA7B82">
              <w:rPr>
                <w:rStyle w:val="Hipercze"/>
                <w:noProof/>
                <w:color w:val="auto"/>
              </w:rPr>
              <w:t>4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Analiza opisowa danych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_Toc232627222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6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1B044D46" w14:textId="416CFCBF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3" w:history="1">
            <w:r w:rsidRPr="00DA7B82">
              <w:rPr>
                <w:rStyle w:val="Hipercze"/>
                <w:color w:val="auto"/>
              </w:rPr>
              <w:t>4.1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Przestrzenne zróżnicowanie budownictwa mieszkaniowego — wybrane lata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_Toc232627223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6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0F15499A" w14:textId="54AC4ADA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4" w:history="1">
            <w:r w:rsidRPr="00DA7B82">
              <w:rPr>
                <w:rStyle w:val="Hipercze"/>
                <w:color w:val="auto"/>
              </w:rPr>
              <w:t>4.2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Dynamika w czasie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_Toc232627224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7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3EB56440" w14:textId="59D67BFA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5" w:history="1">
            <w:r w:rsidRPr="00DA7B82">
              <w:rPr>
                <w:rStyle w:val="Hipercze"/>
                <w:color w:val="auto"/>
              </w:rPr>
              <w:t>4.3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Analiza korelacji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_Toc232627225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8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4FD3B3C8" w14:textId="26961CAE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6" w:history="1">
            <w:r w:rsidRPr="00DA7B82">
              <w:rPr>
                <w:rStyle w:val="Hipercze"/>
                <w:color w:val="auto"/>
              </w:rPr>
              <w:t>4.4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Rozkłady zmiennych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_Toc232627226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9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07A4D2E8" w14:textId="7C173790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27" w:history="1">
            <w:r w:rsidRPr="00DA7B82">
              <w:rPr>
                <w:rStyle w:val="Hipercze"/>
                <w:noProof/>
                <w:color w:val="auto"/>
              </w:rPr>
              <w:t>5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Eksploracyjna analiza danych przestrzennych (ESDA)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_Toc232627227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9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593BBA30" w14:textId="3D1DB2F9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8" w:history="1">
            <w:r w:rsidRPr="00DA7B82">
              <w:rPr>
                <w:rStyle w:val="Hipercze"/>
                <w:color w:val="auto"/>
              </w:rPr>
              <w:t>5.1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Globalny wskaźnik autokorelacji przestrzennej Morana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_Toc232627228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9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6362AE35" w14:textId="023D84C5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29" w:history="1">
            <w:r w:rsidRPr="00DA7B82">
              <w:rPr>
                <w:rStyle w:val="Hipercze"/>
                <w:color w:val="auto"/>
              </w:rPr>
              <w:t>5.2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Wykres Morana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_Toc232627229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11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5BC2213C" w14:textId="6F3EE08B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30" w:history="1">
            <w:r w:rsidRPr="00DA7B82">
              <w:rPr>
                <w:rStyle w:val="Hipercze"/>
                <w:color w:val="auto"/>
              </w:rPr>
              <w:t>5.3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Lokalne wskaźniki LISA — skupiska przestrzenne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_Toc232627230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11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4181EFE9" w14:textId="2DEF98E2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31" w:history="1">
            <w:r w:rsidRPr="00DA7B82">
              <w:rPr>
                <w:rStyle w:val="Hipercze"/>
                <w:noProof/>
                <w:color w:val="auto"/>
              </w:rPr>
              <w:t>6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Modelowanie ekonometryczne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_Toc232627231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13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30DD93D0" w14:textId="40B170BF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32" w:history="1">
            <w:r w:rsidRPr="00DA7B82">
              <w:rPr>
                <w:rStyle w:val="Hipercze"/>
                <w:color w:val="auto"/>
              </w:rPr>
              <w:t>6.1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Model OLS (benchmark)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_Toc232627232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13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3F7C680E" w14:textId="47DE0DBB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33" w:history="1">
            <w:r w:rsidRPr="00DA7B82">
              <w:rPr>
                <w:rStyle w:val="Hipercze"/>
                <w:color w:val="auto"/>
              </w:rPr>
              <w:t>6.2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Model panelowy FE (referencja do testów LM)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_Toc232627233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14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22B0C498" w14:textId="7C98742C" w:rsidR="00DA7B82" w:rsidRPr="00DA7B82" w:rsidRDefault="00DA7B82">
          <w:pPr>
            <w:pStyle w:val="Spistreci3"/>
            <w:tabs>
              <w:tab w:val="left" w:pos="144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34" w:history="1">
            <w:r w:rsidRPr="00DA7B82">
              <w:rPr>
                <w:rStyle w:val="Hipercze"/>
                <w:noProof/>
                <w:color w:val="auto"/>
              </w:rPr>
              <w:t>6.2.1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Test F dla efektów stałych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_Toc232627234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14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7272B715" w14:textId="216E068C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35" w:history="1">
            <w:r w:rsidRPr="00DA7B82">
              <w:rPr>
                <w:rStyle w:val="Hipercze"/>
                <w:color w:val="auto"/>
                <w:lang w:val="en-US"/>
              </w:rPr>
              <w:t>6.3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  <w:lang w:val="en-US"/>
              </w:rPr>
              <w:t>Testy Lagrange Multiplier — selekcja SAR vs SEM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_Toc232627235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14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35E6A5DA" w14:textId="036E1E17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36" w:history="1">
            <w:r w:rsidRPr="00DA7B82">
              <w:rPr>
                <w:rStyle w:val="Hipercze"/>
                <w:color w:val="auto"/>
                <w:lang w:val="en-US"/>
              </w:rPr>
              <w:t>6.4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  <w:lang w:val="en-US"/>
              </w:rPr>
              <w:t>Model SAR — Spatial Autoregressive Model (panel FE)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_Toc232627236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15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6C757489" w14:textId="453B3D6A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37" w:history="1">
            <w:r w:rsidRPr="00DA7B82">
              <w:rPr>
                <w:rStyle w:val="Hipercze"/>
                <w:color w:val="auto"/>
                <w:lang w:val="en-US"/>
              </w:rPr>
              <w:t>6.5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  <w:lang w:val="en-US"/>
              </w:rPr>
              <w:t>Model SEM — Spatial Error Model (panel FE)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_Toc232627237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15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71048B86" w14:textId="2BF04A45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38" w:history="1">
            <w:r w:rsidRPr="00DA7B82">
              <w:rPr>
                <w:rStyle w:val="Hipercze"/>
                <w:noProof/>
                <w:color w:val="auto"/>
              </w:rPr>
              <w:t>7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Ocena i porównanie modeli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_Toc232627238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16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56699947" w14:textId="5C7F5B90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39" w:history="1">
            <w:r w:rsidRPr="00DA7B82">
              <w:rPr>
                <w:rStyle w:val="Hipercze"/>
                <w:color w:val="auto"/>
              </w:rPr>
              <w:t>7.1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Tabela porównawcza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_Toc232627239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16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2C2A0D8A" w14:textId="3DB6B352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40" w:history="1">
            <w:r w:rsidRPr="00DA7B82">
              <w:rPr>
                <w:rStyle w:val="Hipercze"/>
                <w:color w:val="auto"/>
              </w:rPr>
              <w:t>7.2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Test Morana dla reszt modeli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_Toc232627240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17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64562B51" w14:textId="281601AE" w:rsidR="00DA7B82" w:rsidRP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41" w:history="1">
            <w:r w:rsidRPr="00DA7B82">
              <w:rPr>
                <w:rStyle w:val="Hipercze"/>
                <w:noProof/>
                <w:color w:val="auto"/>
              </w:rPr>
              <w:t>8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Wnioski i rekomendacje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_Toc232627241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18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58C8A781" w14:textId="684101FA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42" w:history="1">
            <w:r w:rsidRPr="00DA7B82">
              <w:rPr>
                <w:rStyle w:val="Hipercze"/>
                <w:color w:val="auto"/>
              </w:rPr>
              <w:t>8.1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Kluczowe ustalenia i wnioski końcowe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_Toc232627242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18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24CEDAFA" w14:textId="59937E11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43" w:history="1">
            <w:r w:rsidRPr="00DA7B82">
              <w:rPr>
                <w:rStyle w:val="Hipercze"/>
                <w:color w:val="auto"/>
              </w:rPr>
              <w:t xml:space="preserve">8.2 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Ograniczenia analizy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_Toc232627243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19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2EB37DDE" w14:textId="7258EF64" w:rsidR="00DA7B82" w:rsidRPr="00DA7B82" w:rsidRDefault="00DA7B82">
          <w:pPr>
            <w:pStyle w:val="Spistreci2"/>
            <w:rPr>
              <w:rFonts w:eastAsiaTheme="minorEastAsia"/>
              <w:color w:val="auto"/>
              <w:kern w:val="2"/>
              <w:lang w:val="pl-PL" w:eastAsia="pl-PL"/>
              <w14:ligatures w14:val="standardContextual"/>
            </w:rPr>
          </w:pPr>
          <w:hyperlink w:anchor="_Toc232627244" w:history="1">
            <w:r w:rsidRPr="00DA7B82">
              <w:rPr>
                <w:rStyle w:val="Hipercze"/>
                <w:color w:val="auto"/>
              </w:rPr>
              <w:t>8.3</w:t>
            </w:r>
            <w:r w:rsidRPr="00DA7B82">
              <w:rPr>
                <w:rFonts w:eastAsiaTheme="minorEastAsia"/>
                <w:color w:val="auto"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color w:val="auto"/>
              </w:rPr>
              <w:t>Rekomendacje</w:t>
            </w:r>
            <w:r w:rsidRPr="00DA7B82">
              <w:rPr>
                <w:webHidden/>
                <w:color w:val="auto"/>
              </w:rPr>
              <w:tab/>
            </w:r>
            <w:r w:rsidRPr="00DA7B82">
              <w:rPr>
                <w:webHidden/>
                <w:color w:val="auto"/>
              </w:rPr>
              <w:fldChar w:fldCharType="begin"/>
            </w:r>
            <w:r w:rsidRPr="00DA7B82">
              <w:rPr>
                <w:webHidden/>
                <w:color w:val="auto"/>
              </w:rPr>
              <w:instrText xml:space="preserve"> PAGEREF _Toc232627244 \h </w:instrText>
            </w:r>
            <w:r w:rsidRPr="00DA7B82">
              <w:rPr>
                <w:webHidden/>
                <w:color w:val="auto"/>
              </w:rPr>
            </w:r>
            <w:r w:rsidRPr="00DA7B82">
              <w:rPr>
                <w:webHidden/>
                <w:color w:val="auto"/>
              </w:rPr>
              <w:fldChar w:fldCharType="separate"/>
            </w:r>
            <w:r w:rsidRPr="00DA7B82">
              <w:rPr>
                <w:webHidden/>
                <w:color w:val="auto"/>
              </w:rPr>
              <w:t>19</w:t>
            </w:r>
            <w:r w:rsidRPr="00DA7B82">
              <w:rPr>
                <w:webHidden/>
                <w:color w:val="auto"/>
              </w:rPr>
              <w:fldChar w:fldCharType="end"/>
            </w:r>
          </w:hyperlink>
        </w:p>
        <w:p w14:paraId="36F06758" w14:textId="0B08A840" w:rsidR="00DA7B82" w:rsidRDefault="00DA7B82">
          <w:pPr>
            <w:pStyle w:val="Spistreci1"/>
            <w:tabs>
              <w:tab w:val="left" w:pos="480"/>
              <w:tab w:val="right" w:leader="dot" w:pos="9396"/>
            </w:tabs>
            <w:rPr>
              <w:rFonts w:eastAsiaTheme="minorEastAsia"/>
              <w:noProof/>
              <w:kern w:val="2"/>
              <w:lang w:val="pl-PL" w:eastAsia="pl-PL"/>
              <w14:ligatures w14:val="standardContextual"/>
            </w:rPr>
          </w:pPr>
          <w:hyperlink w:anchor="_Toc232627245" w:history="1">
            <w:r w:rsidRPr="00DA7B82">
              <w:rPr>
                <w:rStyle w:val="Hipercze"/>
                <w:noProof/>
                <w:color w:val="auto"/>
              </w:rPr>
              <w:t>9</w:t>
            </w:r>
            <w:r w:rsidRPr="00DA7B82">
              <w:rPr>
                <w:rFonts w:eastAsiaTheme="minorEastAsia"/>
                <w:noProof/>
                <w:kern w:val="2"/>
                <w:lang w:val="pl-PL" w:eastAsia="pl-PL"/>
                <w14:ligatures w14:val="standardContextual"/>
              </w:rPr>
              <w:tab/>
            </w:r>
            <w:r w:rsidRPr="00DA7B82">
              <w:rPr>
                <w:rStyle w:val="Hipercze"/>
                <w:noProof/>
                <w:color w:val="auto"/>
              </w:rPr>
              <w:t>Bibliografia</w:t>
            </w:r>
            <w:r w:rsidRPr="00DA7B82">
              <w:rPr>
                <w:noProof/>
                <w:webHidden/>
              </w:rPr>
              <w:tab/>
            </w:r>
            <w:r w:rsidRPr="00DA7B82">
              <w:rPr>
                <w:noProof/>
                <w:webHidden/>
              </w:rPr>
              <w:fldChar w:fldCharType="begin"/>
            </w:r>
            <w:r w:rsidRPr="00DA7B82">
              <w:rPr>
                <w:noProof/>
                <w:webHidden/>
              </w:rPr>
              <w:instrText xml:space="preserve"> PAGEREF _Toc232627245 \h </w:instrText>
            </w:r>
            <w:r w:rsidRPr="00DA7B82">
              <w:rPr>
                <w:noProof/>
                <w:webHidden/>
              </w:rPr>
            </w:r>
            <w:r w:rsidRPr="00DA7B82">
              <w:rPr>
                <w:noProof/>
                <w:webHidden/>
              </w:rPr>
              <w:fldChar w:fldCharType="separate"/>
            </w:r>
            <w:r w:rsidRPr="00DA7B82">
              <w:rPr>
                <w:noProof/>
                <w:webHidden/>
              </w:rPr>
              <w:t>21</w:t>
            </w:r>
            <w:r w:rsidRPr="00DA7B82">
              <w:rPr>
                <w:noProof/>
                <w:webHidden/>
              </w:rPr>
              <w:fldChar w:fldCharType="end"/>
            </w:r>
          </w:hyperlink>
        </w:p>
        <w:p w14:paraId="773B3068" w14:textId="3FB96F90" w:rsidR="00DA7B82" w:rsidRDefault="00DA7B82">
          <w:r>
            <w:rPr>
              <w:b/>
              <w:bCs/>
            </w:rPr>
            <w:fldChar w:fldCharType="end"/>
          </w:r>
        </w:p>
      </w:sdtContent>
    </w:sdt>
    <w:p w14:paraId="162D80CB" w14:textId="60D8F06E" w:rsidR="006879B9" w:rsidRDefault="006879B9" w:rsidP="00DA7B82">
      <w:pPr>
        <w:pStyle w:val="Nagwekspisutreci"/>
      </w:pPr>
    </w:p>
    <w:p w14:paraId="6AB2A9DC" w14:textId="77777777" w:rsidR="006879B9" w:rsidRDefault="00000000">
      <w:r>
        <w:pict w14:anchorId="5868AD38">
          <v:rect id="_x0000_i1025" style="width:0;height:1.5pt" o:hralign="center" o:hrstd="t" o:hr="t"/>
        </w:pict>
      </w:r>
    </w:p>
    <w:p w14:paraId="632B4D03" w14:textId="77777777" w:rsidR="006879B9" w:rsidRDefault="00050C95">
      <w:pPr>
        <w:pStyle w:val="Nagwek1"/>
      </w:pPr>
      <w:bookmarkStart w:id="0" w:name="wstęp-i-problem-badawczy"/>
      <w:bookmarkStart w:id="1" w:name="_Toc232627114"/>
      <w:bookmarkStart w:id="2" w:name="_Toc232627214"/>
      <w:r>
        <w:rPr>
          <w:rStyle w:val="SectionNumber"/>
        </w:rPr>
        <w:t>1</w:t>
      </w:r>
      <w:r>
        <w:tab/>
        <w:t>Wstęp i problem badawczy</w:t>
      </w:r>
      <w:bookmarkEnd w:id="1"/>
      <w:bookmarkEnd w:id="2"/>
    </w:p>
    <w:p w14:paraId="0F36621B" w14:textId="77777777" w:rsidR="006879B9" w:rsidRDefault="00050C95">
      <w:pPr>
        <w:pStyle w:val="Nagwek2"/>
      </w:pPr>
      <w:bookmarkStart w:id="3" w:name="uzasadnienie-wyboru-tematu"/>
      <w:bookmarkStart w:id="4" w:name="_Toc232627115"/>
      <w:bookmarkStart w:id="5" w:name="_Toc232627215"/>
      <w:r>
        <w:rPr>
          <w:rStyle w:val="SectionNumber"/>
        </w:rPr>
        <w:t>1.1</w:t>
      </w:r>
      <w:r>
        <w:tab/>
        <w:t>Uzasadnienie wyboru tematu</w:t>
      </w:r>
      <w:bookmarkEnd w:id="4"/>
      <w:bookmarkEnd w:id="5"/>
    </w:p>
    <w:p w14:paraId="345E5C82" w14:textId="77777777" w:rsidR="006879B9" w:rsidRDefault="00050C95">
      <w:pPr>
        <w:pStyle w:val="FirstParagraph"/>
      </w:pPr>
      <w:r>
        <w:t>Budownictwo mieszkaniowe jest jednym z kluczowych wskaźników kondycji gospodarczej regionów i jakości życia ich mieszkańców. W Polsce, po transformacji ustrojowej i akcesji do Unii Europejskiej, rynek mieszkaniowy przeszedł głęboką restrukturyzację: liberalizacja dostępu do kredytów hipotecznych (szczególnie po 2004 r.), urbanizacja oraz napływ migrantów wewnętrznych silnie zróżnicowały przestrzenne wzorce budownictwa. Zrozumienie, jakie czynniki determinują liczbę mieszkań oddawanych do użytkowania i czy efekty te mają strukturę przestrzenną, jest istotne zarówno z perspektywy planowania przestrzennego, jak i polityki mieszkaniowej.</w:t>
      </w:r>
    </w:p>
    <w:p w14:paraId="230FB1A2" w14:textId="77777777" w:rsidR="006879B9" w:rsidRDefault="00050C95">
      <w:pPr>
        <w:pStyle w:val="Nagwek2"/>
      </w:pPr>
      <w:bookmarkStart w:id="6" w:name="pytania-badawcze"/>
      <w:bookmarkStart w:id="7" w:name="_Toc232627116"/>
      <w:bookmarkStart w:id="8" w:name="_Toc232627216"/>
      <w:bookmarkEnd w:id="3"/>
      <w:r>
        <w:rPr>
          <w:rStyle w:val="SectionNumber"/>
        </w:rPr>
        <w:t>1.2</w:t>
      </w:r>
      <w:r>
        <w:tab/>
        <w:t>Pytania badawcze</w:t>
      </w:r>
      <w:bookmarkEnd w:id="7"/>
      <w:bookmarkEnd w:id="8"/>
    </w:p>
    <w:p w14:paraId="2C1E557E" w14:textId="77777777" w:rsidR="006879B9" w:rsidRDefault="00050C95">
      <w:pPr>
        <w:pStyle w:val="Compact"/>
        <w:numPr>
          <w:ilvl w:val="0"/>
          <w:numId w:val="2"/>
        </w:numPr>
      </w:pPr>
      <w:r>
        <w:t>Czy liczba mieszkań oddawanych do użytkowania w polskich województwach wykazuje istotną autokorelację przestrzenną?</w:t>
      </w:r>
    </w:p>
    <w:p w14:paraId="22C27ABF" w14:textId="77777777" w:rsidR="006879B9" w:rsidRDefault="00050C95">
      <w:pPr>
        <w:pStyle w:val="Compact"/>
        <w:numPr>
          <w:ilvl w:val="0"/>
          <w:numId w:val="2"/>
        </w:numPr>
      </w:pPr>
      <w:r>
        <w:t>Jakie czynniki demograficzne i ekonomiczne determinują aktywność budowlaną?</w:t>
      </w:r>
    </w:p>
    <w:p w14:paraId="19EBBF2A" w14:textId="77777777" w:rsidR="006879B9" w:rsidRDefault="00050C95">
      <w:pPr>
        <w:pStyle w:val="Compact"/>
        <w:numPr>
          <w:ilvl w:val="0"/>
          <w:numId w:val="2"/>
        </w:numPr>
      </w:pPr>
      <w:r>
        <w:t>Czy sąsiedztwo geograficzne (efekty spillover lub wspólne pominięte czynniki) wpływa istotnie na budownictwo mieszkaniowe?</w:t>
      </w:r>
    </w:p>
    <w:p w14:paraId="04117691" w14:textId="77777777" w:rsidR="006879B9" w:rsidRDefault="00050C95">
      <w:pPr>
        <w:pStyle w:val="Compact"/>
        <w:numPr>
          <w:ilvl w:val="0"/>
          <w:numId w:val="2"/>
        </w:numPr>
      </w:pPr>
      <w:r>
        <w:t>Który model przestrzenny — SAR czy SEM — lepiej opisuje badane zjawisko?</w:t>
      </w:r>
    </w:p>
    <w:p w14:paraId="2CFE5705" w14:textId="77777777" w:rsidR="006879B9" w:rsidRDefault="00050C95">
      <w:pPr>
        <w:pStyle w:val="Nagwek2"/>
      </w:pPr>
      <w:bookmarkStart w:id="9" w:name="poziom-przestrzenny"/>
      <w:bookmarkStart w:id="10" w:name="_Toc232627117"/>
      <w:bookmarkStart w:id="11" w:name="_Toc232627217"/>
      <w:bookmarkEnd w:id="6"/>
      <w:r>
        <w:rPr>
          <w:rStyle w:val="SectionNumber"/>
        </w:rPr>
        <w:t>1.3</w:t>
      </w:r>
      <w:r>
        <w:tab/>
        <w:t>Poziom przestrzenny</w:t>
      </w:r>
      <w:bookmarkEnd w:id="10"/>
      <w:bookmarkEnd w:id="11"/>
    </w:p>
    <w:p w14:paraId="345D1317" w14:textId="77777777" w:rsidR="006879B9" w:rsidRDefault="00050C95">
      <w:pPr>
        <w:pStyle w:val="FirstParagraph"/>
      </w:pPr>
      <w:r>
        <w:t>Analiza prowadzona jest na poziomie 16 województw Polski (NUTS-2), w dostępnych latach panelu (2004–2024, N = 16, T = 21).</w:t>
      </w:r>
    </w:p>
    <w:p w14:paraId="71B21CA3" w14:textId="77777777" w:rsidR="006879B9" w:rsidRDefault="00000000">
      <w:r>
        <w:lastRenderedPageBreak/>
        <w:pict w14:anchorId="42CA3587">
          <v:rect id="_x0000_i1026" style="width:0;height:1.5pt" o:hralign="center" o:hrstd="t" o:hr="t"/>
        </w:pict>
      </w:r>
    </w:p>
    <w:p w14:paraId="59019DC3" w14:textId="77777777" w:rsidR="006879B9" w:rsidRDefault="00050C95">
      <w:pPr>
        <w:pStyle w:val="Nagwek1"/>
      </w:pPr>
      <w:bookmarkStart w:id="12" w:name="przegląd-literatury"/>
      <w:bookmarkStart w:id="13" w:name="_Toc232627118"/>
      <w:bookmarkStart w:id="14" w:name="_Toc232627218"/>
      <w:bookmarkEnd w:id="0"/>
      <w:bookmarkEnd w:id="9"/>
      <w:r>
        <w:rPr>
          <w:rStyle w:val="SectionNumber"/>
        </w:rPr>
        <w:t>2</w:t>
      </w:r>
      <w:r>
        <w:tab/>
        <w:t>Przegląd literatury</w:t>
      </w:r>
      <w:bookmarkEnd w:id="13"/>
      <w:bookmarkEnd w:id="14"/>
    </w:p>
    <w:p w14:paraId="2E0E281E" w14:textId="77777777" w:rsidR="006879B9" w:rsidRDefault="00050C95">
      <w:pPr>
        <w:pStyle w:val="FirstParagraph"/>
      </w:pPr>
      <w:r>
        <w:t>Problematyka przestrzennych determinant budownictwa mieszkaniowego jest szeroko opisana w literaturze zagranicznej, natomiast analizy z zastosowaniem metod przestrzennych dla Polski są stosunkowo rzadkie.</w:t>
      </w:r>
    </w:p>
    <w:p w14:paraId="7025DE69" w14:textId="77777777" w:rsidR="006879B9" w:rsidRDefault="00050C95">
      <w:pPr>
        <w:pStyle w:val="Tekstpodstawowy"/>
      </w:pPr>
      <w:r>
        <w:rPr>
          <w:b/>
          <w:bCs/>
        </w:rPr>
        <w:t>Klasyczne modele popytu mieszkaniowego.</w:t>
      </w:r>
      <w:r>
        <w:t xml:space="preserve"> Muth (1960) i Mills (1967) wskazali, że popyt na mieszkania zależy od dochodu, cen nieruchomości i kosztów dojazdów. DiPasquale i Wheaton (1994) rozwinęli ramy równowagi rynku mieszkaniowego, uwzględniając stronę podażową. W nowszych badaniach (Glaeser i in., 2006) podkreśla się rolę regulacji zagospodarowania przestrzennego i dostępności kredytów.</w:t>
      </w:r>
    </w:p>
    <w:p w14:paraId="77D26857" w14:textId="77777777" w:rsidR="006879B9" w:rsidRDefault="00050C95">
      <w:pPr>
        <w:pStyle w:val="Tekstpodstawowy"/>
      </w:pPr>
      <w:r>
        <w:rPr>
          <w:b/>
          <w:bCs/>
        </w:rPr>
        <w:t>Czynniki demograficzne.</w:t>
      </w:r>
      <w:r>
        <w:t xml:space="preserve"> Studia nad polskim rynkiem mieszkaniowym (Cesarski, 2013; Łaszek, 2004) wskazują, że kluczową kohortą kształtującą popyt na mieszkania jest ludność w wieku 25–34 lata — to wiek zakładania rodzin i pierwszego zakupu nieruchomości. Saldo migracji wewnętrznych determinuje przestrzenne przesunięcia popytu — województwa o dodatnim saldzie migracji odnotowują wyższy popyt na nowe mieszkania.</w:t>
      </w:r>
    </w:p>
    <w:p w14:paraId="5DF9B7BB" w14:textId="6567E17A" w:rsidR="006879B9" w:rsidRDefault="00050C95">
      <w:pPr>
        <w:pStyle w:val="Tekstpodstawowy"/>
      </w:pPr>
      <w:r>
        <w:rPr>
          <w:b/>
          <w:bCs/>
        </w:rPr>
        <w:t>Ekonometria przestrzenna rynku nieruchomości.</w:t>
      </w:r>
      <w:r>
        <w:t xml:space="preserve"> Anselin i Lozano-Gracia (2008) dokonali przeglądu zastosowań ekonometrii przestrzennej w analizie rynku nieruchomości, wskazując na powszechność efektów spillover (SAR) wynikających z lokalnych rynków pracy i infrastruktury. </w:t>
      </w:r>
    </w:p>
    <w:p w14:paraId="500A70F3" w14:textId="77777777" w:rsidR="006879B9" w:rsidRDefault="00050C95">
      <w:pPr>
        <w:pStyle w:val="Tekstpodstawowy"/>
      </w:pPr>
      <w:r>
        <w:rPr>
          <w:b/>
          <w:bCs/>
        </w:rPr>
        <w:t>Hipotezy badawcze.</w:t>
      </w:r>
      <w:r>
        <w:t xml:space="preserve"> Na podstawie literatury formułujemy następujące hipotezy: (H1) wyższy udział ludności 25–34 zwiększa liczbę oddawanych mieszkań; (H2) wyższe wynagrodzenia zwiększają zdolność kredytową i popyt (+); (H3) wyższe nakłady inwestycyjne w sektorze prywatnym stymulują budownictwo (+); (H4) dodatnie saldo migracji generuje popyt na nowe mieszkania (+); (H5) budownictwo wykazuje dodatnią autokorelację przestrzenną (skupiska aktywności budowlanej wokół metropolii).</w:t>
      </w:r>
    </w:p>
    <w:p w14:paraId="046974B2" w14:textId="761D8C1F" w:rsidR="00F27988" w:rsidRDefault="00000000" w:rsidP="00F27988">
      <w:r>
        <w:pict w14:anchorId="6274635E">
          <v:rect id="_x0000_i1515" style="width:0;height:1.5pt" o:hralign="center" o:hrstd="t" o:hr="t"/>
        </w:pict>
      </w:r>
      <w:bookmarkStart w:id="15" w:name="opis-danych"/>
      <w:bookmarkEnd w:id="12"/>
    </w:p>
    <w:p w14:paraId="2E971C18" w14:textId="112CDD0D" w:rsidR="00D14804" w:rsidRDefault="00F27988" w:rsidP="00F27988">
      <w:pPr>
        <w:rPr>
          <w:rStyle w:val="SectionNumber"/>
        </w:rPr>
      </w:pPr>
      <w:r>
        <w:br w:type="page"/>
      </w:r>
    </w:p>
    <w:p w14:paraId="6C1E6FF8" w14:textId="2DBB4597" w:rsidR="006879B9" w:rsidRDefault="00050C95">
      <w:pPr>
        <w:pStyle w:val="Nagwek1"/>
      </w:pPr>
      <w:bookmarkStart w:id="16" w:name="_Toc232627119"/>
      <w:bookmarkStart w:id="17" w:name="_Toc232627219"/>
      <w:r>
        <w:rPr>
          <w:rStyle w:val="SectionNumber"/>
        </w:rPr>
        <w:lastRenderedPageBreak/>
        <w:t>3</w:t>
      </w:r>
      <w:r>
        <w:tab/>
        <w:t>Opis danych</w:t>
      </w:r>
      <w:bookmarkEnd w:id="16"/>
      <w:bookmarkEnd w:id="17"/>
    </w:p>
    <w:p w14:paraId="66BA6D7C" w14:textId="77777777" w:rsidR="006879B9" w:rsidRDefault="00050C95">
      <w:pPr>
        <w:pStyle w:val="Nagwek2"/>
      </w:pPr>
      <w:bookmarkStart w:id="18" w:name="źródła-i-zmienne"/>
      <w:bookmarkStart w:id="19" w:name="_Toc232627120"/>
      <w:bookmarkStart w:id="20" w:name="_Toc232627220"/>
      <w:r>
        <w:rPr>
          <w:rStyle w:val="SectionNumber"/>
        </w:rPr>
        <w:t>3.1</w:t>
      </w:r>
      <w:r>
        <w:tab/>
        <w:t>Źródła i zmienne</w:t>
      </w:r>
      <w:bookmarkEnd w:id="19"/>
      <w:bookmarkEnd w:id="20"/>
    </w:p>
    <w:p w14:paraId="19071992" w14:textId="77777777" w:rsidR="006879B9" w:rsidRDefault="00050C95">
      <w:pPr>
        <w:pStyle w:val="FirstParagraph"/>
      </w:pPr>
      <w:r>
        <w:t>Dane pochodzą z Banku Danych Lokalnych GUS i obejmują 16 województw w latach 2004–2024 (łącznie 336 obserwacji).</w:t>
      </w:r>
    </w:p>
    <w:p w14:paraId="406CC29E" w14:textId="77777777" w:rsidR="006879B9" w:rsidRDefault="00050C95">
      <w:pPr>
        <w:pStyle w:val="TableCaption"/>
      </w:pPr>
      <w:r>
        <w:t>Zmienne w modelu — dane o budownictwie mieszkaniowym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6"/>
        <w:gridCol w:w="4628"/>
        <w:gridCol w:w="1711"/>
        <w:gridCol w:w="1711"/>
      </w:tblGrid>
      <w:tr w:rsidR="006879B9" w14:paraId="47FE41BC" w14:textId="77777777" w:rsidTr="00195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2772F34D" w14:textId="77777777" w:rsidR="006879B9" w:rsidRDefault="00050C95">
            <w:pPr>
              <w:pStyle w:val="Compact"/>
            </w:pPr>
            <w:r>
              <w:t>Symbol</w:t>
            </w:r>
          </w:p>
        </w:tc>
        <w:tc>
          <w:tcPr>
            <w:tcW w:w="4740" w:type="dxa"/>
          </w:tcPr>
          <w:p w14:paraId="7FECAAE2" w14:textId="77777777" w:rsidR="006879B9" w:rsidRDefault="00050C95">
            <w:pPr>
              <w:pStyle w:val="Compact"/>
            </w:pPr>
            <w:r>
              <w:t>Opis</w:t>
            </w:r>
          </w:p>
        </w:tc>
        <w:tc>
          <w:tcPr>
            <w:tcW w:w="1749" w:type="dxa"/>
          </w:tcPr>
          <w:p w14:paraId="35649F1B" w14:textId="77777777" w:rsidR="006879B9" w:rsidRDefault="00050C95">
            <w:pPr>
              <w:pStyle w:val="Compact"/>
            </w:pPr>
            <w:r>
              <w:t>Rola</w:t>
            </w:r>
          </w:p>
        </w:tc>
        <w:tc>
          <w:tcPr>
            <w:tcW w:w="1749" w:type="dxa"/>
          </w:tcPr>
          <w:p w14:paraId="7038A426" w14:textId="77777777" w:rsidR="006879B9" w:rsidRDefault="00050C95">
            <w:pPr>
              <w:pStyle w:val="Compact"/>
            </w:pPr>
            <w:r>
              <w:t>Oczekiwany znak</w:t>
            </w:r>
          </w:p>
        </w:tc>
      </w:tr>
      <w:tr w:rsidR="006879B9" w14:paraId="472CED19" w14:textId="77777777" w:rsidTr="00195E30">
        <w:tc>
          <w:tcPr>
            <w:tcW w:w="1384" w:type="dxa"/>
          </w:tcPr>
          <w:p w14:paraId="002CB3ED" w14:textId="77777777" w:rsidR="006879B9" w:rsidRDefault="00050C95">
            <w:pPr>
              <w:pStyle w:val="Compact"/>
            </w:pPr>
            <w:r>
              <w:t>MO</w:t>
            </w:r>
          </w:p>
        </w:tc>
        <w:tc>
          <w:tcPr>
            <w:tcW w:w="4740" w:type="dxa"/>
          </w:tcPr>
          <w:p w14:paraId="4DFF2A6B" w14:textId="77777777" w:rsidR="006879B9" w:rsidRDefault="00050C95">
            <w:pPr>
              <w:pStyle w:val="Compact"/>
            </w:pPr>
            <w:r>
              <w:t>Mieszkania oddane do użytkowania [szt.]</w:t>
            </w:r>
          </w:p>
        </w:tc>
        <w:tc>
          <w:tcPr>
            <w:tcW w:w="1749" w:type="dxa"/>
          </w:tcPr>
          <w:p w14:paraId="510B21DD" w14:textId="77777777" w:rsidR="006879B9" w:rsidRDefault="00050C95">
            <w:pPr>
              <w:pStyle w:val="Compact"/>
            </w:pPr>
            <w:r>
              <w:t>Zmienna zależna</w:t>
            </w:r>
          </w:p>
        </w:tc>
        <w:tc>
          <w:tcPr>
            <w:tcW w:w="1749" w:type="dxa"/>
          </w:tcPr>
          <w:p w14:paraId="331EFF17" w14:textId="77777777" w:rsidR="006879B9" w:rsidRDefault="00050C95">
            <w:pPr>
              <w:pStyle w:val="Compact"/>
            </w:pPr>
            <w:r>
              <w:t>—</w:t>
            </w:r>
          </w:p>
        </w:tc>
      </w:tr>
      <w:tr w:rsidR="006879B9" w14:paraId="1C6ACCFE" w14:textId="77777777" w:rsidTr="00195E30">
        <w:tc>
          <w:tcPr>
            <w:tcW w:w="1384" w:type="dxa"/>
          </w:tcPr>
          <w:p w14:paraId="2190A676" w14:textId="77777777" w:rsidR="006879B9" w:rsidRDefault="00050C95">
            <w:pPr>
              <w:pStyle w:val="Compact"/>
            </w:pPr>
            <w:r>
              <w:t>WSK25_34</w:t>
            </w:r>
          </w:p>
        </w:tc>
        <w:tc>
          <w:tcPr>
            <w:tcW w:w="4740" w:type="dxa"/>
          </w:tcPr>
          <w:p w14:paraId="454EB031" w14:textId="2328E2CF" w:rsidR="006879B9" w:rsidRDefault="00195E30">
            <w:pPr>
              <w:pStyle w:val="Compact"/>
            </w:pPr>
            <w:r>
              <w:t>Wskaźnik udziału l</w:t>
            </w:r>
            <w:r w:rsidR="00050C95">
              <w:t xml:space="preserve">udność w wieku 25–34 lat </w:t>
            </w:r>
            <w:r>
              <w:t>w ogóle społeczeństwa [%]</w:t>
            </w:r>
          </w:p>
        </w:tc>
        <w:tc>
          <w:tcPr>
            <w:tcW w:w="1749" w:type="dxa"/>
          </w:tcPr>
          <w:p w14:paraId="76CA31E5" w14:textId="77777777" w:rsidR="006879B9" w:rsidRDefault="00050C95">
            <w:pPr>
              <w:pStyle w:val="Compact"/>
            </w:pPr>
            <w:r>
              <w:t>Objaśniająca</w:t>
            </w:r>
          </w:p>
        </w:tc>
        <w:tc>
          <w:tcPr>
            <w:tcW w:w="1749" w:type="dxa"/>
          </w:tcPr>
          <w:p w14:paraId="45E92630" w14:textId="77777777" w:rsidR="006879B9" w:rsidRDefault="00050C95">
            <w:pPr>
              <w:pStyle w:val="Compact"/>
            </w:pPr>
            <w:r>
              <w:t>+</w:t>
            </w:r>
          </w:p>
        </w:tc>
      </w:tr>
      <w:tr w:rsidR="006879B9" w14:paraId="77966313" w14:textId="77777777" w:rsidTr="00195E30">
        <w:tc>
          <w:tcPr>
            <w:tcW w:w="1384" w:type="dxa"/>
          </w:tcPr>
          <w:p w14:paraId="4846DFAD" w14:textId="77777777" w:rsidR="006879B9" w:rsidRDefault="00050C95">
            <w:pPr>
              <w:pStyle w:val="Compact"/>
            </w:pPr>
            <w:r>
              <w:t>WSK_URB</w:t>
            </w:r>
          </w:p>
        </w:tc>
        <w:tc>
          <w:tcPr>
            <w:tcW w:w="4740" w:type="dxa"/>
          </w:tcPr>
          <w:p w14:paraId="61FFBA8D" w14:textId="77777777" w:rsidR="006879B9" w:rsidRDefault="00050C95">
            <w:pPr>
              <w:pStyle w:val="Compact"/>
            </w:pPr>
            <w:r>
              <w:t>Wskaźnik urbanizacji [%]</w:t>
            </w:r>
          </w:p>
        </w:tc>
        <w:tc>
          <w:tcPr>
            <w:tcW w:w="1749" w:type="dxa"/>
          </w:tcPr>
          <w:p w14:paraId="2AA490BC" w14:textId="77777777" w:rsidR="006879B9" w:rsidRDefault="00050C95">
            <w:pPr>
              <w:pStyle w:val="Compact"/>
            </w:pPr>
            <w:r>
              <w:t>Objaśniająca</w:t>
            </w:r>
          </w:p>
        </w:tc>
        <w:tc>
          <w:tcPr>
            <w:tcW w:w="1749" w:type="dxa"/>
          </w:tcPr>
          <w:p w14:paraId="06514A27" w14:textId="77777777" w:rsidR="006879B9" w:rsidRDefault="00050C95">
            <w:pPr>
              <w:pStyle w:val="Compact"/>
            </w:pPr>
            <w:r>
              <w:t>+</w:t>
            </w:r>
          </w:p>
        </w:tc>
      </w:tr>
      <w:tr w:rsidR="006879B9" w14:paraId="1A44193B" w14:textId="77777777" w:rsidTr="00195E30">
        <w:tc>
          <w:tcPr>
            <w:tcW w:w="1384" w:type="dxa"/>
          </w:tcPr>
          <w:p w14:paraId="5F63D6D9" w14:textId="77777777" w:rsidR="006879B9" w:rsidRDefault="00050C95">
            <w:pPr>
              <w:pStyle w:val="Compact"/>
            </w:pPr>
            <w:r>
              <w:t>NAKL</w:t>
            </w:r>
          </w:p>
        </w:tc>
        <w:tc>
          <w:tcPr>
            <w:tcW w:w="4740" w:type="dxa"/>
          </w:tcPr>
          <w:p w14:paraId="143621EB" w14:textId="77777777" w:rsidR="006879B9" w:rsidRDefault="00050C95">
            <w:pPr>
              <w:pStyle w:val="Compact"/>
            </w:pPr>
            <w:r>
              <w:t>Nakłady inwestycyjne w sektorze prywatnym [zł]</w:t>
            </w:r>
          </w:p>
        </w:tc>
        <w:tc>
          <w:tcPr>
            <w:tcW w:w="1749" w:type="dxa"/>
          </w:tcPr>
          <w:p w14:paraId="7BBFFB1A" w14:textId="77777777" w:rsidR="006879B9" w:rsidRDefault="00050C95">
            <w:pPr>
              <w:pStyle w:val="Compact"/>
            </w:pPr>
            <w:r>
              <w:t>Objaśniająca</w:t>
            </w:r>
          </w:p>
        </w:tc>
        <w:tc>
          <w:tcPr>
            <w:tcW w:w="1749" w:type="dxa"/>
          </w:tcPr>
          <w:p w14:paraId="0F110045" w14:textId="77777777" w:rsidR="006879B9" w:rsidRDefault="00050C95">
            <w:pPr>
              <w:pStyle w:val="Compact"/>
            </w:pPr>
            <w:r>
              <w:t>+</w:t>
            </w:r>
          </w:p>
        </w:tc>
      </w:tr>
      <w:tr w:rsidR="006879B9" w14:paraId="09DD055B" w14:textId="77777777" w:rsidTr="00195E30">
        <w:tc>
          <w:tcPr>
            <w:tcW w:w="1384" w:type="dxa"/>
          </w:tcPr>
          <w:p w14:paraId="4188AED2" w14:textId="77777777" w:rsidR="006879B9" w:rsidRDefault="00050C95">
            <w:pPr>
              <w:pStyle w:val="Compact"/>
            </w:pPr>
            <w:r>
              <w:t>WYNAGR</w:t>
            </w:r>
          </w:p>
        </w:tc>
        <w:tc>
          <w:tcPr>
            <w:tcW w:w="4740" w:type="dxa"/>
          </w:tcPr>
          <w:p w14:paraId="33A78595" w14:textId="77777777" w:rsidR="006879B9" w:rsidRDefault="00050C95">
            <w:pPr>
              <w:pStyle w:val="Compact"/>
            </w:pPr>
            <w:r>
              <w:t>Przeciętne wynagrodzenie brutto [zł/mc]</w:t>
            </w:r>
          </w:p>
        </w:tc>
        <w:tc>
          <w:tcPr>
            <w:tcW w:w="1749" w:type="dxa"/>
          </w:tcPr>
          <w:p w14:paraId="3CBC700F" w14:textId="77777777" w:rsidR="006879B9" w:rsidRDefault="00050C95">
            <w:pPr>
              <w:pStyle w:val="Compact"/>
            </w:pPr>
            <w:r>
              <w:t>Objaśniająca</w:t>
            </w:r>
          </w:p>
        </w:tc>
        <w:tc>
          <w:tcPr>
            <w:tcW w:w="1749" w:type="dxa"/>
          </w:tcPr>
          <w:p w14:paraId="2423BB81" w14:textId="77777777" w:rsidR="006879B9" w:rsidRDefault="00050C95">
            <w:pPr>
              <w:pStyle w:val="Compact"/>
            </w:pPr>
            <w:r>
              <w:t>+</w:t>
            </w:r>
          </w:p>
        </w:tc>
      </w:tr>
      <w:tr w:rsidR="006879B9" w14:paraId="5B65BF8D" w14:textId="77777777" w:rsidTr="00195E30">
        <w:tc>
          <w:tcPr>
            <w:tcW w:w="1384" w:type="dxa"/>
          </w:tcPr>
          <w:p w14:paraId="7F231E17" w14:textId="77777777" w:rsidR="006879B9" w:rsidRDefault="00050C95">
            <w:pPr>
              <w:pStyle w:val="Compact"/>
            </w:pPr>
            <w:r>
              <w:t>SM</w:t>
            </w:r>
          </w:p>
        </w:tc>
        <w:tc>
          <w:tcPr>
            <w:tcW w:w="4740" w:type="dxa"/>
          </w:tcPr>
          <w:p w14:paraId="014654BE" w14:textId="77777777" w:rsidR="006879B9" w:rsidRDefault="00050C95">
            <w:pPr>
              <w:pStyle w:val="Compact"/>
            </w:pPr>
            <w:r>
              <w:t>Saldo migracji wewnętrznych [os./1000 mieszk.]</w:t>
            </w:r>
          </w:p>
        </w:tc>
        <w:tc>
          <w:tcPr>
            <w:tcW w:w="1749" w:type="dxa"/>
          </w:tcPr>
          <w:p w14:paraId="022D9E39" w14:textId="77777777" w:rsidR="006879B9" w:rsidRDefault="00050C95">
            <w:pPr>
              <w:pStyle w:val="Compact"/>
            </w:pPr>
            <w:r>
              <w:t>Objaśniająca</w:t>
            </w:r>
          </w:p>
        </w:tc>
        <w:tc>
          <w:tcPr>
            <w:tcW w:w="1749" w:type="dxa"/>
          </w:tcPr>
          <w:p w14:paraId="2B1B8FBB" w14:textId="77777777" w:rsidR="006879B9" w:rsidRDefault="00050C95">
            <w:pPr>
              <w:pStyle w:val="Compact"/>
            </w:pPr>
            <w:r>
              <w:t>+</w:t>
            </w:r>
          </w:p>
        </w:tc>
      </w:tr>
    </w:tbl>
    <w:p w14:paraId="211D7CBA" w14:textId="2FEBAAD9" w:rsidR="00531F2B" w:rsidRPr="00531F2B" w:rsidRDefault="00531F2B" w:rsidP="002D651D">
      <w:pPr>
        <w:pStyle w:val="Tekstpodstawowy"/>
        <w:rPr>
          <w:b/>
          <w:bCs/>
          <w:lang w:val="pl-PL"/>
        </w:rPr>
      </w:pPr>
      <w:bookmarkStart w:id="21" w:name="statystyki-opisowe"/>
      <w:bookmarkEnd w:id="18"/>
      <w:r w:rsidRPr="00531F2B">
        <w:rPr>
          <w:b/>
          <w:bCs/>
          <w:lang w:val="pl-PL"/>
        </w:rPr>
        <w:t>Macierz wag przestrzennych</w:t>
      </w:r>
    </w:p>
    <w:p w14:paraId="498E5FF2" w14:textId="72A78EC8" w:rsidR="002D651D" w:rsidRPr="002D651D" w:rsidRDefault="002D651D" w:rsidP="002D651D">
      <w:pPr>
        <w:pStyle w:val="Tekstpodstawowy"/>
        <w:rPr>
          <w:lang w:val="pl-PL"/>
        </w:rPr>
      </w:pPr>
      <w:r w:rsidRPr="002D651D">
        <w:rPr>
          <w:lang w:val="pl-PL"/>
        </w:rPr>
        <w:t>Strukturę powiązań przestrzennych pomiędzy województwami opisano za pomocą macierzy wag przestrzennych W o wymiarach 16 × 16, zbudowanej w oparciu o kryterium sąsiedztwa typu Queen (pierwszego rzędu). Zgodnie z tym kryterium dwa województwa uznaje się za sąsiadujące, jeżeli mają wspólny dowolny element granicy</w:t>
      </w:r>
      <w:r>
        <w:rPr>
          <w:lang w:val="pl-PL"/>
        </w:rPr>
        <w:t xml:space="preserve">, </w:t>
      </w:r>
      <w:r w:rsidRPr="002D651D">
        <w:rPr>
          <w:lang w:val="pl-PL"/>
        </w:rPr>
        <w:t xml:space="preserve">zarówno wspólny odcinek (krawędź), jak i pojedynczy punkt styku (wierzchołek). Relacje sąsiedztwa wyznaczono na podstawie warstwy granic administracyjnych województw (plik </w:t>
      </w:r>
      <w:proofErr w:type="spellStart"/>
      <w:r w:rsidRPr="002D651D">
        <w:rPr>
          <w:lang w:val="pl-PL"/>
        </w:rPr>
        <w:t>wojewodztwa.shp</w:t>
      </w:r>
      <w:proofErr w:type="spellEnd"/>
      <w:r w:rsidRPr="002D651D">
        <w:rPr>
          <w:lang w:val="pl-PL"/>
        </w:rPr>
        <w:t>).</w:t>
      </w:r>
    </w:p>
    <w:p w14:paraId="29C43B70" w14:textId="6FBA2663" w:rsidR="00D14804" w:rsidRPr="002D651D" w:rsidRDefault="00D14804" w:rsidP="00D14804">
      <w:pPr>
        <w:pStyle w:val="Tekstpodstawowy"/>
        <w:rPr>
          <w:color w:val="FF0000"/>
        </w:rPr>
      </w:pPr>
    </w:p>
    <w:p w14:paraId="641DA71E" w14:textId="4802C484" w:rsidR="006879B9" w:rsidRDefault="00050C95">
      <w:pPr>
        <w:pStyle w:val="Nagwek2"/>
      </w:pPr>
      <w:bookmarkStart w:id="22" w:name="_Toc232627121"/>
      <w:bookmarkStart w:id="23" w:name="_Toc232627221"/>
      <w:r>
        <w:rPr>
          <w:rStyle w:val="SectionNumber"/>
        </w:rPr>
        <w:t>3.2</w:t>
      </w:r>
      <w:r>
        <w:tab/>
        <w:t>Statystyki opisowe</w:t>
      </w:r>
      <w:bookmarkEnd w:id="22"/>
      <w:bookmarkEnd w:id="23"/>
    </w:p>
    <w:p w14:paraId="60A120F5" w14:textId="77777777" w:rsidR="006879B9" w:rsidRDefault="00050C95">
      <w:pPr>
        <w:pStyle w:val="TableCaption"/>
      </w:pPr>
      <w:r>
        <w:t>Podstawowe statystyki opisowe zmiennych (cały panel)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5"/>
        <w:gridCol w:w="1085"/>
        <w:gridCol w:w="965"/>
        <w:gridCol w:w="1085"/>
        <w:gridCol w:w="965"/>
        <w:gridCol w:w="1085"/>
        <w:gridCol w:w="1206"/>
      </w:tblGrid>
      <w:tr w:rsidR="006879B9" w14:paraId="4D436589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8" w:type="dxa"/>
          </w:tcPr>
          <w:p w14:paraId="207A48E6" w14:textId="77777777" w:rsidR="006879B9" w:rsidRDefault="00050C95">
            <w:pPr>
              <w:pStyle w:val="Compact"/>
            </w:pPr>
            <w:r>
              <w:t>Zmienna</w:t>
            </w:r>
          </w:p>
        </w:tc>
        <w:tc>
          <w:tcPr>
            <w:tcW w:w="913" w:type="dxa"/>
          </w:tcPr>
          <w:p w14:paraId="0E4B56A1" w14:textId="77777777" w:rsidR="006879B9" w:rsidRDefault="00050C95">
            <w:pPr>
              <w:pStyle w:val="Compact"/>
              <w:jc w:val="right"/>
            </w:pPr>
            <w:r>
              <w:t>Srednia</w:t>
            </w:r>
          </w:p>
        </w:tc>
        <w:tc>
          <w:tcPr>
            <w:tcW w:w="812" w:type="dxa"/>
          </w:tcPr>
          <w:p w14:paraId="7B47255E" w14:textId="77777777" w:rsidR="006879B9" w:rsidRDefault="00050C95">
            <w:pPr>
              <w:pStyle w:val="Compact"/>
              <w:jc w:val="right"/>
            </w:pPr>
            <w:r>
              <w:t>Mediana</w:t>
            </w:r>
          </w:p>
        </w:tc>
        <w:tc>
          <w:tcPr>
            <w:tcW w:w="913" w:type="dxa"/>
          </w:tcPr>
          <w:p w14:paraId="737180E7" w14:textId="77777777" w:rsidR="006879B9" w:rsidRDefault="00050C95">
            <w:pPr>
              <w:pStyle w:val="Compact"/>
              <w:jc w:val="right"/>
            </w:pPr>
            <w:r>
              <w:t>Odch.std</w:t>
            </w:r>
          </w:p>
        </w:tc>
        <w:tc>
          <w:tcPr>
            <w:tcW w:w="812" w:type="dxa"/>
          </w:tcPr>
          <w:p w14:paraId="646B2490" w14:textId="77777777" w:rsidR="006879B9" w:rsidRDefault="00050C95">
            <w:pPr>
              <w:pStyle w:val="Compact"/>
              <w:jc w:val="right"/>
            </w:pPr>
            <w:r>
              <w:t>Min</w:t>
            </w:r>
          </w:p>
        </w:tc>
        <w:tc>
          <w:tcPr>
            <w:tcW w:w="913" w:type="dxa"/>
          </w:tcPr>
          <w:p w14:paraId="7D6691E2" w14:textId="77777777" w:rsidR="006879B9" w:rsidRDefault="00050C95">
            <w:pPr>
              <w:pStyle w:val="Compact"/>
              <w:jc w:val="right"/>
            </w:pPr>
            <w:r>
              <w:t>Max</w:t>
            </w:r>
          </w:p>
        </w:tc>
        <w:tc>
          <w:tcPr>
            <w:tcW w:w="1015" w:type="dxa"/>
          </w:tcPr>
          <w:p w14:paraId="62F788AE" w14:textId="77777777" w:rsidR="006879B9" w:rsidRDefault="00050C95">
            <w:pPr>
              <w:pStyle w:val="Compact"/>
              <w:jc w:val="right"/>
            </w:pPr>
            <w:r>
              <w:t>Asymetria</w:t>
            </w:r>
          </w:p>
        </w:tc>
      </w:tr>
      <w:tr w:rsidR="006879B9" w14:paraId="6CCD0553" w14:textId="77777777">
        <w:tc>
          <w:tcPr>
            <w:tcW w:w="2538" w:type="dxa"/>
          </w:tcPr>
          <w:p w14:paraId="2D9B08F2" w14:textId="77777777" w:rsidR="006879B9" w:rsidRDefault="00050C95">
            <w:pPr>
              <w:pStyle w:val="Compact"/>
            </w:pPr>
            <w:r>
              <w:t>Mieszkania oddane [szt.]</w:t>
            </w:r>
          </w:p>
        </w:tc>
        <w:tc>
          <w:tcPr>
            <w:tcW w:w="913" w:type="dxa"/>
          </w:tcPr>
          <w:p w14:paraId="2FB2ED07" w14:textId="77777777" w:rsidR="006879B9" w:rsidRDefault="00050C95">
            <w:pPr>
              <w:pStyle w:val="Compact"/>
              <w:jc w:val="right"/>
            </w:pPr>
            <w:r>
              <w:t>10421.58</w:t>
            </w:r>
          </w:p>
        </w:tc>
        <w:tc>
          <w:tcPr>
            <w:tcW w:w="812" w:type="dxa"/>
          </w:tcPr>
          <w:p w14:paraId="7E3BF976" w14:textId="77777777" w:rsidR="006879B9" w:rsidRDefault="00050C95">
            <w:pPr>
              <w:pStyle w:val="Compact"/>
              <w:jc w:val="right"/>
            </w:pPr>
            <w:r>
              <w:t>7436.50</w:t>
            </w:r>
          </w:p>
        </w:tc>
        <w:tc>
          <w:tcPr>
            <w:tcW w:w="913" w:type="dxa"/>
          </w:tcPr>
          <w:p w14:paraId="5DDE0E7D" w14:textId="77777777" w:rsidR="006879B9" w:rsidRDefault="00050C95">
            <w:pPr>
              <w:pStyle w:val="Compact"/>
              <w:jc w:val="right"/>
            </w:pPr>
            <w:r>
              <w:t>8531.55</w:t>
            </w:r>
          </w:p>
        </w:tc>
        <w:tc>
          <w:tcPr>
            <w:tcW w:w="812" w:type="dxa"/>
          </w:tcPr>
          <w:p w14:paraId="2ADEBD89" w14:textId="77777777" w:rsidR="006879B9" w:rsidRDefault="00050C95">
            <w:pPr>
              <w:pStyle w:val="Compact"/>
              <w:jc w:val="right"/>
            </w:pPr>
            <w:r>
              <w:t>1157.00</w:t>
            </w:r>
          </w:p>
        </w:tc>
        <w:tc>
          <w:tcPr>
            <w:tcW w:w="913" w:type="dxa"/>
          </w:tcPr>
          <w:p w14:paraId="3E19E85E" w14:textId="77777777" w:rsidR="006879B9" w:rsidRDefault="00050C95">
            <w:pPr>
              <w:pStyle w:val="Compact"/>
              <w:jc w:val="right"/>
            </w:pPr>
            <w:r>
              <w:t>46638.00</w:t>
            </w:r>
          </w:p>
        </w:tc>
        <w:tc>
          <w:tcPr>
            <w:tcW w:w="1015" w:type="dxa"/>
          </w:tcPr>
          <w:p w14:paraId="02F42F73" w14:textId="77777777" w:rsidR="006879B9" w:rsidRDefault="00050C95">
            <w:pPr>
              <w:pStyle w:val="Compact"/>
              <w:jc w:val="right"/>
            </w:pPr>
            <w:r>
              <w:t>1.885</w:t>
            </w:r>
          </w:p>
        </w:tc>
      </w:tr>
      <w:tr w:rsidR="006879B9" w14:paraId="7D3C446E" w14:textId="77777777">
        <w:tc>
          <w:tcPr>
            <w:tcW w:w="2538" w:type="dxa"/>
          </w:tcPr>
          <w:p w14:paraId="105223FD" w14:textId="77777777" w:rsidR="006879B9" w:rsidRDefault="00050C95">
            <w:pPr>
              <w:pStyle w:val="Compact"/>
            </w:pPr>
            <w:r>
              <w:t>Ludność 25–34 [os.]</w:t>
            </w:r>
          </w:p>
        </w:tc>
        <w:tc>
          <w:tcPr>
            <w:tcW w:w="913" w:type="dxa"/>
          </w:tcPr>
          <w:p w14:paraId="3A3B5B6E" w14:textId="77777777" w:rsidR="006879B9" w:rsidRDefault="00050C95">
            <w:pPr>
              <w:pStyle w:val="Compact"/>
              <w:jc w:val="right"/>
            </w:pPr>
            <w:r>
              <w:t>0.15</w:t>
            </w:r>
          </w:p>
        </w:tc>
        <w:tc>
          <w:tcPr>
            <w:tcW w:w="812" w:type="dxa"/>
          </w:tcPr>
          <w:p w14:paraId="122F5F7C" w14:textId="77777777" w:rsidR="006879B9" w:rsidRDefault="00050C95">
            <w:pPr>
              <w:pStyle w:val="Compact"/>
              <w:jc w:val="right"/>
            </w:pPr>
            <w:r>
              <w:t>0.15</w:t>
            </w:r>
          </w:p>
        </w:tc>
        <w:tc>
          <w:tcPr>
            <w:tcW w:w="913" w:type="dxa"/>
          </w:tcPr>
          <w:p w14:paraId="3E6EC754" w14:textId="77777777" w:rsidR="006879B9" w:rsidRDefault="00050C95">
            <w:pPr>
              <w:pStyle w:val="Compact"/>
              <w:jc w:val="right"/>
            </w:pPr>
            <w:r>
              <w:t>0.02</w:t>
            </w:r>
          </w:p>
        </w:tc>
        <w:tc>
          <w:tcPr>
            <w:tcW w:w="812" w:type="dxa"/>
          </w:tcPr>
          <w:p w14:paraId="3AE1AC98" w14:textId="77777777" w:rsidR="006879B9" w:rsidRDefault="00050C95">
            <w:pPr>
              <w:pStyle w:val="Compact"/>
              <w:jc w:val="right"/>
            </w:pPr>
            <w:r>
              <w:t>0.11</w:t>
            </w:r>
          </w:p>
        </w:tc>
        <w:tc>
          <w:tcPr>
            <w:tcW w:w="913" w:type="dxa"/>
          </w:tcPr>
          <w:p w14:paraId="7EA71D34" w14:textId="77777777" w:rsidR="006879B9" w:rsidRDefault="00050C95">
            <w:pPr>
              <w:pStyle w:val="Compact"/>
              <w:jc w:val="right"/>
            </w:pPr>
            <w:r>
              <w:t>0.17</w:t>
            </w:r>
          </w:p>
        </w:tc>
        <w:tc>
          <w:tcPr>
            <w:tcW w:w="1015" w:type="dxa"/>
          </w:tcPr>
          <w:p w14:paraId="6C1859DC" w14:textId="77777777" w:rsidR="006879B9" w:rsidRDefault="00050C95">
            <w:pPr>
              <w:pStyle w:val="Compact"/>
              <w:jc w:val="right"/>
            </w:pPr>
            <w:r>
              <w:t>-0.823</w:t>
            </w:r>
          </w:p>
        </w:tc>
      </w:tr>
      <w:tr w:rsidR="006879B9" w14:paraId="7E369214" w14:textId="77777777">
        <w:tc>
          <w:tcPr>
            <w:tcW w:w="2538" w:type="dxa"/>
          </w:tcPr>
          <w:p w14:paraId="0C1A2561" w14:textId="77777777" w:rsidR="006879B9" w:rsidRDefault="00050C95">
            <w:pPr>
              <w:pStyle w:val="Compact"/>
            </w:pPr>
            <w:r>
              <w:t>Urbanizacja [%]</w:t>
            </w:r>
          </w:p>
        </w:tc>
        <w:tc>
          <w:tcPr>
            <w:tcW w:w="913" w:type="dxa"/>
          </w:tcPr>
          <w:p w14:paraId="62189FA0" w14:textId="77777777" w:rsidR="006879B9" w:rsidRDefault="00050C95">
            <w:pPr>
              <w:pStyle w:val="Compact"/>
              <w:jc w:val="right"/>
            </w:pPr>
            <w:r>
              <w:t>0.59</w:t>
            </w:r>
          </w:p>
        </w:tc>
        <w:tc>
          <w:tcPr>
            <w:tcW w:w="812" w:type="dxa"/>
          </w:tcPr>
          <w:p w14:paraId="65B0AF77" w14:textId="77777777" w:rsidR="006879B9" w:rsidRDefault="00050C95">
            <w:pPr>
              <w:pStyle w:val="Compact"/>
              <w:jc w:val="right"/>
            </w:pPr>
            <w:r>
              <w:t>0.60</w:t>
            </w:r>
          </w:p>
        </w:tc>
        <w:tc>
          <w:tcPr>
            <w:tcW w:w="913" w:type="dxa"/>
          </w:tcPr>
          <w:p w14:paraId="4648491D" w14:textId="77777777" w:rsidR="006879B9" w:rsidRDefault="00050C95">
            <w:pPr>
              <w:pStyle w:val="Compact"/>
              <w:jc w:val="right"/>
            </w:pPr>
            <w:r>
              <w:t>0.10</w:t>
            </w:r>
          </w:p>
        </w:tc>
        <w:tc>
          <w:tcPr>
            <w:tcW w:w="812" w:type="dxa"/>
          </w:tcPr>
          <w:p w14:paraId="5E29B20E" w14:textId="77777777" w:rsidR="006879B9" w:rsidRDefault="00050C95">
            <w:pPr>
              <w:pStyle w:val="Compact"/>
              <w:jc w:val="right"/>
            </w:pPr>
            <w:r>
              <w:t>0.40</w:t>
            </w:r>
          </w:p>
        </w:tc>
        <w:tc>
          <w:tcPr>
            <w:tcW w:w="913" w:type="dxa"/>
          </w:tcPr>
          <w:p w14:paraId="00A098BC" w14:textId="77777777" w:rsidR="006879B9" w:rsidRDefault="00050C95">
            <w:pPr>
              <w:pStyle w:val="Compact"/>
              <w:jc w:val="right"/>
            </w:pPr>
            <w:r>
              <w:t>0.79</w:t>
            </w:r>
          </w:p>
        </w:tc>
        <w:tc>
          <w:tcPr>
            <w:tcW w:w="1015" w:type="dxa"/>
          </w:tcPr>
          <w:p w14:paraId="2C100903" w14:textId="77777777" w:rsidR="006879B9" w:rsidRDefault="00050C95">
            <w:pPr>
              <w:pStyle w:val="Compact"/>
              <w:jc w:val="right"/>
            </w:pPr>
            <w:r>
              <w:t>-0.145</w:t>
            </w:r>
          </w:p>
        </w:tc>
      </w:tr>
      <w:tr w:rsidR="006879B9" w14:paraId="1765B67A" w14:textId="77777777">
        <w:tc>
          <w:tcPr>
            <w:tcW w:w="2538" w:type="dxa"/>
          </w:tcPr>
          <w:p w14:paraId="0E8EF461" w14:textId="77777777" w:rsidR="006879B9" w:rsidRDefault="00050C95">
            <w:pPr>
              <w:pStyle w:val="Compact"/>
            </w:pPr>
            <w:r>
              <w:lastRenderedPageBreak/>
              <w:t>Nakłady inwest. [zł]</w:t>
            </w:r>
          </w:p>
        </w:tc>
        <w:tc>
          <w:tcPr>
            <w:tcW w:w="913" w:type="dxa"/>
          </w:tcPr>
          <w:p w14:paraId="1D41E6B6" w14:textId="77777777" w:rsidR="006879B9" w:rsidRDefault="00050C95">
            <w:pPr>
              <w:pStyle w:val="Compact"/>
              <w:jc w:val="right"/>
            </w:pPr>
            <w:r>
              <w:t>3939.44</w:t>
            </w:r>
          </w:p>
        </w:tc>
        <w:tc>
          <w:tcPr>
            <w:tcW w:w="812" w:type="dxa"/>
          </w:tcPr>
          <w:p w14:paraId="043C93CF" w14:textId="77777777" w:rsidR="006879B9" w:rsidRDefault="00050C95">
            <w:pPr>
              <w:pStyle w:val="Compact"/>
              <w:jc w:val="right"/>
            </w:pPr>
            <w:r>
              <w:t>3510.50</w:t>
            </w:r>
          </w:p>
        </w:tc>
        <w:tc>
          <w:tcPr>
            <w:tcW w:w="913" w:type="dxa"/>
          </w:tcPr>
          <w:p w14:paraId="22FF2ED0" w14:textId="77777777" w:rsidR="006879B9" w:rsidRDefault="00050C95">
            <w:pPr>
              <w:pStyle w:val="Compact"/>
              <w:jc w:val="right"/>
            </w:pPr>
            <w:r>
              <w:t>1988.82</w:t>
            </w:r>
          </w:p>
        </w:tc>
        <w:tc>
          <w:tcPr>
            <w:tcW w:w="812" w:type="dxa"/>
          </w:tcPr>
          <w:p w14:paraId="32B3A766" w14:textId="77777777" w:rsidR="006879B9" w:rsidRDefault="00050C95">
            <w:pPr>
              <w:pStyle w:val="Compact"/>
              <w:jc w:val="right"/>
            </w:pPr>
            <w:r>
              <w:t>1020.00</w:t>
            </w:r>
          </w:p>
        </w:tc>
        <w:tc>
          <w:tcPr>
            <w:tcW w:w="913" w:type="dxa"/>
          </w:tcPr>
          <w:p w14:paraId="3129B29F" w14:textId="77777777" w:rsidR="006879B9" w:rsidRDefault="00050C95">
            <w:pPr>
              <w:pStyle w:val="Compact"/>
              <w:jc w:val="right"/>
            </w:pPr>
            <w:r>
              <w:t>15428.00</w:t>
            </w:r>
          </w:p>
        </w:tc>
        <w:tc>
          <w:tcPr>
            <w:tcW w:w="1015" w:type="dxa"/>
          </w:tcPr>
          <w:p w14:paraId="27B64AF1" w14:textId="77777777" w:rsidR="006879B9" w:rsidRDefault="00050C95">
            <w:pPr>
              <w:pStyle w:val="Compact"/>
              <w:jc w:val="right"/>
            </w:pPr>
            <w:r>
              <w:t>2.043</w:t>
            </w:r>
          </w:p>
        </w:tc>
      </w:tr>
      <w:tr w:rsidR="006879B9" w14:paraId="6B2E8E86" w14:textId="77777777">
        <w:tc>
          <w:tcPr>
            <w:tcW w:w="2538" w:type="dxa"/>
          </w:tcPr>
          <w:p w14:paraId="34161F44" w14:textId="77777777" w:rsidR="006879B9" w:rsidRDefault="00050C95">
            <w:pPr>
              <w:pStyle w:val="Compact"/>
            </w:pPr>
            <w:r>
              <w:t>Wynagrodzenie [zł/mc]</w:t>
            </w:r>
          </w:p>
        </w:tc>
        <w:tc>
          <w:tcPr>
            <w:tcW w:w="913" w:type="dxa"/>
          </w:tcPr>
          <w:p w14:paraId="4FBA4F57" w14:textId="77777777" w:rsidR="006879B9" w:rsidRDefault="00050C95">
            <w:pPr>
              <w:pStyle w:val="Compact"/>
              <w:jc w:val="right"/>
            </w:pPr>
            <w:r>
              <w:t>4130.69</w:t>
            </w:r>
          </w:p>
        </w:tc>
        <w:tc>
          <w:tcPr>
            <w:tcW w:w="812" w:type="dxa"/>
          </w:tcPr>
          <w:p w14:paraId="39829C11" w14:textId="77777777" w:rsidR="006879B9" w:rsidRDefault="00050C95">
            <w:pPr>
              <w:pStyle w:val="Compact"/>
              <w:jc w:val="right"/>
            </w:pPr>
            <w:r>
              <w:t>3684.94</w:t>
            </w:r>
          </w:p>
        </w:tc>
        <w:tc>
          <w:tcPr>
            <w:tcW w:w="913" w:type="dxa"/>
          </w:tcPr>
          <w:p w14:paraId="62A9FB62" w14:textId="77777777" w:rsidR="006879B9" w:rsidRDefault="00050C95">
            <w:pPr>
              <w:pStyle w:val="Compact"/>
              <w:jc w:val="right"/>
            </w:pPr>
            <w:r>
              <w:t>1616.14</w:t>
            </w:r>
          </w:p>
        </w:tc>
        <w:tc>
          <w:tcPr>
            <w:tcW w:w="812" w:type="dxa"/>
          </w:tcPr>
          <w:p w14:paraId="2E1DDC2F" w14:textId="77777777" w:rsidR="006879B9" w:rsidRDefault="00050C95">
            <w:pPr>
              <w:pStyle w:val="Compact"/>
              <w:jc w:val="right"/>
            </w:pPr>
            <w:r>
              <w:t>2018.59</w:t>
            </w:r>
          </w:p>
        </w:tc>
        <w:tc>
          <w:tcPr>
            <w:tcW w:w="913" w:type="dxa"/>
          </w:tcPr>
          <w:p w14:paraId="4A94BB09" w14:textId="77777777" w:rsidR="006879B9" w:rsidRDefault="00050C95">
            <w:pPr>
              <w:pStyle w:val="Compact"/>
              <w:jc w:val="right"/>
            </w:pPr>
            <w:r>
              <w:t>10018.71</w:t>
            </w:r>
          </w:p>
        </w:tc>
        <w:tc>
          <w:tcPr>
            <w:tcW w:w="1015" w:type="dxa"/>
          </w:tcPr>
          <w:p w14:paraId="46D81871" w14:textId="77777777" w:rsidR="006879B9" w:rsidRDefault="00050C95">
            <w:pPr>
              <w:pStyle w:val="Compact"/>
              <w:jc w:val="right"/>
            </w:pPr>
            <w:r>
              <w:t>1.073</w:t>
            </w:r>
          </w:p>
        </w:tc>
      </w:tr>
      <w:tr w:rsidR="006879B9" w14:paraId="07063FD2" w14:textId="77777777">
        <w:tc>
          <w:tcPr>
            <w:tcW w:w="2538" w:type="dxa"/>
          </w:tcPr>
          <w:p w14:paraId="741EA4F6" w14:textId="77777777" w:rsidR="006879B9" w:rsidRDefault="00050C95">
            <w:pPr>
              <w:pStyle w:val="Compact"/>
            </w:pPr>
            <w:r>
              <w:t>Saldo migracji</w:t>
            </w:r>
          </w:p>
        </w:tc>
        <w:tc>
          <w:tcPr>
            <w:tcW w:w="913" w:type="dxa"/>
          </w:tcPr>
          <w:p w14:paraId="56AB5BFD" w14:textId="77777777" w:rsidR="006879B9" w:rsidRDefault="00050C95">
            <w:pPr>
              <w:pStyle w:val="Compact"/>
              <w:jc w:val="right"/>
            </w:pPr>
            <w:r>
              <w:t>-0.62</w:t>
            </w:r>
          </w:p>
        </w:tc>
        <w:tc>
          <w:tcPr>
            <w:tcW w:w="812" w:type="dxa"/>
          </w:tcPr>
          <w:p w14:paraId="06F4E509" w14:textId="77777777" w:rsidR="006879B9" w:rsidRDefault="00050C95">
            <w:pPr>
              <w:pStyle w:val="Compact"/>
              <w:jc w:val="right"/>
            </w:pPr>
            <w:r>
              <w:t>-0.92</w:t>
            </w:r>
          </w:p>
        </w:tc>
        <w:tc>
          <w:tcPr>
            <w:tcW w:w="913" w:type="dxa"/>
          </w:tcPr>
          <w:p w14:paraId="7C0341DD" w14:textId="77777777" w:rsidR="006879B9" w:rsidRDefault="00050C95">
            <w:pPr>
              <w:pStyle w:val="Compact"/>
              <w:jc w:val="right"/>
            </w:pPr>
            <w:r>
              <w:t>1.46</w:t>
            </w:r>
          </w:p>
        </w:tc>
        <w:tc>
          <w:tcPr>
            <w:tcW w:w="812" w:type="dxa"/>
          </w:tcPr>
          <w:p w14:paraId="2402B2F3" w14:textId="77777777" w:rsidR="006879B9" w:rsidRDefault="00050C95">
            <w:pPr>
              <w:pStyle w:val="Compact"/>
              <w:jc w:val="right"/>
            </w:pPr>
            <w:r>
              <w:t>-4.59</w:t>
            </w:r>
          </w:p>
        </w:tc>
        <w:tc>
          <w:tcPr>
            <w:tcW w:w="913" w:type="dxa"/>
          </w:tcPr>
          <w:p w14:paraId="1697CAE7" w14:textId="77777777" w:rsidR="006879B9" w:rsidRDefault="00050C95">
            <w:pPr>
              <w:pStyle w:val="Compact"/>
              <w:jc w:val="right"/>
            </w:pPr>
            <w:r>
              <w:t>3.34</w:t>
            </w:r>
          </w:p>
        </w:tc>
        <w:tc>
          <w:tcPr>
            <w:tcW w:w="1015" w:type="dxa"/>
          </w:tcPr>
          <w:p w14:paraId="584FC35A" w14:textId="77777777" w:rsidR="006879B9" w:rsidRDefault="00050C95">
            <w:pPr>
              <w:pStyle w:val="Compact"/>
              <w:jc w:val="right"/>
            </w:pPr>
            <w:r>
              <w:t>0.598</w:t>
            </w:r>
          </w:p>
        </w:tc>
      </w:tr>
    </w:tbl>
    <w:p w14:paraId="15CB12E4" w14:textId="77777777" w:rsidR="006879B9" w:rsidRDefault="00050C95">
      <w:pPr>
        <w:pStyle w:val="Tekstpodstawowy"/>
      </w:pPr>
      <w:r>
        <w:t>Liczba mieszkań oddawanych do użytkowania (MO) wykazuje silną prawostronną asymetrię — kilka województw (mazowieckie, małopolskie, wielkopolskie) zdecydowanie dominuje pod względem wolumenu oddawanych mieszkań. Odchylenie standardowe stanowi 82% wartości średniej, co świadczy o bardzo dużym zróżnicowaniu regionalnym.</w:t>
      </w:r>
    </w:p>
    <w:p w14:paraId="2AA05FC3" w14:textId="79267868" w:rsidR="00F27988" w:rsidRDefault="00000000">
      <w:r>
        <w:pict w14:anchorId="2614F97F">
          <v:rect id="_x0000_i1516" style="width:0;height:1.5pt" o:hralign="center" o:hrstd="t" o:hr="t"/>
        </w:pict>
      </w:r>
    </w:p>
    <w:p w14:paraId="53E619B7" w14:textId="77777777" w:rsidR="00F27988" w:rsidRDefault="00F27988">
      <w:r>
        <w:br w:type="page"/>
      </w:r>
    </w:p>
    <w:p w14:paraId="1C1F55AC" w14:textId="77777777" w:rsidR="006879B9" w:rsidRDefault="006879B9"/>
    <w:p w14:paraId="658698C0" w14:textId="77777777" w:rsidR="006879B9" w:rsidRDefault="00050C95">
      <w:pPr>
        <w:pStyle w:val="Nagwek1"/>
      </w:pPr>
      <w:bookmarkStart w:id="24" w:name="analiza-opisowa-danych"/>
      <w:bookmarkStart w:id="25" w:name="_Toc232627122"/>
      <w:bookmarkStart w:id="26" w:name="_Toc232627222"/>
      <w:bookmarkEnd w:id="15"/>
      <w:bookmarkEnd w:id="21"/>
      <w:r>
        <w:rPr>
          <w:rStyle w:val="SectionNumber"/>
        </w:rPr>
        <w:t>4</w:t>
      </w:r>
      <w:r>
        <w:tab/>
        <w:t>Analiza opisowa danych</w:t>
      </w:r>
      <w:bookmarkEnd w:id="25"/>
      <w:bookmarkEnd w:id="26"/>
    </w:p>
    <w:p w14:paraId="779EE094" w14:textId="77777777" w:rsidR="006879B9" w:rsidRDefault="00050C95">
      <w:pPr>
        <w:pStyle w:val="Nagwek2"/>
      </w:pPr>
      <w:bookmarkStart w:id="27" w:name="X20b522bfcbd0c1accfa1f2eb83cb4daa95153ba"/>
      <w:bookmarkStart w:id="28" w:name="_Toc232627123"/>
      <w:bookmarkStart w:id="29" w:name="_Toc232627223"/>
      <w:r>
        <w:rPr>
          <w:rStyle w:val="SectionNumber"/>
        </w:rPr>
        <w:t>4.1</w:t>
      </w:r>
      <w:r>
        <w:tab/>
        <w:t>Przestrzenne zróżnicowanie budownictwa mieszkaniowego — wybrane lata</w:t>
      </w:r>
      <w:bookmarkEnd w:id="28"/>
      <w:bookmarkEnd w:id="29"/>
    </w:p>
    <w:p w14:paraId="251A7E03" w14:textId="77777777" w:rsidR="006879B9" w:rsidRDefault="00050C95">
      <w:pPr>
        <w:pStyle w:val="CaptionedFigure"/>
      </w:pPr>
      <w:r>
        <w:rPr>
          <w:noProof/>
        </w:rPr>
        <w:drawing>
          <wp:inline distT="0" distB="0" distL="0" distR="0" wp14:anchorId="0DB449A4" wp14:editId="5879DD83">
            <wp:extent cx="5334000" cy="2667000"/>
            <wp:effectExtent l="0" t="0" r="0" b="0"/>
            <wp:docPr id="29" name="Picture" descr="Kartogram liczby mieszkań oddanych do użytkowania — wybrane l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Raport_mieszkania_files/figure-docx/mapy_mieszkania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60F077" w14:textId="77777777" w:rsidR="006879B9" w:rsidRDefault="00050C95">
      <w:pPr>
        <w:pStyle w:val="ImageCaption"/>
      </w:pPr>
      <w:r>
        <w:t>Kartogram liczby mieszkań oddanych do użytkowania — wybrane lata</w:t>
      </w:r>
    </w:p>
    <w:p w14:paraId="15F5C1A0" w14:textId="77777777" w:rsidR="006879B9" w:rsidRDefault="00050C95">
      <w:pPr>
        <w:pStyle w:val="Tekstpodstawowy"/>
      </w:pPr>
      <w:r>
        <w:t>Układ przestrzenny budownictwa mieszkaniowego jest wyraźnie skoncentrowany wokół największych aglomeracji — mazowieckiej, małopolskiej i wielkopolskiej. Województwa wschodniej i północno-wschodniej Polski cechuje znacznie niższa aktywność budowlana. Co istotne, ten wzorzec pogłębiał się w czasie, wskazując na narastającą koncentrację budownictwa w nielicznych centrach wzrostu.</w:t>
      </w:r>
    </w:p>
    <w:p w14:paraId="1011DA0A" w14:textId="77777777" w:rsidR="006879B9" w:rsidRDefault="00050C95">
      <w:pPr>
        <w:pStyle w:val="Nagwek2"/>
      </w:pPr>
      <w:bookmarkStart w:id="30" w:name="dynamika-w-czasie"/>
      <w:bookmarkStart w:id="31" w:name="_Toc232627124"/>
      <w:bookmarkStart w:id="32" w:name="_Toc232627224"/>
      <w:bookmarkEnd w:id="27"/>
      <w:r>
        <w:rPr>
          <w:rStyle w:val="SectionNumber"/>
        </w:rPr>
        <w:lastRenderedPageBreak/>
        <w:t>4.2</w:t>
      </w:r>
      <w:r>
        <w:tab/>
        <w:t>Dynamika w czasie</w:t>
      </w:r>
      <w:bookmarkEnd w:id="31"/>
      <w:bookmarkEnd w:id="32"/>
    </w:p>
    <w:p w14:paraId="17E66CFB" w14:textId="77777777" w:rsidR="006879B9" w:rsidRDefault="00050C95">
      <w:pPr>
        <w:pStyle w:val="CaptionedFigure"/>
      </w:pPr>
      <w:r>
        <w:rPr>
          <w:noProof/>
        </w:rPr>
        <w:drawing>
          <wp:inline distT="0" distB="0" distL="0" distR="0" wp14:anchorId="5633C8A0" wp14:editId="1BA47A65">
            <wp:extent cx="5334000" cy="3429000"/>
            <wp:effectExtent l="0" t="0" r="0" b="0"/>
            <wp:docPr id="33" name="Picture" descr="Liczba mieszkań oddanych do użytkowania — trajektorie województ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aport_mieszkania_files/figure-docx/wykres_liniowy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F8743" w14:textId="77777777" w:rsidR="006879B9" w:rsidRDefault="00050C95">
      <w:pPr>
        <w:pStyle w:val="ImageCaption"/>
      </w:pPr>
      <w:r>
        <w:t>Liczba mieszkań oddanych do użytkowania — trajektorie województw</w:t>
      </w:r>
    </w:p>
    <w:p w14:paraId="69250A60" w14:textId="77777777" w:rsidR="006879B9" w:rsidRDefault="00050C95">
      <w:pPr>
        <w:pStyle w:val="Tekstpodstawowy"/>
      </w:pPr>
      <w:r>
        <w:t>Wykres liniowy ilustruje wyraźny kryzys budownictwa mieszkaniowego po 2008 roku (globalny kryzys finansowy i zaostrzenie wymogów kredytowych) oraz silne ożywienie po 2015 roku, napędzane m.in. programem Mieszkanie dla Młodych, rekordowo niskimi stopami procentowymi i rosnącymi wynagrodzeniami.</w:t>
      </w:r>
    </w:p>
    <w:p w14:paraId="4D0BFA96" w14:textId="77777777" w:rsidR="006879B9" w:rsidRDefault="00050C95">
      <w:pPr>
        <w:pStyle w:val="Nagwek2"/>
      </w:pPr>
      <w:bookmarkStart w:id="33" w:name="analiza-korelacji"/>
      <w:bookmarkStart w:id="34" w:name="_Toc232627125"/>
      <w:bookmarkStart w:id="35" w:name="_Toc232627225"/>
      <w:bookmarkEnd w:id="30"/>
      <w:r>
        <w:rPr>
          <w:rStyle w:val="SectionNumber"/>
        </w:rPr>
        <w:lastRenderedPageBreak/>
        <w:t>4.3</w:t>
      </w:r>
      <w:r>
        <w:tab/>
        <w:t>Analiza korelacji</w:t>
      </w:r>
      <w:bookmarkEnd w:id="34"/>
      <w:bookmarkEnd w:id="35"/>
    </w:p>
    <w:p w14:paraId="5F99340B" w14:textId="77777777" w:rsidR="006879B9" w:rsidRDefault="00050C95">
      <w:pPr>
        <w:pStyle w:val="CaptionedFigure"/>
      </w:pPr>
      <w:r>
        <w:rPr>
          <w:noProof/>
        </w:rPr>
        <w:drawing>
          <wp:inline distT="0" distB="0" distL="0" distR="0" wp14:anchorId="0FF8271F" wp14:editId="3E018D1B">
            <wp:extent cx="5334000" cy="4889500"/>
            <wp:effectExtent l="0" t="0" r="0" b="0"/>
            <wp:docPr id="37" name="Picture" descr="Macierz korelacji zmiennych ilościowy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Raport_mieszkania_files/figure-docx/korrelacje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6E64E3" w14:textId="77777777" w:rsidR="006879B9" w:rsidRDefault="00050C95">
      <w:pPr>
        <w:pStyle w:val="ImageCaption"/>
      </w:pPr>
      <w:r>
        <w:t>Macierz korelacji zmiennych ilościowych</w:t>
      </w:r>
    </w:p>
    <w:p w14:paraId="0D21189B" w14:textId="77777777" w:rsidR="006879B9" w:rsidRDefault="00050C95">
      <w:pPr>
        <w:pStyle w:val="Tekstpodstawowy"/>
      </w:pPr>
      <w:r>
        <w:t>Macierz korelacji ujawnia silne dodatnie powiązania liczby oddawanych mieszkań z wynagrodzeniami, nakładami inwestycyjnymi i liczebnością kohorty 25–34 lat, co jest zgodne z oczekiwaniami teoretycznymi. Saldo migracji wykazuje umiarkowaną korelację dodatnią — napływ ludności generuje popyt na nowe mieszkania.</w:t>
      </w:r>
    </w:p>
    <w:p w14:paraId="49B9B85E" w14:textId="77777777" w:rsidR="006879B9" w:rsidRDefault="00050C95">
      <w:pPr>
        <w:pStyle w:val="Nagwek2"/>
      </w:pPr>
      <w:bookmarkStart w:id="36" w:name="rozkłady-zmiennych"/>
      <w:bookmarkStart w:id="37" w:name="_Toc232627126"/>
      <w:bookmarkStart w:id="38" w:name="_Toc232627226"/>
      <w:bookmarkEnd w:id="33"/>
      <w:r>
        <w:rPr>
          <w:rStyle w:val="SectionNumber"/>
        </w:rPr>
        <w:lastRenderedPageBreak/>
        <w:t>4.4</w:t>
      </w:r>
      <w:r>
        <w:tab/>
        <w:t>Rozkłady zmiennych</w:t>
      </w:r>
      <w:bookmarkEnd w:id="37"/>
      <w:bookmarkEnd w:id="38"/>
    </w:p>
    <w:p w14:paraId="74E2C19E" w14:textId="77777777" w:rsidR="006879B9" w:rsidRDefault="00050C95">
      <w:pPr>
        <w:pStyle w:val="CaptionedFigure"/>
      </w:pPr>
      <w:r>
        <w:rPr>
          <w:noProof/>
        </w:rPr>
        <w:drawing>
          <wp:inline distT="0" distB="0" distL="0" distR="0" wp14:anchorId="5C8F0B2A" wp14:editId="76AC3999">
            <wp:extent cx="5334000" cy="2667000"/>
            <wp:effectExtent l="0" t="0" r="0" b="0"/>
            <wp:docPr id="41" name="Picture" descr="Rozkład liczby mieszkań oddanych do użytkowan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Raport_mieszkania_files/figure-docx/rozklady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2AB193" w14:textId="77777777" w:rsidR="006879B9" w:rsidRDefault="00050C95">
      <w:pPr>
        <w:pStyle w:val="ImageCaption"/>
      </w:pPr>
      <w:r>
        <w:t>Rozkład liczby mieszkań oddanych do użytkowania</w:t>
      </w:r>
    </w:p>
    <w:p w14:paraId="12EB32E4" w14:textId="77777777" w:rsidR="006879B9" w:rsidRDefault="00000000">
      <w:r>
        <w:pict w14:anchorId="482A9FA3">
          <v:rect id="_x0000_i1517" style="width:0;height:1.5pt" o:hralign="center" o:hrstd="t" o:hr="t"/>
        </w:pict>
      </w:r>
    </w:p>
    <w:p w14:paraId="640C0A2D" w14:textId="77777777" w:rsidR="006879B9" w:rsidRDefault="00050C95">
      <w:pPr>
        <w:pStyle w:val="Nagwek1"/>
      </w:pPr>
      <w:bookmarkStart w:id="39" w:name="X1f306e0a8bfe7f45c7ed4170a295186a8aaf592"/>
      <w:bookmarkStart w:id="40" w:name="_Toc232627127"/>
      <w:bookmarkStart w:id="41" w:name="_Toc232627227"/>
      <w:bookmarkEnd w:id="24"/>
      <w:bookmarkEnd w:id="36"/>
      <w:r>
        <w:rPr>
          <w:rStyle w:val="SectionNumber"/>
        </w:rPr>
        <w:t>5</w:t>
      </w:r>
      <w:r>
        <w:tab/>
        <w:t>Eksploracyjna analiza danych przestrzennych (ESDA)</w:t>
      </w:r>
      <w:bookmarkEnd w:id="40"/>
      <w:bookmarkEnd w:id="41"/>
    </w:p>
    <w:p w14:paraId="3CEF46C6" w14:textId="77777777" w:rsidR="006879B9" w:rsidRDefault="00050C95">
      <w:pPr>
        <w:pStyle w:val="Nagwek2"/>
      </w:pPr>
      <w:bookmarkStart w:id="42" w:name="X966b38a93b76f7c736e579e4dd52bba16fcbf1c"/>
      <w:bookmarkStart w:id="43" w:name="_Toc232627128"/>
      <w:bookmarkStart w:id="44" w:name="_Toc232627228"/>
      <w:r>
        <w:rPr>
          <w:rStyle w:val="SectionNumber"/>
        </w:rPr>
        <w:t>5.1</w:t>
      </w:r>
      <w:r>
        <w:tab/>
        <w:t>Globalny wskaźnik autokorelacji przestrzennej Morana</w:t>
      </w:r>
      <w:bookmarkEnd w:id="43"/>
      <w:bookmarkEnd w:id="44"/>
    </w:p>
    <w:p w14:paraId="427AFF62" w14:textId="77777777" w:rsidR="006879B9" w:rsidRDefault="00050C95">
      <w:pPr>
        <w:pStyle w:val="FirstParagraph"/>
      </w:pPr>
      <w:r>
        <w:t>Globalny test I Morana dla liczby mieszkań oddanych do użytkowania (rok 2015):</w:t>
      </w:r>
    </w:p>
    <w:p w14:paraId="03A42A32" w14:textId="77777777" w:rsidR="006879B9" w:rsidRDefault="00050C95">
      <w:pPr>
        <w:pStyle w:val="Tekstpodstawowy"/>
      </w:pPr>
      <w:r>
        <w:rPr>
          <w:b/>
          <w:bCs/>
        </w:rPr>
        <w:t>I Morana = -0.3287</w:t>
      </w:r>
      <w:r>
        <w:t>, wartość oczekiwana = -0.0667, p-value = 0.046.</w:t>
      </w:r>
    </w:p>
    <w:p w14:paraId="4BF3809A" w14:textId="77777777" w:rsidR="006879B9" w:rsidRDefault="00050C95">
      <w:pPr>
        <w:pStyle w:val="CaptionedFigure"/>
      </w:pPr>
      <w:r>
        <w:rPr>
          <w:noProof/>
        </w:rPr>
        <w:drawing>
          <wp:inline distT="0" distB="0" distL="0" distR="0" wp14:anchorId="263B1033" wp14:editId="287532EF">
            <wp:extent cx="5021580" cy="2788920"/>
            <wp:effectExtent l="0" t="0" r="0" b="0"/>
            <wp:docPr id="46" name="Picture" descr="Statystyka I Morana dla liczby mieszkań w czas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Raport_mieszkania_files/figure-docx/moran_w_czasi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78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975E0" w14:textId="77777777" w:rsidR="006879B9" w:rsidRDefault="00050C95">
      <w:pPr>
        <w:pStyle w:val="ImageCaption"/>
      </w:pPr>
      <w:r>
        <w:t>Statystyka I Morana dla liczby mieszkań w czasie</w:t>
      </w:r>
    </w:p>
    <w:p w14:paraId="354BFBBA" w14:textId="77777777" w:rsidR="006879B9" w:rsidRDefault="00050C95">
      <w:pPr>
        <w:pStyle w:val="TableCaption"/>
      </w:pPr>
      <w:r>
        <w:lastRenderedPageBreak/>
        <w:t>Podsumowanie statystyki I Morana dla liczby mieszkań oddanych do użytkowania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2"/>
        <w:gridCol w:w="1701"/>
        <w:gridCol w:w="1745"/>
        <w:gridCol w:w="1740"/>
      </w:tblGrid>
      <w:tr w:rsidR="006879B9" w14:paraId="0530218F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04D0E2" w14:textId="77777777" w:rsidR="006879B9" w:rsidRDefault="00050C95">
            <w:pPr>
              <w:pStyle w:val="Compact"/>
              <w:jc w:val="right"/>
            </w:pPr>
            <w:r>
              <w:t>I Morana (śr.)</w:t>
            </w:r>
          </w:p>
        </w:tc>
        <w:tc>
          <w:tcPr>
            <w:tcW w:w="0" w:type="auto"/>
          </w:tcPr>
          <w:p w14:paraId="36CE3E6D" w14:textId="77777777" w:rsidR="006879B9" w:rsidRDefault="00050C95">
            <w:pPr>
              <w:pStyle w:val="Compact"/>
              <w:jc w:val="right"/>
            </w:pPr>
            <w:r>
              <w:t>I Morana (min)</w:t>
            </w:r>
          </w:p>
        </w:tc>
        <w:tc>
          <w:tcPr>
            <w:tcW w:w="0" w:type="auto"/>
          </w:tcPr>
          <w:p w14:paraId="213DAAA6" w14:textId="77777777" w:rsidR="006879B9" w:rsidRDefault="00050C95">
            <w:pPr>
              <w:pStyle w:val="Compact"/>
              <w:jc w:val="right"/>
            </w:pPr>
            <w:r>
              <w:t>I Morana (max)</w:t>
            </w:r>
          </w:p>
        </w:tc>
        <w:tc>
          <w:tcPr>
            <w:tcW w:w="0" w:type="auto"/>
          </w:tcPr>
          <w:p w14:paraId="55C86DFB" w14:textId="77777777" w:rsidR="006879B9" w:rsidRDefault="00050C95">
            <w:pPr>
              <w:pStyle w:val="Compact"/>
            </w:pPr>
            <w:r>
              <w:t>% istotnych lat</w:t>
            </w:r>
          </w:p>
        </w:tc>
      </w:tr>
      <w:tr w:rsidR="006879B9" w14:paraId="0E2C5ABF" w14:textId="77777777">
        <w:tc>
          <w:tcPr>
            <w:tcW w:w="0" w:type="auto"/>
          </w:tcPr>
          <w:p w14:paraId="22842997" w14:textId="77777777" w:rsidR="006879B9" w:rsidRDefault="00050C95">
            <w:pPr>
              <w:pStyle w:val="Compact"/>
              <w:jc w:val="right"/>
            </w:pPr>
            <w:r>
              <w:t>-0.3136</w:t>
            </w:r>
          </w:p>
        </w:tc>
        <w:tc>
          <w:tcPr>
            <w:tcW w:w="0" w:type="auto"/>
          </w:tcPr>
          <w:p w14:paraId="433C5A00" w14:textId="77777777" w:rsidR="006879B9" w:rsidRDefault="00050C95">
            <w:pPr>
              <w:pStyle w:val="Compact"/>
              <w:jc w:val="right"/>
            </w:pPr>
            <w:r>
              <w:t>-0.3404</w:t>
            </w:r>
          </w:p>
        </w:tc>
        <w:tc>
          <w:tcPr>
            <w:tcW w:w="0" w:type="auto"/>
          </w:tcPr>
          <w:p w14:paraId="7D558B29" w14:textId="77777777" w:rsidR="006879B9" w:rsidRDefault="00050C95">
            <w:pPr>
              <w:pStyle w:val="Compact"/>
              <w:jc w:val="right"/>
            </w:pPr>
            <w:r>
              <w:t>-0.2699</w:t>
            </w:r>
          </w:p>
        </w:tc>
        <w:tc>
          <w:tcPr>
            <w:tcW w:w="0" w:type="auto"/>
          </w:tcPr>
          <w:p w14:paraId="55C8A9F1" w14:textId="77777777" w:rsidR="006879B9" w:rsidRDefault="00050C95">
            <w:pPr>
              <w:pStyle w:val="Compact"/>
            </w:pPr>
            <w:r>
              <w:t>76%</w:t>
            </w:r>
          </w:p>
        </w:tc>
      </w:tr>
      <w:tr w:rsidR="00531F2B" w14:paraId="7532E3EE" w14:textId="77777777">
        <w:tc>
          <w:tcPr>
            <w:tcW w:w="0" w:type="auto"/>
          </w:tcPr>
          <w:p w14:paraId="2695DFC9" w14:textId="77777777" w:rsidR="00531F2B" w:rsidRDefault="00531F2B">
            <w:pPr>
              <w:pStyle w:val="Compact"/>
              <w:jc w:val="right"/>
            </w:pPr>
          </w:p>
          <w:p w14:paraId="460914C7" w14:textId="77777777" w:rsidR="00531F2B" w:rsidRDefault="00531F2B" w:rsidP="00531F2B">
            <w:pPr>
              <w:pStyle w:val="Compact"/>
            </w:pPr>
          </w:p>
        </w:tc>
        <w:tc>
          <w:tcPr>
            <w:tcW w:w="0" w:type="auto"/>
          </w:tcPr>
          <w:p w14:paraId="656EE723" w14:textId="77777777" w:rsidR="00531F2B" w:rsidRDefault="00531F2B">
            <w:pPr>
              <w:pStyle w:val="Compact"/>
              <w:jc w:val="right"/>
            </w:pPr>
          </w:p>
        </w:tc>
        <w:tc>
          <w:tcPr>
            <w:tcW w:w="0" w:type="auto"/>
          </w:tcPr>
          <w:p w14:paraId="6AA6298A" w14:textId="77777777" w:rsidR="00531F2B" w:rsidRDefault="00531F2B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3948EB2" w14:textId="77777777" w:rsidR="00531F2B" w:rsidRDefault="00531F2B">
            <w:pPr>
              <w:pStyle w:val="Compact"/>
            </w:pPr>
          </w:p>
        </w:tc>
      </w:tr>
    </w:tbl>
    <w:p w14:paraId="65C7F18F" w14:textId="78A39067" w:rsidR="00531F2B" w:rsidRPr="00531F2B" w:rsidRDefault="00531F2B" w:rsidP="00531F2B">
      <w:pPr>
        <w:pStyle w:val="ImageCaption"/>
        <w:rPr>
          <w:i w:val="0"/>
          <w:iCs/>
        </w:rPr>
      </w:pPr>
      <w:bookmarkStart w:id="45" w:name="wykres-morana"/>
      <w:bookmarkEnd w:id="42"/>
      <w:r w:rsidRPr="00531F2B">
        <w:rPr>
          <w:i w:val="0"/>
          <w:iCs/>
        </w:rPr>
        <w:t xml:space="preserve">Globalny test I </w:t>
      </w:r>
      <w:proofErr w:type="spellStart"/>
      <w:r w:rsidRPr="00531F2B">
        <w:rPr>
          <w:i w:val="0"/>
          <w:iCs/>
        </w:rPr>
        <w:t>Morana</w:t>
      </w:r>
      <w:proofErr w:type="spellEnd"/>
      <w:r w:rsidRPr="00531F2B">
        <w:rPr>
          <w:i w:val="0"/>
          <w:iCs/>
        </w:rPr>
        <w:t xml:space="preserve"> wskazuje na statystycznie istotną, ujemną autokorelację przestrzenną liczby mieszkań oddanych do użytkowania. W 2015 roku statystyka przyjęła wartość I = −0,3287, wyraźnie niższą od wartości oczekiwanej w warunkach losowego rozmieszczenia przestrzennego. Ponieważ p-</w:t>
      </w:r>
      <w:proofErr w:type="spellStart"/>
      <w:r w:rsidRPr="00531F2B">
        <w:rPr>
          <w:i w:val="0"/>
          <w:iCs/>
        </w:rPr>
        <w:t>value</w:t>
      </w:r>
      <w:proofErr w:type="spellEnd"/>
      <w:r w:rsidRPr="00531F2B">
        <w:rPr>
          <w:i w:val="0"/>
          <w:iCs/>
        </w:rPr>
        <w:t xml:space="preserve"> = 0,046 jest niższe od przyjętego poziomu istotności 0,05, odrzucamy hipotezę zerową o braku autokorelacji przestrzennej</w:t>
      </w:r>
      <w:r w:rsidR="00047B09">
        <w:rPr>
          <w:i w:val="0"/>
          <w:iCs/>
        </w:rPr>
        <w:t xml:space="preserve">, </w:t>
      </w:r>
      <w:r w:rsidRPr="00531F2B">
        <w:rPr>
          <w:i w:val="0"/>
          <w:iCs/>
        </w:rPr>
        <w:t>przestrzenny rozkład budownictwa mieszkaniowego nie jest losowy.</w:t>
      </w:r>
    </w:p>
    <w:p w14:paraId="428AE2CD" w14:textId="08F24B20" w:rsidR="00531F2B" w:rsidRPr="00531F2B" w:rsidRDefault="00531F2B" w:rsidP="00531F2B">
      <w:pPr>
        <w:pStyle w:val="ImageCaption"/>
        <w:rPr>
          <w:i w:val="0"/>
          <w:iCs/>
        </w:rPr>
      </w:pPr>
      <w:r w:rsidRPr="00531F2B">
        <w:rPr>
          <w:i w:val="0"/>
          <w:iCs/>
        </w:rPr>
        <w:t>Ujemny znak statystyki ma kluczowe znaczenie interpretacyjne. Oznacza on, że województwa o wysokiej liczbie oddawanych mieszkań sąsiadują przeważnie z województwami o niskiej aktywności budowlanej (i odwrotnie)</w:t>
      </w:r>
      <w:r w:rsidR="00047B09">
        <w:rPr>
          <w:i w:val="0"/>
          <w:iCs/>
        </w:rPr>
        <w:t xml:space="preserve">, </w:t>
      </w:r>
      <w:r w:rsidRPr="00531F2B">
        <w:rPr>
          <w:i w:val="0"/>
          <w:iCs/>
        </w:rPr>
        <w:t>mamy zatem do czynienia z przestrzennym zróżnicowaniem (wz</w:t>
      </w:r>
      <w:r w:rsidR="00047B09">
        <w:rPr>
          <w:i w:val="0"/>
          <w:iCs/>
        </w:rPr>
        <w:t xml:space="preserve">ór </w:t>
      </w:r>
      <w:r w:rsidRPr="00531F2B">
        <w:rPr>
          <w:i w:val="0"/>
          <w:iCs/>
        </w:rPr>
        <w:t>„szachownicy”), a nie ze skupianiem się jednostek podobnych. Głównym źródłem tego efektu jest województwo mazowieckie, które jako zdecydowany lider budownictwa otoczone jest regionami o znacznie niższym wolumenie oddawanych mieszkań; jego lokalny wkład do statystyki globalnej jest kilkukrotnie większy niż pozostałych jednostek.</w:t>
      </w:r>
    </w:p>
    <w:p w14:paraId="652BA2DE" w14:textId="77777777" w:rsidR="00531F2B" w:rsidRPr="00531F2B" w:rsidRDefault="00531F2B" w:rsidP="00531F2B">
      <w:pPr>
        <w:pStyle w:val="ImageCaption"/>
        <w:rPr>
          <w:i w:val="0"/>
          <w:iCs/>
        </w:rPr>
      </w:pPr>
      <w:r w:rsidRPr="00531F2B">
        <w:rPr>
          <w:i w:val="0"/>
          <w:iCs/>
        </w:rPr>
        <w:t xml:space="preserve">Wzorzec ten jest trwały w całym analizowanym okresie. Średnia wartość I </w:t>
      </w:r>
      <w:proofErr w:type="spellStart"/>
      <w:r w:rsidRPr="00531F2B">
        <w:rPr>
          <w:i w:val="0"/>
          <w:iCs/>
        </w:rPr>
        <w:t>Morana</w:t>
      </w:r>
      <w:proofErr w:type="spellEnd"/>
      <w:r w:rsidRPr="00531F2B">
        <w:rPr>
          <w:i w:val="0"/>
          <w:iCs/>
        </w:rPr>
        <w:t xml:space="preserve"> w latach 2004–2024 wyniosła −0,3136, przy wąskim przedziale wahań (od −0,3404 do −0,2699), a autokorelacja okazała się istotna statystycznie w 76% badanych lat. Świadczy to o tym, że ujemna struktura przestrzenna budownictwa mieszkaniowego jest stabilną cechą strukturalną, a nie przejściowym wahnięciem koniunkturalnym.</w:t>
      </w:r>
    </w:p>
    <w:p w14:paraId="3325B335" w14:textId="50623393" w:rsidR="00531F2B" w:rsidRPr="00531F2B" w:rsidRDefault="00531F2B" w:rsidP="00531F2B">
      <w:pPr>
        <w:pStyle w:val="ImageCaption"/>
        <w:rPr>
          <w:i w:val="0"/>
          <w:iCs/>
        </w:rPr>
      </w:pPr>
      <w:r w:rsidRPr="00531F2B">
        <w:rPr>
          <w:i w:val="0"/>
          <w:iCs/>
        </w:rPr>
        <w:t xml:space="preserve">Wynik ten nie potwierdza hipotezy H5, zakładającej dodatnią autokorelację przestrzenną (skupiska aktywności budowlanej wokół metropolii). Zaobserwowana zależność ma kierunek przeciwny: dominacja pojedynczych ośrodków metropolitalnych nad otoczeniem prowadzi do przestrzennej </w:t>
      </w:r>
      <w:r w:rsidR="00047B09">
        <w:rPr>
          <w:i w:val="0"/>
          <w:iCs/>
        </w:rPr>
        <w:t>dominacji</w:t>
      </w:r>
      <w:r w:rsidRPr="00531F2B">
        <w:rPr>
          <w:i w:val="0"/>
          <w:iCs/>
        </w:rPr>
        <w:t>, a nie do tworzenia rozległych, jednorodnych skupisk wysokiej aktywności budowlanej.</w:t>
      </w:r>
    </w:p>
    <w:p w14:paraId="56A1FCD8" w14:textId="14704C24" w:rsidR="006879B9" w:rsidRDefault="00050C95">
      <w:pPr>
        <w:pStyle w:val="Nagwek2"/>
      </w:pPr>
      <w:bookmarkStart w:id="46" w:name="_Toc232627129"/>
      <w:bookmarkStart w:id="47" w:name="_Toc232627229"/>
      <w:r>
        <w:rPr>
          <w:rStyle w:val="SectionNumber"/>
        </w:rPr>
        <w:lastRenderedPageBreak/>
        <w:t>5.2</w:t>
      </w:r>
      <w:r>
        <w:tab/>
        <w:t xml:space="preserve">Wykres </w:t>
      </w:r>
      <w:proofErr w:type="spellStart"/>
      <w:r>
        <w:t>Morana</w:t>
      </w:r>
      <w:bookmarkEnd w:id="46"/>
      <w:bookmarkEnd w:id="47"/>
      <w:proofErr w:type="spellEnd"/>
    </w:p>
    <w:p w14:paraId="1F6DD1CC" w14:textId="77777777" w:rsidR="006879B9" w:rsidRDefault="00050C95">
      <w:pPr>
        <w:pStyle w:val="CaptionedFigure"/>
      </w:pPr>
      <w:r>
        <w:rPr>
          <w:noProof/>
        </w:rPr>
        <w:drawing>
          <wp:inline distT="0" distB="0" distL="0" distR="0" wp14:anchorId="099BB2E7" wp14:editId="352B0E80">
            <wp:extent cx="5334000" cy="3429000"/>
            <wp:effectExtent l="0" t="0" r="0" b="0"/>
            <wp:docPr id="50" name="Picture" descr="Wykres Morana — mieszkania oddane do użytkowan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Raport_mieszkania_files/figure-docx/moran_plot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164517" w14:textId="77777777" w:rsidR="006879B9" w:rsidRDefault="00050C95">
      <w:pPr>
        <w:pStyle w:val="ImageCaption"/>
      </w:pPr>
      <w:r>
        <w:t>Wykres Morana — mieszkania oddane do użytkowania</w:t>
      </w:r>
    </w:p>
    <w:p w14:paraId="18657639" w14:textId="77777777" w:rsidR="006879B9" w:rsidRDefault="00050C95">
      <w:pPr>
        <w:pStyle w:val="Nagwek2"/>
      </w:pPr>
      <w:bookmarkStart w:id="48" w:name="X8f6ac1b311f968589479ca8581961edd61867ca"/>
      <w:bookmarkStart w:id="49" w:name="_Toc232627130"/>
      <w:bookmarkStart w:id="50" w:name="_Toc232627230"/>
      <w:bookmarkEnd w:id="45"/>
      <w:r>
        <w:rPr>
          <w:rStyle w:val="SectionNumber"/>
        </w:rPr>
        <w:t>5.3</w:t>
      </w:r>
      <w:r>
        <w:tab/>
        <w:t>Lokalne wskaźniki LISA — skupiska przestrzenne</w:t>
      </w:r>
      <w:bookmarkEnd w:id="49"/>
      <w:bookmarkEnd w:id="50"/>
    </w:p>
    <w:p w14:paraId="07752DA5" w14:textId="77777777" w:rsidR="006879B9" w:rsidRDefault="00050C95">
      <w:pPr>
        <w:pStyle w:val="CaptionedFigure"/>
      </w:pPr>
      <w:r>
        <w:rPr>
          <w:noProof/>
        </w:rPr>
        <w:drawing>
          <wp:inline distT="0" distB="0" distL="0" distR="0" wp14:anchorId="4FD82262" wp14:editId="3C319B0B">
            <wp:extent cx="5212080" cy="3139440"/>
            <wp:effectExtent l="0" t="0" r="0" b="0"/>
            <wp:docPr id="54" name="Picture" descr="Mapa LISA — mieszkania oddane do użytkowan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Raport_mieszkania_files/figure-docx/lisa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4CA9D" w14:textId="77777777" w:rsidR="006879B9" w:rsidRDefault="00050C95">
      <w:pPr>
        <w:pStyle w:val="ImageCaption"/>
      </w:pPr>
      <w:r>
        <w:t>Mapa LISA — mieszkania oddane do użytkowania</w:t>
      </w:r>
    </w:p>
    <w:p w14:paraId="76BDC14C" w14:textId="77777777" w:rsidR="006879B9" w:rsidRDefault="00050C95">
      <w:pPr>
        <w:pStyle w:val="TableCaption"/>
      </w:pPr>
      <w:r>
        <w:lastRenderedPageBreak/>
        <w:t>Wartości LISA — mieszkania oddane do użytkowania ( 2015 )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2508"/>
        <w:gridCol w:w="1008"/>
        <w:gridCol w:w="992"/>
        <w:gridCol w:w="1748"/>
      </w:tblGrid>
      <w:tr w:rsidR="006879B9" w14:paraId="1EFE2440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D7FC3" w14:textId="77777777" w:rsidR="006879B9" w:rsidRDefault="006879B9">
            <w:pPr>
              <w:pStyle w:val="Compact"/>
            </w:pPr>
          </w:p>
        </w:tc>
        <w:tc>
          <w:tcPr>
            <w:tcW w:w="0" w:type="auto"/>
          </w:tcPr>
          <w:p w14:paraId="630B3F1E" w14:textId="77777777" w:rsidR="006879B9" w:rsidRDefault="00050C95">
            <w:pPr>
              <w:pStyle w:val="Compact"/>
            </w:pPr>
            <w:r>
              <w:t>Województwo</w:t>
            </w:r>
          </w:p>
        </w:tc>
        <w:tc>
          <w:tcPr>
            <w:tcW w:w="0" w:type="auto"/>
          </w:tcPr>
          <w:p w14:paraId="41815597" w14:textId="77777777" w:rsidR="006879B9" w:rsidRDefault="00050C95">
            <w:pPr>
              <w:pStyle w:val="Compact"/>
              <w:jc w:val="right"/>
            </w:pPr>
            <w:r>
              <w:t>LISA I</w:t>
            </w:r>
          </w:p>
        </w:tc>
        <w:tc>
          <w:tcPr>
            <w:tcW w:w="0" w:type="auto"/>
          </w:tcPr>
          <w:p w14:paraId="19BD46B8" w14:textId="77777777" w:rsidR="006879B9" w:rsidRDefault="00050C95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0" w:type="auto"/>
          </w:tcPr>
          <w:p w14:paraId="0D4EB18D" w14:textId="77777777" w:rsidR="006879B9" w:rsidRDefault="00050C95">
            <w:pPr>
              <w:pStyle w:val="Compact"/>
            </w:pPr>
            <w:r>
              <w:t>Kategoria</w:t>
            </w:r>
          </w:p>
        </w:tc>
      </w:tr>
      <w:tr w:rsidR="006879B9" w14:paraId="2CC647FB" w14:textId="77777777">
        <w:tc>
          <w:tcPr>
            <w:tcW w:w="0" w:type="auto"/>
          </w:tcPr>
          <w:p w14:paraId="16C15D4E" w14:textId="77777777" w:rsidR="006879B9" w:rsidRDefault="00050C95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32539B4" w14:textId="77777777" w:rsidR="006879B9" w:rsidRDefault="00050C95">
            <w:pPr>
              <w:pStyle w:val="Compact"/>
            </w:pPr>
            <w:r>
              <w:t>podkarpackie</w:t>
            </w:r>
          </w:p>
        </w:tc>
        <w:tc>
          <w:tcPr>
            <w:tcW w:w="0" w:type="auto"/>
          </w:tcPr>
          <w:p w14:paraId="162362FE" w14:textId="77777777" w:rsidR="006879B9" w:rsidRDefault="00050C95">
            <w:pPr>
              <w:pStyle w:val="Compact"/>
              <w:jc w:val="right"/>
            </w:pPr>
            <w:r>
              <w:t>0.0406</w:t>
            </w:r>
          </w:p>
        </w:tc>
        <w:tc>
          <w:tcPr>
            <w:tcW w:w="0" w:type="auto"/>
          </w:tcPr>
          <w:p w14:paraId="66997161" w14:textId="77777777" w:rsidR="006879B9" w:rsidRDefault="00050C95">
            <w:pPr>
              <w:pStyle w:val="Compact"/>
              <w:jc w:val="right"/>
            </w:pPr>
            <w:r>
              <w:t>0.7340</w:t>
            </w:r>
          </w:p>
        </w:tc>
        <w:tc>
          <w:tcPr>
            <w:tcW w:w="0" w:type="auto"/>
          </w:tcPr>
          <w:p w14:paraId="279F7E8A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226BE95B" w14:textId="77777777">
        <w:tc>
          <w:tcPr>
            <w:tcW w:w="0" w:type="auto"/>
          </w:tcPr>
          <w:p w14:paraId="4DC42579" w14:textId="77777777" w:rsidR="006879B9" w:rsidRDefault="00050C9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8DE831F" w14:textId="77777777" w:rsidR="006879B9" w:rsidRDefault="00050C95">
            <w:pPr>
              <w:pStyle w:val="Compact"/>
            </w:pPr>
            <w:r>
              <w:t>śląskie</w:t>
            </w:r>
          </w:p>
        </w:tc>
        <w:tc>
          <w:tcPr>
            <w:tcW w:w="0" w:type="auto"/>
          </w:tcPr>
          <w:p w14:paraId="0B59393F" w14:textId="77777777" w:rsidR="006879B9" w:rsidRDefault="00050C95">
            <w:pPr>
              <w:pStyle w:val="Compact"/>
              <w:jc w:val="right"/>
            </w:pPr>
            <w:r>
              <w:t>-0.0511</w:t>
            </w:r>
          </w:p>
        </w:tc>
        <w:tc>
          <w:tcPr>
            <w:tcW w:w="0" w:type="auto"/>
          </w:tcPr>
          <w:p w14:paraId="78F5D876" w14:textId="77777777" w:rsidR="006879B9" w:rsidRDefault="00050C95">
            <w:pPr>
              <w:pStyle w:val="Compact"/>
              <w:jc w:val="right"/>
            </w:pPr>
            <w:r>
              <w:t>0.4257</w:t>
            </w:r>
          </w:p>
        </w:tc>
        <w:tc>
          <w:tcPr>
            <w:tcW w:w="0" w:type="auto"/>
          </w:tcPr>
          <w:p w14:paraId="0A7E1803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1632AAA7" w14:textId="77777777">
        <w:tc>
          <w:tcPr>
            <w:tcW w:w="0" w:type="auto"/>
          </w:tcPr>
          <w:p w14:paraId="20E41FBA" w14:textId="77777777" w:rsidR="006879B9" w:rsidRDefault="00050C95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AA1E9FA" w14:textId="77777777" w:rsidR="006879B9" w:rsidRDefault="00050C95">
            <w:pPr>
              <w:pStyle w:val="Compact"/>
            </w:pPr>
            <w:r>
              <w:t>łódzkie</w:t>
            </w:r>
          </w:p>
        </w:tc>
        <w:tc>
          <w:tcPr>
            <w:tcW w:w="0" w:type="auto"/>
          </w:tcPr>
          <w:p w14:paraId="6099F9A1" w14:textId="77777777" w:rsidR="006879B9" w:rsidRDefault="00050C95">
            <w:pPr>
              <w:pStyle w:val="Compact"/>
              <w:jc w:val="right"/>
            </w:pPr>
            <w:r>
              <w:t>-0.0914</w:t>
            </w:r>
          </w:p>
        </w:tc>
        <w:tc>
          <w:tcPr>
            <w:tcW w:w="0" w:type="auto"/>
          </w:tcPr>
          <w:p w14:paraId="0E0A7F37" w14:textId="77777777" w:rsidR="006879B9" w:rsidRDefault="00050C95">
            <w:pPr>
              <w:pStyle w:val="Compact"/>
              <w:jc w:val="right"/>
            </w:pPr>
            <w:r>
              <w:t>0.4155</w:t>
            </w:r>
          </w:p>
        </w:tc>
        <w:tc>
          <w:tcPr>
            <w:tcW w:w="0" w:type="auto"/>
          </w:tcPr>
          <w:p w14:paraId="43BF1FC5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1DAED544" w14:textId="77777777">
        <w:tc>
          <w:tcPr>
            <w:tcW w:w="0" w:type="auto"/>
          </w:tcPr>
          <w:p w14:paraId="30C9733A" w14:textId="77777777" w:rsidR="006879B9" w:rsidRDefault="00050C9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B565881" w14:textId="77777777" w:rsidR="006879B9" w:rsidRDefault="00050C95">
            <w:pPr>
              <w:pStyle w:val="Compact"/>
            </w:pPr>
            <w:r>
              <w:t>pomorskie</w:t>
            </w:r>
          </w:p>
        </w:tc>
        <w:tc>
          <w:tcPr>
            <w:tcW w:w="0" w:type="auto"/>
          </w:tcPr>
          <w:p w14:paraId="7A8E1DEF" w14:textId="77777777" w:rsidR="006879B9" w:rsidRDefault="00050C95">
            <w:pPr>
              <w:pStyle w:val="Compact"/>
              <w:jc w:val="right"/>
            </w:pPr>
            <w:r>
              <w:t>-0.0996</w:t>
            </w:r>
          </w:p>
        </w:tc>
        <w:tc>
          <w:tcPr>
            <w:tcW w:w="0" w:type="auto"/>
          </w:tcPr>
          <w:p w14:paraId="391F4832" w14:textId="77777777" w:rsidR="006879B9" w:rsidRDefault="00050C95">
            <w:pPr>
              <w:pStyle w:val="Compact"/>
              <w:jc w:val="right"/>
            </w:pPr>
            <w:r>
              <w:t>0.7733</w:t>
            </w:r>
          </w:p>
        </w:tc>
        <w:tc>
          <w:tcPr>
            <w:tcW w:w="0" w:type="auto"/>
          </w:tcPr>
          <w:p w14:paraId="00216F13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117ADAB8" w14:textId="77777777">
        <w:tc>
          <w:tcPr>
            <w:tcW w:w="0" w:type="auto"/>
          </w:tcPr>
          <w:p w14:paraId="57384F5F" w14:textId="77777777" w:rsidR="006879B9" w:rsidRDefault="00050C95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2649C42F" w14:textId="77777777" w:rsidR="006879B9" w:rsidRDefault="00050C95">
            <w:pPr>
              <w:pStyle w:val="Compact"/>
            </w:pPr>
            <w:r>
              <w:t>lubelskie</w:t>
            </w:r>
          </w:p>
        </w:tc>
        <w:tc>
          <w:tcPr>
            <w:tcW w:w="0" w:type="auto"/>
          </w:tcPr>
          <w:p w14:paraId="76F7FC4A" w14:textId="77777777" w:rsidR="006879B9" w:rsidRDefault="00050C95">
            <w:pPr>
              <w:pStyle w:val="Compact"/>
              <w:jc w:val="right"/>
            </w:pPr>
            <w:r>
              <w:t>-0.1347</w:t>
            </w:r>
          </w:p>
        </w:tc>
        <w:tc>
          <w:tcPr>
            <w:tcW w:w="0" w:type="auto"/>
          </w:tcPr>
          <w:p w14:paraId="22968C16" w14:textId="77777777" w:rsidR="006879B9" w:rsidRDefault="00050C95">
            <w:pPr>
              <w:pStyle w:val="Compact"/>
              <w:jc w:val="right"/>
            </w:pPr>
            <w:r>
              <w:t>0.5500</w:t>
            </w:r>
          </w:p>
        </w:tc>
        <w:tc>
          <w:tcPr>
            <w:tcW w:w="0" w:type="auto"/>
          </w:tcPr>
          <w:p w14:paraId="0488DC5F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6DA05153" w14:textId="77777777">
        <w:tc>
          <w:tcPr>
            <w:tcW w:w="0" w:type="auto"/>
          </w:tcPr>
          <w:p w14:paraId="31256CC8" w14:textId="77777777" w:rsidR="006879B9" w:rsidRDefault="00050C9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3CB0762" w14:textId="77777777" w:rsidR="006879B9" w:rsidRDefault="00050C95">
            <w:pPr>
              <w:pStyle w:val="Compact"/>
            </w:pPr>
            <w:r>
              <w:t>zachodniopomorskie</w:t>
            </w:r>
          </w:p>
        </w:tc>
        <w:tc>
          <w:tcPr>
            <w:tcW w:w="0" w:type="auto"/>
          </w:tcPr>
          <w:p w14:paraId="1EE6DC19" w14:textId="77777777" w:rsidR="006879B9" w:rsidRDefault="00050C95">
            <w:pPr>
              <w:pStyle w:val="Compact"/>
              <w:jc w:val="right"/>
            </w:pPr>
            <w:r>
              <w:t>-0.1396</w:t>
            </w:r>
          </w:p>
        </w:tc>
        <w:tc>
          <w:tcPr>
            <w:tcW w:w="0" w:type="auto"/>
          </w:tcPr>
          <w:p w14:paraId="199665FA" w14:textId="77777777" w:rsidR="006879B9" w:rsidRDefault="00050C95">
            <w:pPr>
              <w:pStyle w:val="Compact"/>
              <w:jc w:val="right"/>
            </w:pPr>
            <w:r>
              <w:t>0.7165</w:t>
            </w:r>
          </w:p>
        </w:tc>
        <w:tc>
          <w:tcPr>
            <w:tcW w:w="0" w:type="auto"/>
          </w:tcPr>
          <w:p w14:paraId="39D2F8D2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08A999B7" w14:textId="77777777">
        <w:tc>
          <w:tcPr>
            <w:tcW w:w="0" w:type="auto"/>
          </w:tcPr>
          <w:p w14:paraId="3A5CD078" w14:textId="77777777" w:rsidR="006879B9" w:rsidRDefault="00050C9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5B6540D" w14:textId="77777777" w:rsidR="006879B9" w:rsidRDefault="00050C95">
            <w:pPr>
              <w:pStyle w:val="Compact"/>
            </w:pPr>
            <w:r>
              <w:t>dolnośląskie</w:t>
            </w:r>
          </w:p>
        </w:tc>
        <w:tc>
          <w:tcPr>
            <w:tcW w:w="0" w:type="auto"/>
          </w:tcPr>
          <w:p w14:paraId="0EC34301" w14:textId="77777777" w:rsidR="006879B9" w:rsidRDefault="00050C95">
            <w:pPr>
              <w:pStyle w:val="Compact"/>
              <w:jc w:val="right"/>
            </w:pPr>
            <w:r>
              <w:t>-0.2363</w:t>
            </w:r>
          </w:p>
        </w:tc>
        <w:tc>
          <w:tcPr>
            <w:tcW w:w="0" w:type="auto"/>
          </w:tcPr>
          <w:p w14:paraId="73EE2D64" w14:textId="77777777" w:rsidR="006879B9" w:rsidRDefault="00050C95">
            <w:pPr>
              <w:pStyle w:val="Compact"/>
              <w:jc w:val="right"/>
            </w:pPr>
            <w:r>
              <w:t>0.6018</w:t>
            </w:r>
          </w:p>
        </w:tc>
        <w:tc>
          <w:tcPr>
            <w:tcW w:w="0" w:type="auto"/>
          </w:tcPr>
          <w:p w14:paraId="13503FBB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7666E924" w14:textId="77777777">
        <w:tc>
          <w:tcPr>
            <w:tcW w:w="0" w:type="auto"/>
          </w:tcPr>
          <w:p w14:paraId="6D7ABE78" w14:textId="77777777" w:rsidR="006879B9" w:rsidRDefault="00050C95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8E9FC41" w14:textId="77777777" w:rsidR="006879B9" w:rsidRDefault="00050C95">
            <w:pPr>
              <w:pStyle w:val="Compact"/>
            </w:pPr>
            <w:r>
              <w:t>małopolskie</w:t>
            </w:r>
          </w:p>
        </w:tc>
        <w:tc>
          <w:tcPr>
            <w:tcW w:w="0" w:type="auto"/>
          </w:tcPr>
          <w:p w14:paraId="637F0A6D" w14:textId="77777777" w:rsidR="006879B9" w:rsidRDefault="00050C95">
            <w:pPr>
              <w:pStyle w:val="Compact"/>
              <w:jc w:val="right"/>
            </w:pPr>
            <w:r>
              <w:t>-0.2571</w:t>
            </w:r>
          </w:p>
        </w:tc>
        <w:tc>
          <w:tcPr>
            <w:tcW w:w="0" w:type="auto"/>
          </w:tcPr>
          <w:p w14:paraId="1BBFD603" w14:textId="77777777" w:rsidR="006879B9" w:rsidRDefault="00050C95">
            <w:pPr>
              <w:pStyle w:val="Compact"/>
              <w:jc w:val="right"/>
            </w:pPr>
            <w:r>
              <w:t>0.6188</w:t>
            </w:r>
          </w:p>
        </w:tc>
        <w:tc>
          <w:tcPr>
            <w:tcW w:w="0" w:type="auto"/>
          </w:tcPr>
          <w:p w14:paraId="2981DF79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6F1A74C4" w14:textId="77777777">
        <w:tc>
          <w:tcPr>
            <w:tcW w:w="0" w:type="auto"/>
          </w:tcPr>
          <w:p w14:paraId="650AEF28" w14:textId="77777777" w:rsidR="006879B9" w:rsidRDefault="00050C9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F85ACB7" w14:textId="77777777" w:rsidR="006879B9" w:rsidRDefault="00050C95">
            <w:pPr>
              <w:pStyle w:val="Compact"/>
            </w:pPr>
            <w:r>
              <w:t>kujawsko-pomorskie</w:t>
            </w:r>
          </w:p>
        </w:tc>
        <w:tc>
          <w:tcPr>
            <w:tcW w:w="0" w:type="auto"/>
          </w:tcPr>
          <w:p w14:paraId="763FEADA" w14:textId="77777777" w:rsidR="006879B9" w:rsidRDefault="00050C95">
            <w:pPr>
              <w:pStyle w:val="Compact"/>
              <w:jc w:val="right"/>
            </w:pPr>
            <w:r>
              <w:t>-0.2649</w:t>
            </w:r>
          </w:p>
        </w:tc>
        <w:tc>
          <w:tcPr>
            <w:tcW w:w="0" w:type="auto"/>
          </w:tcPr>
          <w:p w14:paraId="0D21AF80" w14:textId="77777777" w:rsidR="006879B9" w:rsidRDefault="00050C95">
            <w:pPr>
              <w:pStyle w:val="Compact"/>
              <w:jc w:val="right"/>
            </w:pPr>
            <w:r>
              <w:t>0.0790</w:t>
            </w:r>
          </w:p>
        </w:tc>
        <w:tc>
          <w:tcPr>
            <w:tcW w:w="0" w:type="auto"/>
          </w:tcPr>
          <w:p w14:paraId="6056702E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38D96813" w14:textId="77777777">
        <w:tc>
          <w:tcPr>
            <w:tcW w:w="0" w:type="auto"/>
          </w:tcPr>
          <w:p w14:paraId="64FE7E29" w14:textId="77777777" w:rsidR="006879B9" w:rsidRDefault="00050C9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23AC795" w14:textId="77777777" w:rsidR="006879B9" w:rsidRDefault="00050C95">
            <w:pPr>
              <w:pStyle w:val="Compact"/>
            </w:pPr>
            <w:r>
              <w:t>wielkopolskie</w:t>
            </w:r>
          </w:p>
        </w:tc>
        <w:tc>
          <w:tcPr>
            <w:tcW w:w="0" w:type="auto"/>
          </w:tcPr>
          <w:p w14:paraId="74076D0D" w14:textId="77777777" w:rsidR="006879B9" w:rsidRDefault="00050C95">
            <w:pPr>
              <w:pStyle w:val="Compact"/>
              <w:jc w:val="right"/>
            </w:pPr>
            <w:r>
              <w:t>-0.2876</w:t>
            </w:r>
          </w:p>
        </w:tc>
        <w:tc>
          <w:tcPr>
            <w:tcW w:w="0" w:type="auto"/>
          </w:tcPr>
          <w:p w14:paraId="5BEF8854" w14:textId="77777777" w:rsidR="006879B9" w:rsidRDefault="00050C95">
            <w:pPr>
              <w:pStyle w:val="Compact"/>
              <w:jc w:val="right"/>
            </w:pPr>
            <w:r>
              <w:t>0.4501</w:t>
            </w:r>
          </w:p>
        </w:tc>
        <w:tc>
          <w:tcPr>
            <w:tcW w:w="0" w:type="auto"/>
          </w:tcPr>
          <w:p w14:paraId="0F4DDB0E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71848F40" w14:textId="77777777">
        <w:tc>
          <w:tcPr>
            <w:tcW w:w="0" w:type="auto"/>
          </w:tcPr>
          <w:p w14:paraId="077A7F64" w14:textId="77777777" w:rsidR="006879B9" w:rsidRDefault="00050C9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175D4AE" w14:textId="77777777" w:rsidR="006879B9" w:rsidRDefault="00050C95">
            <w:pPr>
              <w:pStyle w:val="Compact"/>
            </w:pPr>
            <w:r>
              <w:t>lubuskie</w:t>
            </w:r>
          </w:p>
        </w:tc>
        <w:tc>
          <w:tcPr>
            <w:tcW w:w="0" w:type="auto"/>
          </w:tcPr>
          <w:p w14:paraId="206CD747" w14:textId="77777777" w:rsidR="006879B9" w:rsidRDefault="00050C95">
            <w:pPr>
              <w:pStyle w:val="Compact"/>
              <w:jc w:val="right"/>
            </w:pPr>
            <w:r>
              <w:t>-0.3399</w:t>
            </w:r>
          </w:p>
        </w:tc>
        <w:tc>
          <w:tcPr>
            <w:tcW w:w="0" w:type="auto"/>
          </w:tcPr>
          <w:p w14:paraId="0A8B7DE3" w14:textId="77777777" w:rsidR="006879B9" w:rsidRDefault="00050C95">
            <w:pPr>
              <w:pStyle w:val="Compact"/>
              <w:jc w:val="right"/>
            </w:pPr>
            <w:r>
              <w:t>0.5495</w:t>
            </w:r>
          </w:p>
        </w:tc>
        <w:tc>
          <w:tcPr>
            <w:tcW w:w="0" w:type="auto"/>
          </w:tcPr>
          <w:p w14:paraId="24692A32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35C8432A" w14:textId="77777777">
        <w:tc>
          <w:tcPr>
            <w:tcW w:w="0" w:type="auto"/>
          </w:tcPr>
          <w:p w14:paraId="05786C99" w14:textId="77777777" w:rsidR="006879B9" w:rsidRDefault="00050C95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7EAD975" w14:textId="77777777" w:rsidR="006879B9" w:rsidRDefault="00050C95">
            <w:pPr>
              <w:pStyle w:val="Compact"/>
            </w:pPr>
            <w:r>
              <w:t>podlaskie</w:t>
            </w:r>
          </w:p>
        </w:tc>
        <w:tc>
          <w:tcPr>
            <w:tcW w:w="0" w:type="auto"/>
          </w:tcPr>
          <w:p w14:paraId="07A56055" w14:textId="77777777" w:rsidR="006879B9" w:rsidRDefault="00050C95">
            <w:pPr>
              <w:pStyle w:val="Compact"/>
              <w:jc w:val="right"/>
            </w:pPr>
            <w:r>
              <w:t>-0.3979</w:t>
            </w:r>
          </w:p>
        </w:tc>
        <w:tc>
          <w:tcPr>
            <w:tcW w:w="0" w:type="auto"/>
          </w:tcPr>
          <w:p w14:paraId="6E6D560C" w14:textId="77777777" w:rsidR="006879B9" w:rsidRDefault="00050C95">
            <w:pPr>
              <w:pStyle w:val="Compact"/>
              <w:jc w:val="right"/>
            </w:pPr>
            <w:r>
              <w:t>0.3083</w:t>
            </w:r>
          </w:p>
        </w:tc>
        <w:tc>
          <w:tcPr>
            <w:tcW w:w="0" w:type="auto"/>
          </w:tcPr>
          <w:p w14:paraId="738AFAE6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0B5E1182" w14:textId="77777777">
        <w:tc>
          <w:tcPr>
            <w:tcW w:w="0" w:type="auto"/>
          </w:tcPr>
          <w:p w14:paraId="5EC5749A" w14:textId="77777777" w:rsidR="006879B9" w:rsidRDefault="00050C95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81729AF" w14:textId="77777777" w:rsidR="006879B9" w:rsidRDefault="00050C95">
            <w:pPr>
              <w:pStyle w:val="Compact"/>
            </w:pPr>
            <w:r>
              <w:t>świętokrzyskie</w:t>
            </w:r>
          </w:p>
        </w:tc>
        <w:tc>
          <w:tcPr>
            <w:tcW w:w="0" w:type="auto"/>
          </w:tcPr>
          <w:p w14:paraId="0BA71471" w14:textId="77777777" w:rsidR="006879B9" w:rsidRDefault="00050C95">
            <w:pPr>
              <w:pStyle w:val="Compact"/>
              <w:jc w:val="right"/>
            </w:pPr>
            <w:r>
              <w:t>-0.4210</w:t>
            </w:r>
          </w:p>
        </w:tc>
        <w:tc>
          <w:tcPr>
            <w:tcW w:w="0" w:type="auto"/>
          </w:tcPr>
          <w:p w14:paraId="23C7DBD0" w14:textId="77777777" w:rsidR="006879B9" w:rsidRDefault="00050C95">
            <w:pPr>
              <w:pStyle w:val="Compact"/>
              <w:jc w:val="right"/>
            </w:pPr>
            <w:r>
              <w:t>0.1937</w:t>
            </w:r>
          </w:p>
        </w:tc>
        <w:tc>
          <w:tcPr>
            <w:tcW w:w="0" w:type="auto"/>
          </w:tcPr>
          <w:p w14:paraId="45488D35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7B4F4A3C" w14:textId="77777777">
        <w:tc>
          <w:tcPr>
            <w:tcW w:w="0" w:type="auto"/>
          </w:tcPr>
          <w:p w14:paraId="32D2673E" w14:textId="77777777" w:rsidR="006879B9" w:rsidRDefault="00050C9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CCF8625" w14:textId="77777777" w:rsidR="006879B9" w:rsidRDefault="00050C95">
            <w:pPr>
              <w:pStyle w:val="Compact"/>
            </w:pPr>
            <w:r>
              <w:t>opolskie</w:t>
            </w:r>
          </w:p>
        </w:tc>
        <w:tc>
          <w:tcPr>
            <w:tcW w:w="0" w:type="auto"/>
          </w:tcPr>
          <w:p w14:paraId="505A245D" w14:textId="77777777" w:rsidR="006879B9" w:rsidRDefault="00050C95">
            <w:pPr>
              <w:pStyle w:val="Compact"/>
              <w:jc w:val="right"/>
            </w:pPr>
            <w:r>
              <w:t>-0.4351</w:t>
            </w:r>
          </w:p>
        </w:tc>
        <w:tc>
          <w:tcPr>
            <w:tcW w:w="0" w:type="auto"/>
          </w:tcPr>
          <w:p w14:paraId="2D31E558" w14:textId="77777777" w:rsidR="006879B9" w:rsidRDefault="00050C95">
            <w:pPr>
              <w:pStyle w:val="Compact"/>
              <w:jc w:val="right"/>
            </w:pPr>
            <w:r>
              <w:t>0.4721</w:t>
            </w:r>
          </w:p>
        </w:tc>
        <w:tc>
          <w:tcPr>
            <w:tcW w:w="0" w:type="auto"/>
          </w:tcPr>
          <w:p w14:paraId="6E382779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2E077299" w14:textId="77777777">
        <w:tc>
          <w:tcPr>
            <w:tcW w:w="0" w:type="auto"/>
          </w:tcPr>
          <w:p w14:paraId="2BDFD49D" w14:textId="77777777" w:rsidR="006879B9" w:rsidRDefault="00050C95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4EC4568" w14:textId="77777777" w:rsidR="006879B9" w:rsidRDefault="00050C95">
            <w:pPr>
              <w:pStyle w:val="Compact"/>
            </w:pPr>
            <w:r>
              <w:t>warmińsko-mazurskie</w:t>
            </w:r>
          </w:p>
        </w:tc>
        <w:tc>
          <w:tcPr>
            <w:tcW w:w="0" w:type="auto"/>
          </w:tcPr>
          <w:p w14:paraId="372F6D5D" w14:textId="77777777" w:rsidR="006879B9" w:rsidRDefault="00050C95">
            <w:pPr>
              <w:pStyle w:val="Compact"/>
              <w:jc w:val="right"/>
            </w:pPr>
            <w:r>
              <w:t>-0.4616</w:t>
            </w:r>
          </w:p>
        </w:tc>
        <w:tc>
          <w:tcPr>
            <w:tcW w:w="0" w:type="auto"/>
          </w:tcPr>
          <w:p w14:paraId="318366AC" w14:textId="77777777" w:rsidR="006879B9" w:rsidRDefault="00050C95">
            <w:pPr>
              <w:pStyle w:val="Compact"/>
              <w:jc w:val="right"/>
            </w:pPr>
            <w:r>
              <w:t>0.1956</w:t>
            </w:r>
          </w:p>
        </w:tc>
        <w:tc>
          <w:tcPr>
            <w:tcW w:w="0" w:type="auto"/>
          </w:tcPr>
          <w:p w14:paraId="19069ED1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  <w:tr w:rsidR="006879B9" w14:paraId="2BADFE3A" w14:textId="77777777">
        <w:tc>
          <w:tcPr>
            <w:tcW w:w="0" w:type="auto"/>
          </w:tcPr>
          <w:p w14:paraId="6EC413AC" w14:textId="77777777" w:rsidR="006879B9" w:rsidRDefault="00050C95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333A13F" w14:textId="77777777" w:rsidR="006879B9" w:rsidRDefault="00050C95">
            <w:pPr>
              <w:pStyle w:val="Compact"/>
            </w:pPr>
            <w:r>
              <w:t>mazowieckie</w:t>
            </w:r>
          </w:p>
        </w:tc>
        <w:tc>
          <w:tcPr>
            <w:tcW w:w="0" w:type="auto"/>
          </w:tcPr>
          <w:p w14:paraId="1EBDE028" w14:textId="77777777" w:rsidR="006879B9" w:rsidRDefault="00050C95">
            <w:pPr>
              <w:pStyle w:val="Compact"/>
              <w:jc w:val="right"/>
            </w:pPr>
            <w:r>
              <w:t>-1.6823</w:t>
            </w:r>
          </w:p>
        </w:tc>
        <w:tc>
          <w:tcPr>
            <w:tcW w:w="0" w:type="auto"/>
          </w:tcPr>
          <w:p w14:paraId="754D1227" w14:textId="77777777" w:rsidR="006879B9" w:rsidRDefault="00050C95">
            <w:pPr>
              <w:pStyle w:val="Compact"/>
              <w:jc w:val="right"/>
            </w:pPr>
            <w:r>
              <w:t>0.0898</w:t>
            </w:r>
          </w:p>
        </w:tc>
        <w:tc>
          <w:tcPr>
            <w:tcW w:w="0" w:type="auto"/>
          </w:tcPr>
          <w:p w14:paraId="28BE6824" w14:textId="77777777" w:rsidR="006879B9" w:rsidRDefault="00050C95">
            <w:pPr>
              <w:pStyle w:val="Compact"/>
            </w:pPr>
            <w:r>
              <w:t>NS (nieistotna)</w:t>
            </w:r>
          </w:p>
        </w:tc>
      </w:tr>
    </w:tbl>
    <w:p w14:paraId="701F85C8" w14:textId="0D89176C" w:rsidR="002C338F" w:rsidRPr="002C338F" w:rsidRDefault="002C338F" w:rsidP="002C338F">
      <w:pPr>
        <w:spacing w:before="240"/>
      </w:pPr>
      <w:r w:rsidRPr="002C338F">
        <w:t xml:space="preserve">Analiza lokalnych wskaźników autokorelacji przestrzennej (LISA) nie wskazała żadnego statystycznie istotnego skupiska przestrzennego. Dla wszystkich 16 województw wartości p przekraczają przyjęty poziom istotności 0,05 (najniższa wynosi 0,079 dla województwa kujawsko-pomorskiego), wobec czego każda jednostka została zaklasyfikowana jako nieistotna (NS). Oznacza to, że na poziomie województw nie występują ani trwałe skupiska wysokiej aktywności budowlanej (typu High-High), ani skupiska niskiej aktywności (typu </w:t>
      </w:r>
      <w:proofErr w:type="spellStart"/>
      <w:r w:rsidRPr="002C338F">
        <w:t>Low-Low</w:t>
      </w:r>
      <w:proofErr w:type="spellEnd"/>
      <w:r w:rsidRPr="002C338F">
        <w:t>).</w:t>
      </w:r>
    </w:p>
    <w:p w14:paraId="045C2CB7" w14:textId="5F544CFE" w:rsidR="002C338F" w:rsidRPr="002C338F" w:rsidRDefault="002C338F" w:rsidP="002C338F">
      <w:r w:rsidRPr="002C338F">
        <w:t xml:space="preserve">Wynik ten jest spójny z ujemną wartością globalnej statystyki I </w:t>
      </w:r>
      <w:proofErr w:type="spellStart"/>
      <w:r w:rsidRPr="002C338F">
        <w:t>Morana</w:t>
      </w:r>
      <w:proofErr w:type="spellEnd"/>
      <w:r w:rsidRPr="002C338F">
        <w:t>. Najbardziej wyróżniającą się jednostką jest województwo mazowieckie, którego wartość LISA (−1,68) jest zdecydowanie najniższa i stanowi przestrzenną obserwację odstającą typu High-</w:t>
      </w:r>
      <w:proofErr w:type="spellStart"/>
      <w:r w:rsidRPr="002C338F">
        <w:t>Low</w:t>
      </w:r>
      <w:proofErr w:type="spellEnd"/>
      <w:r w:rsidRPr="002C338F">
        <w:t xml:space="preserve"> (wysoka aktywność budowlana w otoczeniu regionów o niskiej aktywności), a nie element skupiska jednostek podobnych. </w:t>
      </w:r>
    </w:p>
    <w:p w14:paraId="65007F11" w14:textId="77777777" w:rsidR="006879B9" w:rsidRDefault="00000000">
      <w:r>
        <w:pict w14:anchorId="2DADF048">
          <v:rect id="_x0000_i1641" style="width:0;height:1.5pt" o:hralign="center" o:hrstd="t" o:hr="t"/>
        </w:pict>
      </w:r>
    </w:p>
    <w:p w14:paraId="5F179EAB" w14:textId="77777777" w:rsidR="006879B9" w:rsidRDefault="00050C95">
      <w:pPr>
        <w:pStyle w:val="Nagwek1"/>
      </w:pPr>
      <w:bookmarkStart w:id="51" w:name="modelowanie-ekonometryczne"/>
      <w:bookmarkStart w:id="52" w:name="_Toc232627131"/>
      <w:bookmarkStart w:id="53" w:name="_Toc232627231"/>
      <w:bookmarkEnd w:id="39"/>
      <w:bookmarkEnd w:id="48"/>
      <w:r>
        <w:rPr>
          <w:rStyle w:val="SectionNumber"/>
        </w:rPr>
        <w:lastRenderedPageBreak/>
        <w:t>6</w:t>
      </w:r>
      <w:r>
        <w:tab/>
        <w:t>Modelowanie ekonometryczne</w:t>
      </w:r>
      <w:bookmarkEnd w:id="52"/>
      <w:bookmarkEnd w:id="53"/>
    </w:p>
    <w:p w14:paraId="282EEAC0" w14:textId="77777777" w:rsidR="006879B9" w:rsidRDefault="00050C95">
      <w:pPr>
        <w:pStyle w:val="Nagwek2"/>
      </w:pPr>
      <w:bookmarkStart w:id="54" w:name="model-ols-benchmark"/>
      <w:bookmarkStart w:id="55" w:name="_Toc232627132"/>
      <w:bookmarkStart w:id="56" w:name="_Toc232627232"/>
      <w:r>
        <w:rPr>
          <w:rStyle w:val="SectionNumber"/>
        </w:rPr>
        <w:t>6.1</w:t>
      </w:r>
      <w:r>
        <w:tab/>
        <w:t>Model OLS (benchmark)</w:t>
      </w:r>
      <w:bookmarkEnd w:id="55"/>
      <w:bookmarkEnd w:id="56"/>
    </w:p>
    <w:p w14:paraId="2AF09F6B" w14:textId="77777777" w:rsidR="006879B9" w:rsidRDefault="00050C95">
      <w:pPr>
        <w:pStyle w:val="FirstParagraph"/>
      </w:pPr>
      <w:r>
        <w:t>Klasyczny model OLS bez uwzględnienia struktury przestrzennej ani efektów indywidualnych:</w:t>
      </w:r>
    </w:p>
    <w:p w14:paraId="6C209346" w14:textId="77777777" w:rsidR="006879B9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MO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WSK_URB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NAKL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WYNAGR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SM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WSK25_34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38BEE89B" w14:textId="77777777" w:rsidR="006879B9" w:rsidRDefault="00050C95">
      <w:pPr>
        <w:pStyle w:val="TableCaption"/>
      </w:pPr>
      <w:r>
        <w:t>Wyniki modelu OLS (pooled). R² = 0.7787, R² adj. = 0.7753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4"/>
        <w:gridCol w:w="1655"/>
        <w:gridCol w:w="1439"/>
        <w:gridCol w:w="1054"/>
        <w:gridCol w:w="992"/>
      </w:tblGrid>
      <w:tr w:rsidR="006879B9" w14:paraId="2BB0C441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EE45AC" w14:textId="77777777" w:rsidR="006879B9" w:rsidRDefault="006879B9">
            <w:pPr>
              <w:pStyle w:val="Compact"/>
            </w:pPr>
          </w:p>
        </w:tc>
        <w:tc>
          <w:tcPr>
            <w:tcW w:w="0" w:type="auto"/>
          </w:tcPr>
          <w:p w14:paraId="65F39646" w14:textId="77777777" w:rsidR="006879B9" w:rsidRDefault="00050C95">
            <w:pPr>
              <w:pStyle w:val="Compact"/>
              <w:jc w:val="right"/>
            </w:pPr>
            <w:r>
              <w:t>Współczynnik</w:t>
            </w:r>
          </w:p>
        </w:tc>
        <w:tc>
          <w:tcPr>
            <w:tcW w:w="0" w:type="auto"/>
          </w:tcPr>
          <w:p w14:paraId="4CD8DD83" w14:textId="77777777" w:rsidR="006879B9" w:rsidRDefault="00050C95">
            <w:pPr>
              <w:pStyle w:val="Compact"/>
              <w:jc w:val="right"/>
            </w:pPr>
            <w:r>
              <w:t>Błąd std.</w:t>
            </w:r>
          </w:p>
        </w:tc>
        <w:tc>
          <w:tcPr>
            <w:tcW w:w="0" w:type="auto"/>
          </w:tcPr>
          <w:p w14:paraId="36B6BB83" w14:textId="77777777" w:rsidR="006879B9" w:rsidRDefault="00050C95">
            <w:pPr>
              <w:pStyle w:val="Compact"/>
              <w:jc w:val="right"/>
            </w:pPr>
            <w:r>
              <w:t>t</w:t>
            </w:r>
          </w:p>
        </w:tc>
        <w:tc>
          <w:tcPr>
            <w:tcW w:w="0" w:type="auto"/>
          </w:tcPr>
          <w:p w14:paraId="1B447106" w14:textId="77777777" w:rsidR="006879B9" w:rsidRDefault="00050C95">
            <w:pPr>
              <w:pStyle w:val="Compact"/>
              <w:jc w:val="right"/>
            </w:pPr>
            <w:r>
              <w:t>p-value</w:t>
            </w:r>
          </w:p>
        </w:tc>
      </w:tr>
      <w:tr w:rsidR="006879B9" w14:paraId="55C84BAA" w14:textId="77777777">
        <w:tc>
          <w:tcPr>
            <w:tcW w:w="0" w:type="auto"/>
          </w:tcPr>
          <w:p w14:paraId="3765B99F" w14:textId="77777777" w:rsidR="006879B9" w:rsidRDefault="00050C95">
            <w:pPr>
              <w:pStyle w:val="Compact"/>
            </w:pPr>
            <w:r>
              <w:t>(Stała)</w:t>
            </w:r>
          </w:p>
        </w:tc>
        <w:tc>
          <w:tcPr>
            <w:tcW w:w="0" w:type="auto"/>
          </w:tcPr>
          <w:p w14:paraId="548ED197" w14:textId="77777777" w:rsidR="006879B9" w:rsidRDefault="00050C95">
            <w:pPr>
              <w:pStyle w:val="Compact"/>
              <w:jc w:val="right"/>
            </w:pPr>
            <w:r>
              <w:t>1027.9167</w:t>
            </w:r>
          </w:p>
        </w:tc>
        <w:tc>
          <w:tcPr>
            <w:tcW w:w="0" w:type="auto"/>
          </w:tcPr>
          <w:p w14:paraId="060B7CFA" w14:textId="77777777" w:rsidR="006879B9" w:rsidRDefault="00050C95">
            <w:pPr>
              <w:pStyle w:val="Compact"/>
              <w:jc w:val="right"/>
            </w:pPr>
            <w:r>
              <w:t>5172.6586</w:t>
            </w:r>
          </w:p>
        </w:tc>
        <w:tc>
          <w:tcPr>
            <w:tcW w:w="0" w:type="auto"/>
          </w:tcPr>
          <w:p w14:paraId="01C6449D" w14:textId="77777777" w:rsidR="006879B9" w:rsidRDefault="00050C95">
            <w:pPr>
              <w:pStyle w:val="Compact"/>
              <w:jc w:val="right"/>
            </w:pPr>
            <w:r>
              <w:t>0.1987</w:t>
            </w:r>
          </w:p>
        </w:tc>
        <w:tc>
          <w:tcPr>
            <w:tcW w:w="0" w:type="auto"/>
          </w:tcPr>
          <w:p w14:paraId="2E42DA95" w14:textId="77777777" w:rsidR="006879B9" w:rsidRDefault="00050C95">
            <w:pPr>
              <w:pStyle w:val="Compact"/>
              <w:jc w:val="right"/>
            </w:pPr>
            <w:r>
              <w:t>0.8426</w:t>
            </w:r>
          </w:p>
        </w:tc>
      </w:tr>
      <w:tr w:rsidR="006879B9" w14:paraId="43F001FC" w14:textId="77777777">
        <w:tc>
          <w:tcPr>
            <w:tcW w:w="0" w:type="auto"/>
          </w:tcPr>
          <w:p w14:paraId="000B98D2" w14:textId="77777777" w:rsidR="006879B9" w:rsidRDefault="00050C95">
            <w:pPr>
              <w:pStyle w:val="Compact"/>
            </w:pPr>
            <w:r>
              <w:t>Urbanizacja [%]</w:t>
            </w:r>
          </w:p>
        </w:tc>
        <w:tc>
          <w:tcPr>
            <w:tcW w:w="0" w:type="auto"/>
          </w:tcPr>
          <w:p w14:paraId="57F25E85" w14:textId="77777777" w:rsidR="006879B9" w:rsidRDefault="00050C95">
            <w:pPr>
              <w:pStyle w:val="Compact"/>
              <w:jc w:val="right"/>
            </w:pPr>
            <w:r>
              <w:t>-2087.8092</w:t>
            </w:r>
          </w:p>
        </w:tc>
        <w:tc>
          <w:tcPr>
            <w:tcW w:w="0" w:type="auto"/>
          </w:tcPr>
          <w:p w14:paraId="0820F0EF" w14:textId="77777777" w:rsidR="006879B9" w:rsidRDefault="00050C95">
            <w:pPr>
              <w:pStyle w:val="Compact"/>
              <w:jc w:val="right"/>
            </w:pPr>
            <w:r>
              <w:t>2402.3558</w:t>
            </w:r>
          </w:p>
        </w:tc>
        <w:tc>
          <w:tcPr>
            <w:tcW w:w="0" w:type="auto"/>
          </w:tcPr>
          <w:p w14:paraId="72C7AF0D" w14:textId="77777777" w:rsidR="006879B9" w:rsidRDefault="00050C95">
            <w:pPr>
              <w:pStyle w:val="Compact"/>
              <w:jc w:val="right"/>
            </w:pPr>
            <w:r>
              <w:t>-0.8691</w:t>
            </w:r>
          </w:p>
        </w:tc>
        <w:tc>
          <w:tcPr>
            <w:tcW w:w="0" w:type="auto"/>
          </w:tcPr>
          <w:p w14:paraId="719388B2" w14:textId="77777777" w:rsidR="006879B9" w:rsidRDefault="00050C95">
            <w:pPr>
              <w:pStyle w:val="Compact"/>
              <w:jc w:val="right"/>
            </w:pPr>
            <w:r>
              <w:t>0.3854</w:t>
            </w:r>
          </w:p>
        </w:tc>
      </w:tr>
      <w:tr w:rsidR="006879B9" w14:paraId="3E888DE9" w14:textId="77777777">
        <w:tc>
          <w:tcPr>
            <w:tcW w:w="0" w:type="auto"/>
          </w:tcPr>
          <w:p w14:paraId="6988FAFC" w14:textId="77777777" w:rsidR="006879B9" w:rsidRDefault="00050C95">
            <w:pPr>
              <w:pStyle w:val="Compact"/>
            </w:pPr>
            <w:r>
              <w:t>Nakłady inwestycyjne</w:t>
            </w:r>
          </w:p>
        </w:tc>
        <w:tc>
          <w:tcPr>
            <w:tcW w:w="0" w:type="auto"/>
          </w:tcPr>
          <w:p w14:paraId="4711789A" w14:textId="77777777" w:rsidR="006879B9" w:rsidRDefault="00050C95">
            <w:pPr>
              <w:pStyle w:val="Compact"/>
              <w:jc w:val="right"/>
            </w:pPr>
            <w:r>
              <w:t>2.0003</w:t>
            </w:r>
          </w:p>
        </w:tc>
        <w:tc>
          <w:tcPr>
            <w:tcW w:w="0" w:type="auto"/>
          </w:tcPr>
          <w:p w14:paraId="044C8ABC" w14:textId="77777777" w:rsidR="006879B9" w:rsidRDefault="00050C95">
            <w:pPr>
              <w:pStyle w:val="Compact"/>
              <w:jc w:val="right"/>
            </w:pPr>
            <w:r>
              <w:t>0.2169</w:t>
            </w:r>
          </w:p>
        </w:tc>
        <w:tc>
          <w:tcPr>
            <w:tcW w:w="0" w:type="auto"/>
          </w:tcPr>
          <w:p w14:paraId="0772F929" w14:textId="77777777" w:rsidR="006879B9" w:rsidRDefault="00050C95">
            <w:pPr>
              <w:pStyle w:val="Compact"/>
              <w:jc w:val="right"/>
            </w:pPr>
            <w:r>
              <w:t>9.2221</w:t>
            </w:r>
          </w:p>
        </w:tc>
        <w:tc>
          <w:tcPr>
            <w:tcW w:w="0" w:type="auto"/>
          </w:tcPr>
          <w:p w14:paraId="60CD4979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4CF8B732" w14:textId="77777777">
        <w:tc>
          <w:tcPr>
            <w:tcW w:w="0" w:type="auto"/>
          </w:tcPr>
          <w:p w14:paraId="17B8ED27" w14:textId="77777777" w:rsidR="006879B9" w:rsidRDefault="00050C95">
            <w:pPr>
              <w:pStyle w:val="Compact"/>
            </w:pPr>
            <w:r>
              <w:t>Wynagrodzenie [zł]</w:t>
            </w:r>
          </w:p>
        </w:tc>
        <w:tc>
          <w:tcPr>
            <w:tcW w:w="0" w:type="auto"/>
          </w:tcPr>
          <w:p w14:paraId="2C6EABEA" w14:textId="77777777" w:rsidR="006879B9" w:rsidRDefault="00050C95">
            <w:pPr>
              <w:pStyle w:val="Compact"/>
              <w:jc w:val="right"/>
            </w:pPr>
            <w:r>
              <w:t>-0.1746</w:t>
            </w:r>
          </w:p>
        </w:tc>
        <w:tc>
          <w:tcPr>
            <w:tcW w:w="0" w:type="auto"/>
          </w:tcPr>
          <w:p w14:paraId="2CC5F312" w14:textId="77777777" w:rsidR="006879B9" w:rsidRDefault="00050C95">
            <w:pPr>
              <w:pStyle w:val="Compact"/>
              <w:jc w:val="right"/>
            </w:pPr>
            <w:r>
              <w:t>0.3349</w:t>
            </w:r>
          </w:p>
        </w:tc>
        <w:tc>
          <w:tcPr>
            <w:tcW w:w="0" w:type="auto"/>
          </w:tcPr>
          <w:p w14:paraId="410AC2D2" w14:textId="77777777" w:rsidR="006879B9" w:rsidRDefault="00050C95">
            <w:pPr>
              <w:pStyle w:val="Compact"/>
              <w:jc w:val="right"/>
            </w:pPr>
            <w:r>
              <w:t>-0.5213</w:t>
            </w:r>
          </w:p>
        </w:tc>
        <w:tc>
          <w:tcPr>
            <w:tcW w:w="0" w:type="auto"/>
          </w:tcPr>
          <w:p w14:paraId="54E0BE7D" w14:textId="77777777" w:rsidR="006879B9" w:rsidRDefault="00050C95">
            <w:pPr>
              <w:pStyle w:val="Compact"/>
              <w:jc w:val="right"/>
            </w:pPr>
            <w:r>
              <w:t>0.6025</w:t>
            </w:r>
          </w:p>
        </w:tc>
      </w:tr>
      <w:tr w:rsidR="006879B9" w14:paraId="3252CB84" w14:textId="77777777">
        <w:tc>
          <w:tcPr>
            <w:tcW w:w="0" w:type="auto"/>
          </w:tcPr>
          <w:p w14:paraId="7C98E7AE" w14:textId="77777777" w:rsidR="006879B9" w:rsidRDefault="00050C95">
            <w:pPr>
              <w:pStyle w:val="Compact"/>
            </w:pPr>
            <w:r>
              <w:t>Saldo migracji</w:t>
            </w:r>
          </w:p>
        </w:tc>
        <w:tc>
          <w:tcPr>
            <w:tcW w:w="0" w:type="auto"/>
          </w:tcPr>
          <w:p w14:paraId="10FCFB58" w14:textId="77777777" w:rsidR="006879B9" w:rsidRDefault="00050C95">
            <w:pPr>
              <w:pStyle w:val="Compact"/>
              <w:jc w:val="right"/>
            </w:pPr>
            <w:r>
              <w:t>3299.3218</w:t>
            </w:r>
          </w:p>
        </w:tc>
        <w:tc>
          <w:tcPr>
            <w:tcW w:w="0" w:type="auto"/>
          </w:tcPr>
          <w:p w14:paraId="54431FA2" w14:textId="77777777" w:rsidR="006879B9" w:rsidRDefault="00050C95">
            <w:pPr>
              <w:pStyle w:val="Compact"/>
              <w:jc w:val="right"/>
            </w:pPr>
            <w:r>
              <w:t>211.7729</w:t>
            </w:r>
          </w:p>
        </w:tc>
        <w:tc>
          <w:tcPr>
            <w:tcW w:w="0" w:type="auto"/>
          </w:tcPr>
          <w:p w14:paraId="2E215A53" w14:textId="77777777" w:rsidR="006879B9" w:rsidRDefault="00050C95">
            <w:pPr>
              <w:pStyle w:val="Compact"/>
              <w:jc w:val="right"/>
            </w:pPr>
            <w:r>
              <w:t>15.5795</w:t>
            </w:r>
          </w:p>
        </w:tc>
        <w:tc>
          <w:tcPr>
            <w:tcW w:w="0" w:type="auto"/>
          </w:tcPr>
          <w:p w14:paraId="5092FF23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4F549A03" w14:textId="77777777">
        <w:tc>
          <w:tcPr>
            <w:tcW w:w="0" w:type="auto"/>
          </w:tcPr>
          <w:p w14:paraId="2D564CB6" w14:textId="77777777" w:rsidR="006879B9" w:rsidRDefault="00050C95">
            <w:pPr>
              <w:pStyle w:val="Compact"/>
            </w:pPr>
            <w:r>
              <w:t>Ludność 25–34 lat</w:t>
            </w:r>
          </w:p>
        </w:tc>
        <w:tc>
          <w:tcPr>
            <w:tcW w:w="0" w:type="auto"/>
          </w:tcPr>
          <w:p w14:paraId="62C9C013" w14:textId="77777777" w:rsidR="006879B9" w:rsidRDefault="00050C95">
            <w:pPr>
              <w:pStyle w:val="Compact"/>
              <w:jc w:val="right"/>
            </w:pPr>
            <w:r>
              <w:t>36738.8076</w:t>
            </w:r>
          </w:p>
        </w:tc>
        <w:tc>
          <w:tcPr>
            <w:tcW w:w="0" w:type="auto"/>
          </w:tcPr>
          <w:p w14:paraId="70DA908F" w14:textId="77777777" w:rsidR="006879B9" w:rsidRDefault="00050C95">
            <w:pPr>
              <w:pStyle w:val="Compact"/>
              <w:jc w:val="right"/>
            </w:pPr>
            <w:r>
              <w:t>26441.0718</w:t>
            </w:r>
          </w:p>
        </w:tc>
        <w:tc>
          <w:tcPr>
            <w:tcW w:w="0" w:type="auto"/>
          </w:tcPr>
          <w:p w14:paraId="0BE8C13A" w14:textId="77777777" w:rsidR="006879B9" w:rsidRDefault="00050C95">
            <w:pPr>
              <w:pStyle w:val="Compact"/>
              <w:jc w:val="right"/>
            </w:pPr>
            <w:r>
              <w:t>1.3895</w:t>
            </w:r>
          </w:p>
        </w:tc>
        <w:tc>
          <w:tcPr>
            <w:tcW w:w="0" w:type="auto"/>
          </w:tcPr>
          <w:p w14:paraId="7B498A89" w14:textId="77777777" w:rsidR="006879B9" w:rsidRDefault="00050C95">
            <w:pPr>
              <w:pStyle w:val="Compact"/>
              <w:jc w:val="right"/>
            </w:pPr>
            <w:r>
              <w:t>0.1656</w:t>
            </w:r>
          </w:p>
        </w:tc>
      </w:tr>
    </w:tbl>
    <w:p w14:paraId="7BA542D2" w14:textId="77777777" w:rsidR="006879B9" w:rsidRDefault="00050C95">
      <w:pPr>
        <w:pStyle w:val="Tekstpodstawowy"/>
      </w:pPr>
      <w:r>
        <w:t>Model OLS oszacowany dla liczby mieszkań oddanych do użytkowania charakteryzuje się dobrym dopasowaniem do danych. Wartość współczynnika R² wynosi 0,7787 co oznacza, że model wyjaśnia około 77,9% zmienności zmiennej zależnej. Skorygowany współczynnik determinacji osiągnął poziom 0,7753, co potwierdza dopasowanie modelu do danych, nawet po uwzględnieniu liczby zmiennych objaśniających. Istotność całego modelu została potwierdzona testem F (F = 232,2; p &lt; 0,001), co oznacza że istnieje statycznie istotna zależność między liczbą mieszkań oddanych do użytku a co najmniej jedną ze zmiennych objaśnianych.</w:t>
      </w:r>
    </w:p>
    <w:p w14:paraId="0E017B69" w14:textId="77777777" w:rsidR="006879B9" w:rsidRDefault="00050C95">
      <w:pPr>
        <w:pStyle w:val="Tekstpodstawowy"/>
      </w:pPr>
      <w:r>
        <w:t>Analiza poszczególnych parametrów wskazuje, że istotny dodatni wpływ na liczbę mieszkań oddanych do użytkowania mają nakłady inwestycyjne oraz saldo migracji. W przypadku nakładów inwestycyjnych wzrost o jedną jednostkę powoduje wzrost liczby mieszkań oddanych do użytku o około 2 jednostki, natomiast wzrost salda migracji o jedną jednostkę powoduje przeciętny wzrost liczby mieszkań oddanych do użytku o około 3299 jednostek.</w:t>
      </w:r>
    </w:p>
    <w:p w14:paraId="69E82E34" w14:textId="08DA8986" w:rsidR="002C338F" w:rsidRDefault="00050C95">
      <w:pPr>
        <w:pStyle w:val="Tekstpodstawowy"/>
      </w:pPr>
      <w:r>
        <w:t>Pozostałe zmienne, tj. wskaźnik urbanizacji, wynagrodzenia i liczba ludności w wieku 25-34 lata okazały się nieistotne statystycznie przy poziomie istotności 0,05.</w:t>
      </w:r>
    </w:p>
    <w:p w14:paraId="596EC077" w14:textId="5E6442A4" w:rsidR="006879B9" w:rsidRDefault="002C338F" w:rsidP="002C338F">
      <w:r>
        <w:br w:type="page"/>
      </w:r>
    </w:p>
    <w:p w14:paraId="0B41708A" w14:textId="77777777" w:rsidR="006879B9" w:rsidRDefault="00050C95">
      <w:pPr>
        <w:pStyle w:val="Nagwek2"/>
      </w:pPr>
      <w:bookmarkStart w:id="57" w:name="X9b0dee971399979442d26dd16c7d1936a1f8f9a"/>
      <w:bookmarkStart w:id="58" w:name="_Toc232627133"/>
      <w:bookmarkStart w:id="59" w:name="_Toc232627233"/>
      <w:bookmarkEnd w:id="54"/>
      <w:r>
        <w:rPr>
          <w:rStyle w:val="SectionNumber"/>
        </w:rPr>
        <w:lastRenderedPageBreak/>
        <w:t>6.2</w:t>
      </w:r>
      <w:r>
        <w:tab/>
        <w:t>Model panelowy FE (referencja do testów LM)</w:t>
      </w:r>
      <w:bookmarkEnd w:id="58"/>
      <w:bookmarkEnd w:id="59"/>
    </w:p>
    <w:p w14:paraId="688703F8" w14:textId="77777777" w:rsidR="006879B9" w:rsidRDefault="00050C95">
      <w:pPr>
        <w:pStyle w:val="FirstParagraph"/>
      </w:pPr>
      <w:r>
        <w:t>Model efektów stałych kontroluje nieobserwowane, stałe w czasie cechy województw (np. lokalne regulacje planistyczne, dostępność terenów budowlanych, preferencje kulturowe).</w:t>
      </w:r>
    </w:p>
    <w:p w14:paraId="1EB036E2" w14:textId="77777777" w:rsidR="006879B9" w:rsidRDefault="00050C95">
      <w:pPr>
        <w:pStyle w:val="TableCaption"/>
      </w:pPr>
      <w:r>
        <w:t>Wyniki modelu panelowego FE — mieszkania oddane do użytkowania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4"/>
        <w:gridCol w:w="1655"/>
        <w:gridCol w:w="1439"/>
        <w:gridCol w:w="1008"/>
        <w:gridCol w:w="992"/>
      </w:tblGrid>
      <w:tr w:rsidR="006879B9" w14:paraId="084ED347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64441" w14:textId="77777777" w:rsidR="006879B9" w:rsidRDefault="006879B9">
            <w:pPr>
              <w:pStyle w:val="Compact"/>
            </w:pPr>
          </w:p>
        </w:tc>
        <w:tc>
          <w:tcPr>
            <w:tcW w:w="0" w:type="auto"/>
          </w:tcPr>
          <w:p w14:paraId="61E56EBE" w14:textId="77777777" w:rsidR="006879B9" w:rsidRDefault="00050C95">
            <w:pPr>
              <w:pStyle w:val="Compact"/>
              <w:jc w:val="right"/>
            </w:pPr>
            <w:r>
              <w:t>Współczynnik</w:t>
            </w:r>
          </w:p>
        </w:tc>
        <w:tc>
          <w:tcPr>
            <w:tcW w:w="0" w:type="auto"/>
          </w:tcPr>
          <w:p w14:paraId="39D655E7" w14:textId="77777777" w:rsidR="006879B9" w:rsidRDefault="00050C95">
            <w:pPr>
              <w:pStyle w:val="Compact"/>
              <w:jc w:val="right"/>
            </w:pPr>
            <w:r>
              <w:t>Błąd std.</w:t>
            </w:r>
          </w:p>
        </w:tc>
        <w:tc>
          <w:tcPr>
            <w:tcW w:w="0" w:type="auto"/>
          </w:tcPr>
          <w:p w14:paraId="6EAA4174" w14:textId="77777777" w:rsidR="006879B9" w:rsidRDefault="00050C95">
            <w:pPr>
              <w:pStyle w:val="Compact"/>
              <w:jc w:val="right"/>
            </w:pPr>
            <w:r>
              <w:t>t</w:t>
            </w:r>
          </w:p>
        </w:tc>
        <w:tc>
          <w:tcPr>
            <w:tcW w:w="0" w:type="auto"/>
          </w:tcPr>
          <w:p w14:paraId="149DE45F" w14:textId="77777777" w:rsidR="006879B9" w:rsidRDefault="00050C95">
            <w:pPr>
              <w:pStyle w:val="Compact"/>
              <w:jc w:val="right"/>
            </w:pPr>
            <w:r>
              <w:t>p-value</w:t>
            </w:r>
          </w:p>
        </w:tc>
      </w:tr>
      <w:tr w:rsidR="006879B9" w14:paraId="7DBBDB75" w14:textId="77777777">
        <w:tc>
          <w:tcPr>
            <w:tcW w:w="0" w:type="auto"/>
          </w:tcPr>
          <w:p w14:paraId="530BF833" w14:textId="77777777" w:rsidR="006879B9" w:rsidRDefault="00050C95">
            <w:pPr>
              <w:pStyle w:val="Compact"/>
            </w:pPr>
            <w:r>
              <w:t>Urbanizacja [%]</w:t>
            </w:r>
          </w:p>
        </w:tc>
        <w:tc>
          <w:tcPr>
            <w:tcW w:w="0" w:type="auto"/>
          </w:tcPr>
          <w:p w14:paraId="0D3D9938" w14:textId="77777777" w:rsidR="006879B9" w:rsidRDefault="00050C95">
            <w:pPr>
              <w:pStyle w:val="Compact"/>
              <w:jc w:val="right"/>
            </w:pPr>
            <w:r>
              <w:t>-106394.8414</w:t>
            </w:r>
          </w:p>
        </w:tc>
        <w:tc>
          <w:tcPr>
            <w:tcW w:w="0" w:type="auto"/>
          </w:tcPr>
          <w:p w14:paraId="0F2BA0E9" w14:textId="77777777" w:rsidR="006879B9" w:rsidRDefault="00050C95">
            <w:pPr>
              <w:pStyle w:val="Compact"/>
              <w:jc w:val="right"/>
            </w:pPr>
            <w:r>
              <w:t>16090.9076</w:t>
            </w:r>
          </w:p>
        </w:tc>
        <w:tc>
          <w:tcPr>
            <w:tcW w:w="0" w:type="auto"/>
          </w:tcPr>
          <w:p w14:paraId="17C8BA87" w14:textId="77777777" w:rsidR="006879B9" w:rsidRDefault="00050C95">
            <w:pPr>
              <w:pStyle w:val="Compact"/>
              <w:jc w:val="right"/>
            </w:pPr>
            <w:r>
              <w:t>-6.6121</w:t>
            </w:r>
          </w:p>
        </w:tc>
        <w:tc>
          <w:tcPr>
            <w:tcW w:w="0" w:type="auto"/>
          </w:tcPr>
          <w:p w14:paraId="0AA88325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0C1067A1" w14:textId="77777777">
        <w:tc>
          <w:tcPr>
            <w:tcW w:w="0" w:type="auto"/>
          </w:tcPr>
          <w:p w14:paraId="2ADF2079" w14:textId="77777777" w:rsidR="006879B9" w:rsidRDefault="00050C95">
            <w:pPr>
              <w:pStyle w:val="Compact"/>
            </w:pPr>
            <w:r>
              <w:t>Nakłady inwestycyjne</w:t>
            </w:r>
          </w:p>
        </w:tc>
        <w:tc>
          <w:tcPr>
            <w:tcW w:w="0" w:type="auto"/>
          </w:tcPr>
          <w:p w14:paraId="4CED9D4B" w14:textId="77777777" w:rsidR="006879B9" w:rsidRDefault="00050C95">
            <w:pPr>
              <w:pStyle w:val="Compact"/>
              <w:jc w:val="right"/>
            </w:pPr>
            <w:r>
              <w:t>1.2394</w:t>
            </w:r>
          </w:p>
        </w:tc>
        <w:tc>
          <w:tcPr>
            <w:tcW w:w="0" w:type="auto"/>
          </w:tcPr>
          <w:p w14:paraId="52B83032" w14:textId="77777777" w:rsidR="006879B9" w:rsidRDefault="00050C95">
            <w:pPr>
              <w:pStyle w:val="Compact"/>
              <w:jc w:val="right"/>
            </w:pPr>
            <w:r>
              <w:t>0.1403</w:t>
            </w:r>
          </w:p>
        </w:tc>
        <w:tc>
          <w:tcPr>
            <w:tcW w:w="0" w:type="auto"/>
          </w:tcPr>
          <w:p w14:paraId="7F1DC1DB" w14:textId="77777777" w:rsidR="006879B9" w:rsidRDefault="00050C95">
            <w:pPr>
              <w:pStyle w:val="Compact"/>
              <w:jc w:val="right"/>
            </w:pPr>
            <w:r>
              <w:t>8.8310</w:t>
            </w:r>
          </w:p>
        </w:tc>
        <w:tc>
          <w:tcPr>
            <w:tcW w:w="0" w:type="auto"/>
          </w:tcPr>
          <w:p w14:paraId="33A2EAA4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5D6A19D5" w14:textId="77777777">
        <w:tc>
          <w:tcPr>
            <w:tcW w:w="0" w:type="auto"/>
          </w:tcPr>
          <w:p w14:paraId="6C643AFE" w14:textId="77777777" w:rsidR="006879B9" w:rsidRDefault="00050C95">
            <w:pPr>
              <w:pStyle w:val="Compact"/>
            </w:pPr>
            <w:r>
              <w:t>Wynagrodzenie [zł]</w:t>
            </w:r>
          </w:p>
        </w:tc>
        <w:tc>
          <w:tcPr>
            <w:tcW w:w="0" w:type="auto"/>
          </w:tcPr>
          <w:p w14:paraId="5C380241" w14:textId="77777777" w:rsidR="006879B9" w:rsidRDefault="00050C95">
            <w:pPr>
              <w:pStyle w:val="Compact"/>
              <w:jc w:val="right"/>
            </w:pPr>
            <w:r>
              <w:t>-0.1838</w:t>
            </w:r>
          </w:p>
        </w:tc>
        <w:tc>
          <w:tcPr>
            <w:tcW w:w="0" w:type="auto"/>
          </w:tcPr>
          <w:p w14:paraId="6BBB6BAD" w14:textId="77777777" w:rsidR="006879B9" w:rsidRDefault="00050C95">
            <w:pPr>
              <w:pStyle w:val="Compact"/>
              <w:jc w:val="right"/>
            </w:pPr>
            <w:r>
              <w:t>0.1915</w:t>
            </w:r>
          </w:p>
        </w:tc>
        <w:tc>
          <w:tcPr>
            <w:tcW w:w="0" w:type="auto"/>
          </w:tcPr>
          <w:p w14:paraId="101EB38D" w14:textId="77777777" w:rsidR="006879B9" w:rsidRDefault="00050C95">
            <w:pPr>
              <w:pStyle w:val="Compact"/>
              <w:jc w:val="right"/>
            </w:pPr>
            <w:r>
              <w:t>-0.9599</w:t>
            </w:r>
          </w:p>
        </w:tc>
        <w:tc>
          <w:tcPr>
            <w:tcW w:w="0" w:type="auto"/>
          </w:tcPr>
          <w:p w14:paraId="04DAEAB0" w14:textId="77777777" w:rsidR="006879B9" w:rsidRDefault="00050C95">
            <w:pPr>
              <w:pStyle w:val="Compact"/>
              <w:jc w:val="right"/>
            </w:pPr>
            <w:r>
              <w:t>0.3378</w:t>
            </w:r>
          </w:p>
        </w:tc>
      </w:tr>
      <w:tr w:rsidR="006879B9" w14:paraId="60B8D28B" w14:textId="77777777">
        <w:tc>
          <w:tcPr>
            <w:tcW w:w="0" w:type="auto"/>
          </w:tcPr>
          <w:p w14:paraId="4A6DED8D" w14:textId="77777777" w:rsidR="006879B9" w:rsidRDefault="00050C95">
            <w:pPr>
              <w:pStyle w:val="Compact"/>
            </w:pPr>
            <w:r>
              <w:t>Saldo migracji</w:t>
            </w:r>
          </w:p>
        </w:tc>
        <w:tc>
          <w:tcPr>
            <w:tcW w:w="0" w:type="auto"/>
          </w:tcPr>
          <w:p w14:paraId="763F06A6" w14:textId="77777777" w:rsidR="006879B9" w:rsidRDefault="00050C95">
            <w:pPr>
              <w:pStyle w:val="Compact"/>
              <w:jc w:val="right"/>
            </w:pPr>
            <w:r>
              <w:t>140.5475</w:t>
            </w:r>
          </w:p>
        </w:tc>
        <w:tc>
          <w:tcPr>
            <w:tcW w:w="0" w:type="auto"/>
          </w:tcPr>
          <w:p w14:paraId="6AEEF2A2" w14:textId="77777777" w:rsidR="006879B9" w:rsidRDefault="00050C95">
            <w:pPr>
              <w:pStyle w:val="Compact"/>
              <w:jc w:val="right"/>
            </w:pPr>
            <w:r>
              <w:t>260.6652</w:t>
            </w:r>
          </w:p>
        </w:tc>
        <w:tc>
          <w:tcPr>
            <w:tcW w:w="0" w:type="auto"/>
          </w:tcPr>
          <w:p w14:paraId="6BDF1315" w14:textId="77777777" w:rsidR="006879B9" w:rsidRDefault="00050C95">
            <w:pPr>
              <w:pStyle w:val="Compact"/>
              <w:jc w:val="right"/>
            </w:pPr>
            <w:r>
              <w:t>0.5392</w:t>
            </w:r>
          </w:p>
        </w:tc>
        <w:tc>
          <w:tcPr>
            <w:tcW w:w="0" w:type="auto"/>
          </w:tcPr>
          <w:p w14:paraId="67EBEB90" w14:textId="77777777" w:rsidR="006879B9" w:rsidRDefault="00050C95">
            <w:pPr>
              <w:pStyle w:val="Compact"/>
              <w:jc w:val="right"/>
            </w:pPr>
            <w:r>
              <w:t>0.5901</w:t>
            </w:r>
          </w:p>
        </w:tc>
      </w:tr>
      <w:tr w:rsidR="006879B9" w14:paraId="0BAAAC0D" w14:textId="77777777">
        <w:tc>
          <w:tcPr>
            <w:tcW w:w="0" w:type="auto"/>
          </w:tcPr>
          <w:p w14:paraId="2D721988" w14:textId="77777777" w:rsidR="006879B9" w:rsidRDefault="00050C95">
            <w:pPr>
              <w:pStyle w:val="Compact"/>
            </w:pPr>
            <w:r>
              <w:t>Ludność 25–34 lat</w:t>
            </w:r>
          </w:p>
        </w:tc>
        <w:tc>
          <w:tcPr>
            <w:tcW w:w="0" w:type="auto"/>
          </w:tcPr>
          <w:p w14:paraId="0D4A33A0" w14:textId="77777777" w:rsidR="006879B9" w:rsidRDefault="00050C95">
            <w:pPr>
              <w:pStyle w:val="Compact"/>
              <w:jc w:val="right"/>
            </w:pPr>
            <w:r>
              <w:t>-24400.8855</w:t>
            </w:r>
          </w:p>
        </w:tc>
        <w:tc>
          <w:tcPr>
            <w:tcW w:w="0" w:type="auto"/>
          </w:tcPr>
          <w:p w14:paraId="72AB43F5" w14:textId="77777777" w:rsidR="006879B9" w:rsidRDefault="00050C95">
            <w:pPr>
              <w:pStyle w:val="Compact"/>
              <w:jc w:val="right"/>
            </w:pPr>
            <w:r>
              <w:t>13810.5094</w:t>
            </w:r>
          </w:p>
        </w:tc>
        <w:tc>
          <w:tcPr>
            <w:tcW w:w="0" w:type="auto"/>
          </w:tcPr>
          <w:p w14:paraId="2F5B0F1B" w14:textId="77777777" w:rsidR="006879B9" w:rsidRDefault="00050C95">
            <w:pPr>
              <w:pStyle w:val="Compact"/>
              <w:jc w:val="right"/>
            </w:pPr>
            <w:r>
              <w:t>-1.7668</w:t>
            </w:r>
          </w:p>
        </w:tc>
        <w:tc>
          <w:tcPr>
            <w:tcW w:w="0" w:type="auto"/>
          </w:tcPr>
          <w:p w14:paraId="535F5773" w14:textId="77777777" w:rsidR="006879B9" w:rsidRDefault="00050C95">
            <w:pPr>
              <w:pStyle w:val="Compact"/>
              <w:jc w:val="right"/>
            </w:pPr>
            <w:r>
              <w:t>0.0782</w:t>
            </w:r>
          </w:p>
        </w:tc>
      </w:tr>
    </w:tbl>
    <w:p w14:paraId="2D9716F6" w14:textId="77777777" w:rsidR="006879B9" w:rsidRDefault="00050C95">
      <w:pPr>
        <w:pStyle w:val="Nagwek3"/>
      </w:pPr>
      <w:bookmarkStart w:id="60" w:name="test-f-dla-efektów-stałych"/>
      <w:bookmarkStart w:id="61" w:name="_Toc232627134"/>
      <w:bookmarkStart w:id="62" w:name="_Toc232627234"/>
      <w:r>
        <w:rPr>
          <w:rStyle w:val="SectionNumber"/>
        </w:rPr>
        <w:t>6.2.1</w:t>
      </w:r>
      <w:r>
        <w:tab/>
        <w:t>Test F dla efektów stałych</w:t>
      </w:r>
      <w:bookmarkEnd w:id="61"/>
      <w:bookmarkEnd w:id="62"/>
    </w:p>
    <w:p w14:paraId="1858A39A" w14:textId="77777777" w:rsidR="006879B9" w:rsidRDefault="00050C95">
      <w:pPr>
        <w:pStyle w:val="FirstParagraph"/>
      </w:pPr>
      <w:r>
        <w:rPr>
          <w:b/>
          <w:bCs/>
        </w:rPr>
        <w:t>H₀:</w:t>
      </w:r>
      <w:r>
        <w:t xml:space="preserve"> efekty indywidualne są nieistotne — wystarczy pooled OLS. </w:t>
      </w:r>
      <w:r>
        <w:rPr>
          <w:b/>
          <w:bCs/>
        </w:rPr>
        <w:t>H₁:</w:t>
      </w:r>
      <w:r>
        <w:t xml:space="preserve"> efekty indywidualne są istotne — model FE jest właściwszy.</w:t>
      </w:r>
    </w:p>
    <w:p w14:paraId="1B890252" w14:textId="77777777" w:rsidR="006879B9" w:rsidRPr="002D651D" w:rsidRDefault="00050C95">
      <w:pPr>
        <w:pStyle w:val="SourceCode"/>
        <w:rPr>
          <w:lang w:val="en-US"/>
        </w:rPr>
      </w:pPr>
      <w:r w:rsidRPr="002D651D">
        <w:rPr>
          <w:rStyle w:val="VerbatimChar"/>
          <w:lang w:val="en-US"/>
        </w:rPr>
        <w:t xml:space="preserve">## </w:t>
      </w:r>
      <w:r w:rsidRPr="002D651D">
        <w:rPr>
          <w:lang w:val="en-US"/>
        </w:rPr>
        <w:br/>
      </w:r>
      <w:r w:rsidRPr="002D651D">
        <w:rPr>
          <w:rStyle w:val="VerbatimChar"/>
          <w:lang w:val="en-US"/>
        </w:rPr>
        <w:t>##  F test for individual effects</w:t>
      </w:r>
      <w:r w:rsidRPr="002D651D">
        <w:rPr>
          <w:lang w:val="en-US"/>
        </w:rPr>
        <w:br/>
      </w:r>
      <w:r w:rsidRPr="002D651D">
        <w:rPr>
          <w:rStyle w:val="VerbatimChar"/>
          <w:lang w:val="en-US"/>
        </w:rPr>
        <w:t xml:space="preserve">## </w:t>
      </w:r>
      <w:r w:rsidRPr="002D651D">
        <w:rPr>
          <w:lang w:val="en-US"/>
        </w:rPr>
        <w:br/>
      </w:r>
      <w:r w:rsidRPr="002D651D">
        <w:rPr>
          <w:rStyle w:val="VerbatimChar"/>
          <w:lang w:val="en-US"/>
        </w:rPr>
        <w:t>## data:  MO ~ WSK_URB + NAKL + WYNAGR + SM + WSK25_34</w:t>
      </w:r>
      <w:r w:rsidRPr="002D651D">
        <w:rPr>
          <w:lang w:val="en-US"/>
        </w:rPr>
        <w:br/>
      </w:r>
      <w:r w:rsidRPr="002D651D">
        <w:rPr>
          <w:rStyle w:val="VerbatimChar"/>
          <w:lang w:val="en-US"/>
        </w:rPr>
        <w:t>## F = 69.539, df1 = 15, df2 = 315, p-value &lt; 2.2e-16</w:t>
      </w:r>
      <w:r w:rsidRPr="002D651D">
        <w:rPr>
          <w:lang w:val="en-US"/>
        </w:rPr>
        <w:br/>
      </w:r>
      <w:r w:rsidRPr="002D651D">
        <w:rPr>
          <w:rStyle w:val="VerbatimChar"/>
          <w:lang w:val="en-US"/>
        </w:rPr>
        <w:t>## alternative hypothesis: significant effects</w:t>
      </w:r>
    </w:p>
    <w:p w14:paraId="722AC02E" w14:textId="77777777" w:rsidR="006879B9" w:rsidRDefault="00050C95">
      <w:pPr>
        <w:pStyle w:val="FirstParagraph"/>
      </w:pPr>
      <w:r>
        <w:t xml:space="preserve">Wynik testu F = 69.539 (p = 0) — </w:t>
      </w:r>
      <w:r>
        <w:rPr>
          <w:b/>
          <w:bCs/>
        </w:rPr>
        <w:t>odrzucamy H₀</w:t>
      </w:r>
      <w:r>
        <w:t>. Efekty stałe są istotne statystycznie, co uzasadnia stosowanie modelu FE zamiast pooled OLS.</w:t>
      </w:r>
    </w:p>
    <w:p w14:paraId="6D1B8DFC" w14:textId="77777777" w:rsidR="006879B9" w:rsidRPr="002D651D" w:rsidRDefault="00050C95">
      <w:pPr>
        <w:pStyle w:val="Nagwek2"/>
        <w:rPr>
          <w:lang w:val="en-US"/>
        </w:rPr>
      </w:pPr>
      <w:bookmarkStart w:id="63" w:name="X22d19dcb77d686dc2f0d07025185feefdd2a18c"/>
      <w:bookmarkStart w:id="64" w:name="_Toc232627135"/>
      <w:bookmarkStart w:id="65" w:name="_Toc232627235"/>
      <w:bookmarkEnd w:id="57"/>
      <w:bookmarkEnd w:id="60"/>
      <w:r w:rsidRPr="002D651D">
        <w:rPr>
          <w:rStyle w:val="SectionNumber"/>
          <w:lang w:val="en-US"/>
        </w:rPr>
        <w:t>6.3</w:t>
      </w:r>
      <w:r w:rsidRPr="002D651D">
        <w:rPr>
          <w:lang w:val="en-US"/>
        </w:rPr>
        <w:tab/>
        <w:t xml:space="preserve">Testy Lagrange Multiplier — </w:t>
      </w:r>
      <w:proofErr w:type="spellStart"/>
      <w:r w:rsidRPr="002D651D">
        <w:rPr>
          <w:lang w:val="en-US"/>
        </w:rPr>
        <w:t>selekcja</w:t>
      </w:r>
      <w:proofErr w:type="spellEnd"/>
      <w:r w:rsidRPr="002D651D">
        <w:rPr>
          <w:lang w:val="en-US"/>
        </w:rPr>
        <w:t xml:space="preserve"> SAR vs SEM</w:t>
      </w:r>
      <w:bookmarkEnd w:id="64"/>
      <w:bookmarkEnd w:id="65"/>
    </w:p>
    <w:p w14:paraId="5522DE54" w14:textId="77777777" w:rsidR="006879B9" w:rsidRDefault="00050C95">
      <w:pPr>
        <w:pStyle w:val="TableCaption"/>
      </w:pPr>
      <w:r>
        <w:t xml:space="preserve">Testy </w:t>
      </w:r>
      <w:proofErr w:type="spellStart"/>
      <w:r>
        <w:t>Lagrange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 xml:space="preserve"> — selekcja modelu przestrzennego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4"/>
        <w:gridCol w:w="1291"/>
        <w:gridCol w:w="992"/>
        <w:gridCol w:w="1481"/>
      </w:tblGrid>
      <w:tr w:rsidR="006879B9" w14:paraId="1F528DFB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B81801" w14:textId="77777777" w:rsidR="006879B9" w:rsidRDefault="00050C95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727DAFE2" w14:textId="77777777" w:rsidR="006879B9" w:rsidRDefault="00050C95">
            <w:pPr>
              <w:pStyle w:val="Compact"/>
              <w:jc w:val="right"/>
            </w:pPr>
            <w:r>
              <w:t>Statystyka</w:t>
            </w:r>
          </w:p>
        </w:tc>
        <w:tc>
          <w:tcPr>
            <w:tcW w:w="0" w:type="auto"/>
          </w:tcPr>
          <w:p w14:paraId="5AD162EB" w14:textId="77777777" w:rsidR="006879B9" w:rsidRDefault="00050C95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0" w:type="auto"/>
          </w:tcPr>
          <w:p w14:paraId="2DCCA7EA" w14:textId="77777777" w:rsidR="006879B9" w:rsidRDefault="00050C95">
            <w:pPr>
              <w:pStyle w:val="Compact"/>
            </w:pPr>
            <w:r>
              <w:t>Istotnosc</w:t>
            </w:r>
          </w:p>
        </w:tc>
      </w:tr>
      <w:tr w:rsidR="006879B9" w14:paraId="436899B9" w14:textId="77777777">
        <w:tc>
          <w:tcPr>
            <w:tcW w:w="0" w:type="auto"/>
          </w:tcPr>
          <w:p w14:paraId="3D1DA515" w14:textId="77777777" w:rsidR="006879B9" w:rsidRDefault="00050C95">
            <w:pPr>
              <w:pStyle w:val="Compact"/>
            </w:pPr>
            <w:r>
              <w:t>LM-Lag (SAR)</w:t>
            </w:r>
          </w:p>
        </w:tc>
        <w:tc>
          <w:tcPr>
            <w:tcW w:w="0" w:type="auto"/>
          </w:tcPr>
          <w:p w14:paraId="3552FABC" w14:textId="77777777" w:rsidR="006879B9" w:rsidRDefault="00050C95">
            <w:pPr>
              <w:pStyle w:val="Compact"/>
              <w:jc w:val="right"/>
            </w:pPr>
            <w:r>
              <w:t>12.6744</w:t>
            </w:r>
          </w:p>
        </w:tc>
        <w:tc>
          <w:tcPr>
            <w:tcW w:w="0" w:type="auto"/>
          </w:tcPr>
          <w:p w14:paraId="4B69CB8C" w14:textId="77777777" w:rsidR="006879B9" w:rsidRDefault="00050C95">
            <w:pPr>
              <w:pStyle w:val="Compact"/>
              <w:jc w:val="right"/>
            </w:pPr>
            <w:r>
              <w:t>0.0004</w:t>
            </w:r>
          </w:p>
        </w:tc>
        <w:tc>
          <w:tcPr>
            <w:tcW w:w="0" w:type="auto"/>
          </w:tcPr>
          <w:p w14:paraId="34B29E1D" w14:textId="77777777" w:rsidR="006879B9" w:rsidRDefault="00050C95">
            <w:pPr>
              <w:pStyle w:val="Compact"/>
            </w:pPr>
            <w:r>
              <w:t>Tak (p&lt;0.05)</w:t>
            </w:r>
          </w:p>
        </w:tc>
      </w:tr>
      <w:tr w:rsidR="006879B9" w14:paraId="1D883A33" w14:textId="77777777">
        <w:tc>
          <w:tcPr>
            <w:tcW w:w="0" w:type="auto"/>
          </w:tcPr>
          <w:p w14:paraId="1EDE2A39" w14:textId="77777777" w:rsidR="006879B9" w:rsidRDefault="00050C95">
            <w:pPr>
              <w:pStyle w:val="Compact"/>
            </w:pPr>
            <w:r>
              <w:t>LM-Error (SEM)</w:t>
            </w:r>
          </w:p>
        </w:tc>
        <w:tc>
          <w:tcPr>
            <w:tcW w:w="0" w:type="auto"/>
          </w:tcPr>
          <w:p w14:paraId="4C068248" w14:textId="77777777" w:rsidR="006879B9" w:rsidRDefault="00050C95">
            <w:pPr>
              <w:pStyle w:val="Compact"/>
              <w:jc w:val="right"/>
            </w:pPr>
            <w:r>
              <w:t>30.7728</w:t>
            </w:r>
          </w:p>
        </w:tc>
        <w:tc>
          <w:tcPr>
            <w:tcW w:w="0" w:type="auto"/>
          </w:tcPr>
          <w:p w14:paraId="30C0D920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15679B6" w14:textId="77777777" w:rsidR="006879B9" w:rsidRDefault="00050C95">
            <w:pPr>
              <w:pStyle w:val="Compact"/>
            </w:pPr>
            <w:r>
              <w:t>Tak (p&lt;0.05)</w:t>
            </w:r>
          </w:p>
        </w:tc>
      </w:tr>
      <w:tr w:rsidR="006879B9" w14:paraId="25CC0C32" w14:textId="77777777">
        <w:tc>
          <w:tcPr>
            <w:tcW w:w="0" w:type="auto"/>
          </w:tcPr>
          <w:p w14:paraId="0E2D6C67" w14:textId="77777777" w:rsidR="006879B9" w:rsidRDefault="00050C95">
            <w:pPr>
              <w:pStyle w:val="Compact"/>
            </w:pPr>
            <w:r>
              <w:t>Robust LM-Lag</w:t>
            </w:r>
          </w:p>
        </w:tc>
        <w:tc>
          <w:tcPr>
            <w:tcW w:w="0" w:type="auto"/>
          </w:tcPr>
          <w:p w14:paraId="7FA475E5" w14:textId="77777777" w:rsidR="006879B9" w:rsidRDefault="00050C95">
            <w:pPr>
              <w:pStyle w:val="Compact"/>
              <w:jc w:val="right"/>
            </w:pPr>
            <w:r>
              <w:t>5.0643</w:t>
            </w:r>
          </w:p>
        </w:tc>
        <w:tc>
          <w:tcPr>
            <w:tcW w:w="0" w:type="auto"/>
          </w:tcPr>
          <w:p w14:paraId="634BC129" w14:textId="77777777" w:rsidR="006879B9" w:rsidRDefault="00050C95">
            <w:pPr>
              <w:pStyle w:val="Compact"/>
              <w:jc w:val="right"/>
            </w:pPr>
            <w:r>
              <w:t>0.0244</w:t>
            </w:r>
          </w:p>
        </w:tc>
        <w:tc>
          <w:tcPr>
            <w:tcW w:w="0" w:type="auto"/>
          </w:tcPr>
          <w:p w14:paraId="6C3E1C2E" w14:textId="77777777" w:rsidR="006879B9" w:rsidRDefault="00050C95">
            <w:pPr>
              <w:pStyle w:val="Compact"/>
            </w:pPr>
            <w:r>
              <w:t>Tak (p&lt;0.05)</w:t>
            </w:r>
          </w:p>
        </w:tc>
      </w:tr>
      <w:tr w:rsidR="006879B9" w14:paraId="4F94FE88" w14:textId="77777777">
        <w:tc>
          <w:tcPr>
            <w:tcW w:w="0" w:type="auto"/>
          </w:tcPr>
          <w:p w14:paraId="1FFC9AD4" w14:textId="77777777" w:rsidR="006879B9" w:rsidRDefault="00050C95">
            <w:pPr>
              <w:pStyle w:val="Compact"/>
            </w:pPr>
            <w:r>
              <w:t>Robust LM-Error</w:t>
            </w:r>
          </w:p>
        </w:tc>
        <w:tc>
          <w:tcPr>
            <w:tcW w:w="0" w:type="auto"/>
          </w:tcPr>
          <w:p w14:paraId="38CC877D" w14:textId="77777777" w:rsidR="006879B9" w:rsidRDefault="00050C95">
            <w:pPr>
              <w:pStyle w:val="Compact"/>
              <w:jc w:val="right"/>
            </w:pPr>
            <w:r>
              <w:t>23.1627</w:t>
            </w:r>
          </w:p>
        </w:tc>
        <w:tc>
          <w:tcPr>
            <w:tcW w:w="0" w:type="auto"/>
          </w:tcPr>
          <w:p w14:paraId="1976A366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7767437D" w14:textId="77777777" w:rsidR="006879B9" w:rsidRDefault="00050C95">
            <w:pPr>
              <w:pStyle w:val="Compact"/>
            </w:pPr>
            <w:r>
              <w:t>Tak (p&lt;0.05)</w:t>
            </w:r>
          </w:p>
        </w:tc>
      </w:tr>
    </w:tbl>
    <w:p w14:paraId="21F58572" w14:textId="77777777" w:rsidR="006879B9" w:rsidRDefault="00050C95">
      <w:pPr>
        <w:pStyle w:val="Tekstpodstawowy"/>
      </w:pPr>
      <w:r>
        <w:t xml:space="preserve">Test I Morana dla reszt OLS (uśrednione po latach): </w:t>
      </w:r>
      <w:r>
        <w:rPr>
          <w:b/>
          <w:bCs/>
        </w:rPr>
        <w:t>I = 0.0196</w:t>
      </w:r>
      <w:r>
        <w:t>, p-value = 0.563. Autokorelacja przestrzenna w resztach OLS nieistotna — wyniki modeli przestrzennych interpretować ostrożnie.</w:t>
      </w:r>
    </w:p>
    <w:p w14:paraId="630D1851" w14:textId="77777777" w:rsidR="006879B9" w:rsidRPr="002D651D" w:rsidRDefault="00050C95">
      <w:pPr>
        <w:pStyle w:val="Nagwek2"/>
        <w:rPr>
          <w:lang w:val="en-US"/>
        </w:rPr>
      </w:pPr>
      <w:bookmarkStart w:id="66" w:name="X0b03c1327731d64ef7a74c56d0d02f188411788"/>
      <w:bookmarkStart w:id="67" w:name="_Toc232627136"/>
      <w:bookmarkStart w:id="68" w:name="_Toc232627236"/>
      <w:bookmarkEnd w:id="63"/>
      <w:r w:rsidRPr="002D651D">
        <w:rPr>
          <w:rStyle w:val="SectionNumber"/>
          <w:lang w:val="en-US"/>
        </w:rPr>
        <w:lastRenderedPageBreak/>
        <w:t>6.4</w:t>
      </w:r>
      <w:r w:rsidRPr="002D651D">
        <w:rPr>
          <w:lang w:val="en-US"/>
        </w:rPr>
        <w:tab/>
        <w:t>Model SAR — Spatial Autoregressive Model (panel FE)</w:t>
      </w:r>
      <w:bookmarkEnd w:id="67"/>
      <w:bookmarkEnd w:id="68"/>
    </w:p>
    <w:p w14:paraId="086AB438" w14:textId="77777777" w:rsidR="006879B9" w:rsidRDefault="00050C95">
      <w:pPr>
        <w:pStyle w:val="FirstParagraph"/>
      </w:pPr>
      <w:r>
        <w:t>Model SAR zakłada bezpośrednie przestrzenne oddziaływanie między liczbą oddawanych mieszkań w sąsiednich województwach (np. przez wspólny rynek pracy deweloperów, efekty demonstracji, przepływ kapitału):</w:t>
      </w:r>
    </w:p>
    <w:p w14:paraId="00908531" w14:textId="77777777" w:rsidR="006879B9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MO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MO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435248CC" w14:textId="2B6788B6" w:rsidR="006879B9" w:rsidRPr="004B2CF2" w:rsidRDefault="00050C95">
      <w:pPr>
        <w:pStyle w:val="TableCaption"/>
        <w:rPr>
          <w:lang w:val="en-US"/>
        </w:rPr>
      </w:pPr>
      <w:proofErr w:type="spellStart"/>
      <w:r w:rsidRPr="004B2CF2">
        <w:rPr>
          <w:lang w:val="en-US"/>
        </w:rPr>
        <w:t>Wyniki</w:t>
      </w:r>
      <w:proofErr w:type="spellEnd"/>
      <w:r w:rsidRPr="004B2CF2">
        <w:rPr>
          <w:lang w:val="en-US"/>
        </w:rPr>
        <w:t xml:space="preserve"> </w:t>
      </w:r>
      <w:proofErr w:type="spellStart"/>
      <w:r w:rsidRPr="004B2CF2">
        <w:rPr>
          <w:lang w:val="en-US"/>
        </w:rPr>
        <w:t>modelu</w:t>
      </w:r>
      <w:proofErr w:type="spellEnd"/>
      <w:r w:rsidRPr="004B2CF2">
        <w:rPr>
          <w:lang w:val="en-US"/>
        </w:rPr>
        <w:t xml:space="preserve"> SAR panel FE. rho = </w:t>
      </w:r>
      <w:r w:rsidR="004B2CF2" w:rsidRPr="004B2CF2">
        <w:rPr>
          <w:lang w:val="en-US"/>
        </w:rPr>
        <w:t xml:space="preserve">0,1652 </w:t>
      </w:r>
      <w:r w:rsidRPr="004B2CF2">
        <w:rPr>
          <w:lang w:val="en-US"/>
        </w:rPr>
        <w:t xml:space="preserve"> | Log-likelihood = -3014.2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5"/>
        <w:gridCol w:w="1439"/>
        <w:gridCol w:w="1008"/>
        <w:gridCol w:w="992"/>
      </w:tblGrid>
      <w:tr w:rsidR="006879B9" w14:paraId="5C618215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BF8317" w14:textId="77777777" w:rsidR="006879B9" w:rsidRDefault="00050C95">
            <w:pPr>
              <w:pStyle w:val="Compact"/>
              <w:jc w:val="right"/>
            </w:pPr>
            <w:r>
              <w:t>Współczynnik</w:t>
            </w:r>
          </w:p>
        </w:tc>
        <w:tc>
          <w:tcPr>
            <w:tcW w:w="0" w:type="auto"/>
          </w:tcPr>
          <w:p w14:paraId="3C14EB83" w14:textId="77777777" w:rsidR="006879B9" w:rsidRDefault="00050C95">
            <w:pPr>
              <w:pStyle w:val="Compact"/>
              <w:jc w:val="right"/>
            </w:pPr>
            <w:r>
              <w:t>Błąd std.</w:t>
            </w:r>
          </w:p>
        </w:tc>
        <w:tc>
          <w:tcPr>
            <w:tcW w:w="0" w:type="auto"/>
          </w:tcPr>
          <w:p w14:paraId="099BD87C" w14:textId="77777777" w:rsidR="006879B9" w:rsidRDefault="00050C95">
            <w:pPr>
              <w:pStyle w:val="Compact"/>
              <w:jc w:val="right"/>
            </w:pPr>
            <w:r>
              <w:t>z</w:t>
            </w:r>
          </w:p>
        </w:tc>
        <w:tc>
          <w:tcPr>
            <w:tcW w:w="0" w:type="auto"/>
          </w:tcPr>
          <w:p w14:paraId="3ACCC2FF" w14:textId="77777777" w:rsidR="006879B9" w:rsidRDefault="00050C95">
            <w:pPr>
              <w:pStyle w:val="Compact"/>
              <w:jc w:val="right"/>
            </w:pPr>
            <w:r>
              <w:t>p-value</w:t>
            </w:r>
          </w:p>
        </w:tc>
      </w:tr>
      <w:tr w:rsidR="006879B9" w14:paraId="71897A6D" w14:textId="77777777">
        <w:tc>
          <w:tcPr>
            <w:tcW w:w="0" w:type="auto"/>
          </w:tcPr>
          <w:p w14:paraId="23C84A7B" w14:textId="77777777" w:rsidR="006879B9" w:rsidRDefault="00050C95">
            <w:pPr>
              <w:pStyle w:val="Compact"/>
              <w:jc w:val="right"/>
            </w:pPr>
            <w:r>
              <w:t>0.1652</w:t>
            </w:r>
          </w:p>
        </w:tc>
        <w:tc>
          <w:tcPr>
            <w:tcW w:w="0" w:type="auto"/>
          </w:tcPr>
          <w:p w14:paraId="55DE04E8" w14:textId="77777777" w:rsidR="006879B9" w:rsidRDefault="00050C95">
            <w:pPr>
              <w:pStyle w:val="Compact"/>
              <w:jc w:val="right"/>
            </w:pPr>
            <w:r>
              <w:t>0.0615</w:t>
            </w:r>
          </w:p>
        </w:tc>
        <w:tc>
          <w:tcPr>
            <w:tcW w:w="0" w:type="auto"/>
          </w:tcPr>
          <w:p w14:paraId="416F2946" w14:textId="77777777" w:rsidR="006879B9" w:rsidRDefault="00050C95">
            <w:pPr>
              <w:pStyle w:val="Compact"/>
              <w:jc w:val="right"/>
            </w:pPr>
            <w:r>
              <w:t>2.6873</w:t>
            </w:r>
          </w:p>
        </w:tc>
        <w:tc>
          <w:tcPr>
            <w:tcW w:w="0" w:type="auto"/>
          </w:tcPr>
          <w:p w14:paraId="608F38F8" w14:textId="77777777" w:rsidR="006879B9" w:rsidRDefault="00050C95">
            <w:pPr>
              <w:pStyle w:val="Compact"/>
              <w:jc w:val="right"/>
            </w:pPr>
            <w:r>
              <w:t>0.0072</w:t>
            </w:r>
          </w:p>
        </w:tc>
      </w:tr>
      <w:tr w:rsidR="006879B9" w14:paraId="225C4465" w14:textId="77777777">
        <w:tc>
          <w:tcPr>
            <w:tcW w:w="0" w:type="auto"/>
          </w:tcPr>
          <w:p w14:paraId="422A9CDC" w14:textId="77777777" w:rsidR="006879B9" w:rsidRDefault="00050C95">
            <w:pPr>
              <w:pStyle w:val="Compact"/>
              <w:jc w:val="right"/>
            </w:pPr>
            <w:r>
              <w:t>-108181.2741</w:t>
            </w:r>
          </w:p>
        </w:tc>
        <w:tc>
          <w:tcPr>
            <w:tcW w:w="0" w:type="auto"/>
          </w:tcPr>
          <w:p w14:paraId="77D08819" w14:textId="77777777" w:rsidR="006879B9" w:rsidRDefault="00050C95">
            <w:pPr>
              <w:pStyle w:val="Compact"/>
              <w:jc w:val="right"/>
            </w:pPr>
            <w:r>
              <w:t>15373.2639</w:t>
            </w:r>
          </w:p>
        </w:tc>
        <w:tc>
          <w:tcPr>
            <w:tcW w:w="0" w:type="auto"/>
          </w:tcPr>
          <w:p w14:paraId="160221AB" w14:textId="77777777" w:rsidR="006879B9" w:rsidRDefault="00050C95">
            <w:pPr>
              <w:pStyle w:val="Compact"/>
              <w:jc w:val="right"/>
            </w:pPr>
            <w:r>
              <w:t>-7.0370</w:t>
            </w:r>
          </w:p>
        </w:tc>
        <w:tc>
          <w:tcPr>
            <w:tcW w:w="0" w:type="auto"/>
          </w:tcPr>
          <w:p w14:paraId="6AD256E3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3766F2E6" w14:textId="77777777">
        <w:tc>
          <w:tcPr>
            <w:tcW w:w="0" w:type="auto"/>
          </w:tcPr>
          <w:p w14:paraId="48B888F8" w14:textId="77777777" w:rsidR="006879B9" w:rsidRDefault="00050C95">
            <w:pPr>
              <w:pStyle w:val="Compact"/>
              <w:jc w:val="right"/>
            </w:pPr>
            <w:r>
              <w:t>1.2186</w:t>
            </w:r>
          </w:p>
        </w:tc>
        <w:tc>
          <w:tcPr>
            <w:tcW w:w="0" w:type="auto"/>
          </w:tcPr>
          <w:p w14:paraId="6A6B675C" w14:textId="77777777" w:rsidR="006879B9" w:rsidRDefault="00050C95">
            <w:pPr>
              <w:pStyle w:val="Compact"/>
              <w:jc w:val="right"/>
            </w:pPr>
            <w:r>
              <w:t>0.1340</w:t>
            </w:r>
          </w:p>
        </w:tc>
        <w:tc>
          <w:tcPr>
            <w:tcW w:w="0" w:type="auto"/>
          </w:tcPr>
          <w:p w14:paraId="35692963" w14:textId="77777777" w:rsidR="006879B9" w:rsidRDefault="00050C95">
            <w:pPr>
              <w:pStyle w:val="Compact"/>
              <w:jc w:val="right"/>
            </w:pPr>
            <w:r>
              <w:t>9.0973</w:t>
            </w:r>
          </w:p>
        </w:tc>
        <w:tc>
          <w:tcPr>
            <w:tcW w:w="0" w:type="auto"/>
          </w:tcPr>
          <w:p w14:paraId="1E658333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279F8C11" w14:textId="77777777">
        <w:tc>
          <w:tcPr>
            <w:tcW w:w="0" w:type="auto"/>
          </w:tcPr>
          <w:p w14:paraId="03814450" w14:textId="77777777" w:rsidR="006879B9" w:rsidRDefault="00050C95">
            <w:pPr>
              <w:pStyle w:val="Compact"/>
              <w:jc w:val="right"/>
            </w:pPr>
            <w:r>
              <w:t>-0.3337</w:t>
            </w:r>
          </w:p>
        </w:tc>
        <w:tc>
          <w:tcPr>
            <w:tcW w:w="0" w:type="auto"/>
          </w:tcPr>
          <w:p w14:paraId="112673FA" w14:textId="77777777" w:rsidR="006879B9" w:rsidRDefault="00050C95">
            <w:pPr>
              <w:pStyle w:val="Compact"/>
              <w:jc w:val="right"/>
            </w:pPr>
            <w:r>
              <w:t>0.1946</w:t>
            </w:r>
          </w:p>
        </w:tc>
        <w:tc>
          <w:tcPr>
            <w:tcW w:w="0" w:type="auto"/>
          </w:tcPr>
          <w:p w14:paraId="0B3BF92B" w14:textId="77777777" w:rsidR="006879B9" w:rsidRDefault="00050C95">
            <w:pPr>
              <w:pStyle w:val="Compact"/>
              <w:jc w:val="right"/>
            </w:pPr>
            <w:r>
              <w:t>-1.7149</w:t>
            </w:r>
          </w:p>
        </w:tc>
        <w:tc>
          <w:tcPr>
            <w:tcW w:w="0" w:type="auto"/>
          </w:tcPr>
          <w:p w14:paraId="16D294B4" w14:textId="77777777" w:rsidR="006879B9" w:rsidRDefault="00050C95">
            <w:pPr>
              <w:pStyle w:val="Compact"/>
              <w:jc w:val="right"/>
            </w:pPr>
            <w:r>
              <w:t>0.0864</w:t>
            </w:r>
          </w:p>
        </w:tc>
      </w:tr>
      <w:tr w:rsidR="006879B9" w14:paraId="60BF5990" w14:textId="77777777">
        <w:tc>
          <w:tcPr>
            <w:tcW w:w="0" w:type="auto"/>
          </w:tcPr>
          <w:p w14:paraId="2ECD3760" w14:textId="77777777" w:rsidR="006879B9" w:rsidRDefault="00050C95">
            <w:pPr>
              <w:pStyle w:val="Compact"/>
              <w:jc w:val="right"/>
            </w:pPr>
            <w:r>
              <w:t>50.0752</w:t>
            </w:r>
          </w:p>
        </w:tc>
        <w:tc>
          <w:tcPr>
            <w:tcW w:w="0" w:type="auto"/>
          </w:tcPr>
          <w:p w14:paraId="11D2377E" w14:textId="77777777" w:rsidR="006879B9" w:rsidRDefault="00050C95">
            <w:pPr>
              <w:pStyle w:val="Compact"/>
              <w:jc w:val="right"/>
            </w:pPr>
            <w:r>
              <w:t>248.5113</w:t>
            </w:r>
          </w:p>
        </w:tc>
        <w:tc>
          <w:tcPr>
            <w:tcW w:w="0" w:type="auto"/>
          </w:tcPr>
          <w:p w14:paraId="48A7998A" w14:textId="77777777" w:rsidR="006879B9" w:rsidRDefault="00050C95">
            <w:pPr>
              <w:pStyle w:val="Compact"/>
              <w:jc w:val="right"/>
            </w:pPr>
            <w:r>
              <w:t>0.2015</w:t>
            </w:r>
          </w:p>
        </w:tc>
        <w:tc>
          <w:tcPr>
            <w:tcW w:w="0" w:type="auto"/>
          </w:tcPr>
          <w:p w14:paraId="60BA28E2" w14:textId="77777777" w:rsidR="006879B9" w:rsidRDefault="00050C95">
            <w:pPr>
              <w:pStyle w:val="Compact"/>
              <w:jc w:val="right"/>
            </w:pPr>
            <w:r>
              <w:t>0.8403</w:t>
            </w:r>
          </w:p>
        </w:tc>
      </w:tr>
      <w:tr w:rsidR="006879B9" w14:paraId="40CA851F" w14:textId="77777777">
        <w:tc>
          <w:tcPr>
            <w:tcW w:w="0" w:type="auto"/>
          </w:tcPr>
          <w:p w14:paraId="27DBE5FF" w14:textId="77777777" w:rsidR="006879B9" w:rsidRDefault="00050C95">
            <w:pPr>
              <w:pStyle w:val="Compact"/>
              <w:jc w:val="right"/>
            </w:pPr>
            <w:r>
              <w:t>-17264.8403</w:t>
            </w:r>
          </w:p>
        </w:tc>
        <w:tc>
          <w:tcPr>
            <w:tcW w:w="0" w:type="auto"/>
          </w:tcPr>
          <w:p w14:paraId="3A1324B4" w14:textId="77777777" w:rsidR="006879B9" w:rsidRDefault="00050C95">
            <w:pPr>
              <w:pStyle w:val="Compact"/>
              <w:jc w:val="right"/>
            </w:pPr>
            <w:r>
              <w:t>13167.6168</w:t>
            </w:r>
          </w:p>
        </w:tc>
        <w:tc>
          <w:tcPr>
            <w:tcW w:w="0" w:type="auto"/>
          </w:tcPr>
          <w:p w14:paraId="0B73E8A8" w14:textId="77777777" w:rsidR="006879B9" w:rsidRDefault="00050C95">
            <w:pPr>
              <w:pStyle w:val="Compact"/>
              <w:jc w:val="right"/>
            </w:pPr>
            <w:r>
              <w:t>-1.3112</w:t>
            </w:r>
          </w:p>
        </w:tc>
        <w:tc>
          <w:tcPr>
            <w:tcW w:w="0" w:type="auto"/>
          </w:tcPr>
          <w:p w14:paraId="78B131A5" w14:textId="77777777" w:rsidR="006879B9" w:rsidRDefault="00050C95">
            <w:pPr>
              <w:pStyle w:val="Compact"/>
              <w:jc w:val="right"/>
            </w:pPr>
            <w:r>
              <w:t>0.1898</w:t>
            </w:r>
          </w:p>
        </w:tc>
      </w:tr>
    </w:tbl>
    <w:p w14:paraId="3461CB9B" w14:textId="142397AB" w:rsidR="006879B9" w:rsidRDefault="00050C95">
      <w:pPr>
        <w:pStyle w:val="Tekstpodstawowy"/>
      </w:pPr>
      <w:r>
        <w:rPr>
          <w:b/>
          <w:bCs/>
        </w:rPr>
        <w:t>Interpretacja parametru ρ:</w:t>
      </w:r>
      <w:r>
        <w:t xml:space="preserve">  </w:t>
      </w:r>
      <w:r w:rsidR="004B2CF2" w:rsidRPr="004B2CF2">
        <w:t xml:space="preserve">ρ = 0,165 &gt; 0 — dodatnia i istotna statystycznie autokorelacja przestrzenna, wskazująca na efekt </w:t>
      </w:r>
      <w:proofErr w:type="spellStart"/>
      <w:r w:rsidR="004B2CF2" w:rsidRPr="004B2CF2">
        <w:t>spillover</w:t>
      </w:r>
      <w:proofErr w:type="spellEnd"/>
      <w:r w:rsidR="004B2CF2" w:rsidRPr="004B2CF2">
        <w:t xml:space="preserve"> między sąsiadującymi województwami.</w:t>
      </w:r>
    </w:p>
    <w:p w14:paraId="26CCCEE1" w14:textId="77777777" w:rsidR="006879B9" w:rsidRDefault="00050C95">
      <w:pPr>
        <w:pStyle w:val="Tekstpodstawowy"/>
      </w:pPr>
      <w:r>
        <w:rPr>
          <w:b/>
          <w:bCs/>
        </w:rPr>
        <w:t>Testowanie istotności autoregresjii przestrzennej:</w:t>
      </w:r>
      <w:r>
        <w:t xml:space="preserve"> Wartość współczynnika rho wyniosła 0,165, a parametr okazał się statystycznie istotny (p = 0,007). Oznacza to, że występują słabe dodatnie zależności przestrzenne w sąsiednich województwach. Na liczbę oddanych do użytku mieszkań w danym województwie wpływa liczba oddanych do użytku mieszkań w sąsiednim województwie.</w:t>
      </w:r>
    </w:p>
    <w:p w14:paraId="1A2951DA" w14:textId="77777777" w:rsidR="006879B9" w:rsidRDefault="00050C95">
      <w:pPr>
        <w:pStyle w:val="Tekstpodstawowy"/>
      </w:pPr>
      <w:r>
        <w:t>Istotność parametrów oceniono na podstawie porównania wartości p z poziomem istotności, wynoszącym 0,05. Wśród istotnych statystycznie zmiennych znalazły się:</w:t>
      </w:r>
    </w:p>
    <w:p w14:paraId="3E35CFF1" w14:textId="77777777" w:rsidR="006879B9" w:rsidRDefault="00050C95">
      <w:pPr>
        <w:pStyle w:val="Compact"/>
        <w:numPr>
          <w:ilvl w:val="0"/>
          <w:numId w:val="3"/>
        </w:numPr>
      </w:pPr>
      <w:r>
        <w:t>wskaźnik urbanizacji - wzrost tego wskaźnika o jedną jednostkę powoduje spadek liczby mieszkań oddanych do użytku o 108,2 tys jednostek,</w:t>
      </w:r>
    </w:p>
    <w:p w14:paraId="31772FC9" w14:textId="77777777" w:rsidR="006879B9" w:rsidRDefault="00050C95">
      <w:pPr>
        <w:pStyle w:val="Compact"/>
        <w:numPr>
          <w:ilvl w:val="0"/>
          <w:numId w:val="3"/>
        </w:numPr>
      </w:pPr>
      <w:r>
        <w:t>nakłady inwestycyjne, których wzrost o jedną jednostkę powoduje wzrost liczby mieszkań oddanych do użytku o około 1,22 jednostki, cetris paribus.</w:t>
      </w:r>
    </w:p>
    <w:p w14:paraId="586D9F80" w14:textId="624ECD22" w:rsidR="00AF1386" w:rsidRDefault="00050C95" w:rsidP="00DA7B82">
      <w:pPr>
        <w:pStyle w:val="FirstParagraph"/>
      </w:pPr>
      <w:r>
        <w:t>Zmienne: wynagrodzenia, saldo migracji i udział osób w wieku 25-34 lata okazały się nieistotne statycznie.</w:t>
      </w:r>
      <w:bookmarkStart w:id="69" w:name="model-sem-spatial-error-model-panel-fe"/>
      <w:bookmarkEnd w:id="66"/>
    </w:p>
    <w:p w14:paraId="6E719DCB" w14:textId="77777777" w:rsidR="00DA7B82" w:rsidRPr="00DA7B82" w:rsidRDefault="00DA7B82" w:rsidP="00DA7B82">
      <w:pPr>
        <w:pStyle w:val="Tekstpodstawowy"/>
      </w:pPr>
    </w:p>
    <w:p w14:paraId="0F79256E" w14:textId="4F5058DB" w:rsidR="006879B9" w:rsidRPr="002D651D" w:rsidRDefault="00050C95">
      <w:pPr>
        <w:pStyle w:val="Nagwek2"/>
        <w:rPr>
          <w:lang w:val="en-US"/>
        </w:rPr>
      </w:pPr>
      <w:bookmarkStart w:id="70" w:name="_Toc232627137"/>
      <w:bookmarkStart w:id="71" w:name="_Toc232627237"/>
      <w:r w:rsidRPr="002D651D">
        <w:rPr>
          <w:rStyle w:val="SectionNumber"/>
          <w:lang w:val="en-US"/>
        </w:rPr>
        <w:t>6.5</w:t>
      </w:r>
      <w:r w:rsidRPr="002D651D">
        <w:rPr>
          <w:lang w:val="en-US"/>
        </w:rPr>
        <w:tab/>
        <w:t>Model SEM — Spatial Error Model (panel FE)</w:t>
      </w:r>
      <w:bookmarkEnd w:id="70"/>
      <w:bookmarkEnd w:id="71"/>
    </w:p>
    <w:p w14:paraId="359DB079" w14:textId="77777777" w:rsidR="006879B9" w:rsidRDefault="00050C95">
      <w:pPr>
        <w:pStyle w:val="FirstParagraph"/>
      </w:pPr>
      <w:r>
        <w:t>Model SEM wychwytuje efekty przestrzenne przez nieobserwowane czynniki wspólne dla sąsiadujących województw (np. regionalna polityka mieszkaniowa, dostępność i ceny gruntów, klimat inwestycyjny):</w:t>
      </w:r>
    </w:p>
    <w:p w14:paraId="7D87DEAE" w14:textId="77777777" w:rsidR="006879B9" w:rsidRDefault="00000000">
      <w:pPr>
        <w:pStyle w:val="Tekstpodstawowy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MO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6076B969" w14:textId="0C1CE429" w:rsidR="006879B9" w:rsidRDefault="00050C95">
      <w:pPr>
        <w:pStyle w:val="TableCaption"/>
      </w:pPr>
      <w:r>
        <w:lastRenderedPageBreak/>
        <w:t xml:space="preserve">Wyniki modelu SEM panel FE. lambda = </w:t>
      </w:r>
      <w:r w:rsidR="004B2CF2">
        <w:t xml:space="preserve">0,331 </w:t>
      </w:r>
      <w:r>
        <w:t xml:space="preserve"> | Log-likelihood = -3506.81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5"/>
        <w:gridCol w:w="1439"/>
        <w:gridCol w:w="1008"/>
        <w:gridCol w:w="992"/>
      </w:tblGrid>
      <w:tr w:rsidR="006879B9" w14:paraId="521C4B81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B3E941" w14:textId="77777777" w:rsidR="006879B9" w:rsidRDefault="00050C95">
            <w:pPr>
              <w:pStyle w:val="Compact"/>
              <w:jc w:val="right"/>
            </w:pPr>
            <w:r>
              <w:t>Współczynnik</w:t>
            </w:r>
          </w:p>
        </w:tc>
        <w:tc>
          <w:tcPr>
            <w:tcW w:w="0" w:type="auto"/>
          </w:tcPr>
          <w:p w14:paraId="220842F9" w14:textId="77777777" w:rsidR="006879B9" w:rsidRDefault="00050C95">
            <w:pPr>
              <w:pStyle w:val="Compact"/>
              <w:jc w:val="right"/>
            </w:pPr>
            <w:r>
              <w:t>Błąd std.</w:t>
            </w:r>
          </w:p>
        </w:tc>
        <w:tc>
          <w:tcPr>
            <w:tcW w:w="0" w:type="auto"/>
          </w:tcPr>
          <w:p w14:paraId="31FE1490" w14:textId="77777777" w:rsidR="006879B9" w:rsidRDefault="00050C95">
            <w:pPr>
              <w:pStyle w:val="Compact"/>
              <w:jc w:val="right"/>
            </w:pPr>
            <w:r>
              <w:t>z</w:t>
            </w:r>
          </w:p>
        </w:tc>
        <w:tc>
          <w:tcPr>
            <w:tcW w:w="0" w:type="auto"/>
          </w:tcPr>
          <w:p w14:paraId="7B67A470" w14:textId="77777777" w:rsidR="006879B9" w:rsidRDefault="00050C95">
            <w:pPr>
              <w:pStyle w:val="Compact"/>
              <w:jc w:val="right"/>
            </w:pPr>
            <w:r>
              <w:t>p-value</w:t>
            </w:r>
          </w:p>
        </w:tc>
      </w:tr>
      <w:tr w:rsidR="006879B9" w14:paraId="26C19929" w14:textId="77777777">
        <w:tc>
          <w:tcPr>
            <w:tcW w:w="0" w:type="auto"/>
          </w:tcPr>
          <w:p w14:paraId="22898695" w14:textId="77777777" w:rsidR="006879B9" w:rsidRDefault="00050C95">
            <w:pPr>
              <w:pStyle w:val="Compact"/>
              <w:jc w:val="right"/>
            </w:pPr>
            <w:r>
              <w:t>0.3311</w:t>
            </w:r>
          </w:p>
        </w:tc>
        <w:tc>
          <w:tcPr>
            <w:tcW w:w="0" w:type="auto"/>
          </w:tcPr>
          <w:p w14:paraId="10FCB921" w14:textId="77777777" w:rsidR="006879B9" w:rsidRDefault="00050C95">
            <w:pPr>
              <w:pStyle w:val="Compact"/>
              <w:jc w:val="right"/>
            </w:pPr>
            <w:r>
              <w:t>0.0648</w:t>
            </w:r>
          </w:p>
        </w:tc>
        <w:tc>
          <w:tcPr>
            <w:tcW w:w="0" w:type="auto"/>
          </w:tcPr>
          <w:p w14:paraId="4A56E6E7" w14:textId="77777777" w:rsidR="006879B9" w:rsidRDefault="00050C95">
            <w:pPr>
              <w:pStyle w:val="Compact"/>
              <w:jc w:val="right"/>
            </w:pPr>
            <w:r>
              <w:t>5.1122</w:t>
            </w:r>
          </w:p>
        </w:tc>
        <w:tc>
          <w:tcPr>
            <w:tcW w:w="0" w:type="auto"/>
          </w:tcPr>
          <w:p w14:paraId="02E50370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2BA921A7" w14:textId="77777777">
        <w:tc>
          <w:tcPr>
            <w:tcW w:w="0" w:type="auto"/>
          </w:tcPr>
          <w:p w14:paraId="6C1D7995" w14:textId="77777777" w:rsidR="006879B9" w:rsidRDefault="00050C95">
            <w:pPr>
              <w:pStyle w:val="Compact"/>
              <w:jc w:val="right"/>
            </w:pPr>
            <w:r>
              <w:t>-123697.3045</w:t>
            </w:r>
          </w:p>
        </w:tc>
        <w:tc>
          <w:tcPr>
            <w:tcW w:w="0" w:type="auto"/>
          </w:tcPr>
          <w:p w14:paraId="41CE491B" w14:textId="77777777" w:rsidR="006879B9" w:rsidRDefault="00050C95">
            <w:pPr>
              <w:pStyle w:val="Compact"/>
              <w:jc w:val="right"/>
            </w:pPr>
            <w:r>
              <w:t>15193.1899</w:t>
            </w:r>
          </w:p>
        </w:tc>
        <w:tc>
          <w:tcPr>
            <w:tcW w:w="0" w:type="auto"/>
          </w:tcPr>
          <w:p w14:paraId="21D773F1" w14:textId="77777777" w:rsidR="006879B9" w:rsidRDefault="00050C95">
            <w:pPr>
              <w:pStyle w:val="Compact"/>
              <w:jc w:val="right"/>
            </w:pPr>
            <w:r>
              <w:t>-8.1416</w:t>
            </w:r>
          </w:p>
        </w:tc>
        <w:tc>
          <w:tcPr>
            <w:tcW w:w="0" w:type="auto"/>
          </w:tcPr>
          <w:p w14:paraId="6187A3F0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5F1CE97C" w14:textId="77777777">
        <w:tc>
          <w:tcPr>
            <w:tcW w:w="0" w:type="auto"/>
          </w:tcPr>
          <w:p w14:paraId="127CD9FD" w14:textId="77777777" w:rsidR="006879B9" w:rsidRDefault="00050C95">
            <w:pPr>
              <w:pStyle w:val="Compact"/>
              <w:jc w:val="right"/>
            </w:pPr>
            <w:r>
              <w:t>1.2317</w:t>
            </w:r>
          </w:p>
        </w:tc>
        <w:tc>
          <w:tcPr>
            <w:tcW w:w="0" w:type="auto"/>
          </w:tcPr>
          <w:p w14:paraId="5AC37BFA" w14:textId="77777777" w:rsidR="006879B9" w:rsidRDefault="00050C95">
            <w:pPr>
              <w:pStyle w:val="Compact"/>
              <w:jc w:val="right"/>
            </w:pPr>
            <w:r>
              <w:t>0.1304</w:t>
            </w:r>
          </w:p>
        </w:tc>
        <w:tc>
          <w:tcPr>
            <w:tcW w:w="0" w:type="auto"/>
          </w:tcPr>
          <w:p w14:paraId="18780116" w14:textId="77777777" w:rsidR="006879B9" w:rsidRDefault="00050C95">
            <w:pPr>
              <w:pStyle w:val="Compact"/>
              <w:jc w:val="right"/>
            </w:pPr>
            <w:r>
              <w:t>9.4451</w:t>
            </w:r>
          </w:p>
        </w:tc>
        <w:tc>
          <w:tcPr>
            <w:tcW w:w="0" w:type="auto"/>
          </w:tcPr>
          <w:p w14:paraId="4ECE659C" w14:textId="77777777" w:rsidR="006879B9" w:rsidRDefault="00050C95">
            <w:pPr>
              <w:pStyle w:val="Compact"/>
              <w:jc w:val="right"/>
            </w:pPr>
            <w:r>
              <w:t>0.0000</w:t>
            </w:r>
          </w:p>
        </w:tc>
      </w:tr>
      <w:tr w:rsidR="006879B9" w14:paraId="37E40D98" w14:textId="77777777">
        <w:tc>
          <w:tcPr>
            <w:tcW w:w="0" w:type="auto"/>
          </w:tcPr>
          <w:p w14:paraId="733635C0" w14:textId="77777777" w:rsidR="006879B9" w:rsidRDefault="00050C95">
            <w:pPr>
              <w:pStyle w:val="Compact"/>
              <w:jc w:val="right"/>
            </w:pPr>
            <w:r>
              <w:t>0.0069</w:t>
            </w:r>
          </w:p>
        </w:tc>
        <w:tc>
          <w:tcPr>
            <w:tcW w:w="0" w:type="auto"/>
          </w:tcPr>
          <w:p w14:paraId="01B902AF" w14:textId="77777777" w:rsidR="006879B9" w:rsidRDefault="00050C95">
            <w:pPr>
              <w:pStyle w:val="Compact"/>
              <w:jc w:val="right"/>
            </w:pPr>
            <w:r>
              <w:t>0.2153</w:t>
            </w:r>
          </w:p>
        </w:tc>
        <w:tc>
          <w:tcPr>
            <w:tcW w:w="0" w:type="auto"/>
          </w:tcPr>
          <w:p w14:paraId="31A8B7D6" w14:textId="77777777" w:rsidR="006879B9" w:rsidRDefault="00050C95">
            <w:pPr>
              <w:pStyle w:val="Compact"/>
              <w:jc w:val="right"/>
            </w:pPr>
            <w:r>
              <w:t>0.0320</w:t>
            </w:r>
          </w:p>
        </w:tc>
        <w:tc>
          <w:tcPr>
            <w:tcW w:w="0" w:type="auto"/>
          </w:tcPr>
          <w:p w14:paraId="30A1526E" w14:textId="77777777" w:rsidR="006879B9" w:rsidRDefault="00050C95">
            <w:pPr>
              <w:pStyle w:val="Compact"/>
              <w:jc w:val="right"/>
            </w:pPr>
            <w:r>
              <w:t>0.9744</w:t>
            </w:r>
          </w:p>
        </w:tc>
      </w:tr>
      <w:tr w:rsidR="006879B9" w14:paraId="142C6F87" w14:textId="77777777">
        <w:tc>
          <w:tcPr>
            <w:tcW w:w="0" w:type="auto"/>
          </w:tcPr>
          <w:p w14:paraId="42EA4C92" w14:textId="77777777" w:rsidR="006879B9" w:rsidRDefault="00050C95">
            <w:pPr>
              <w:pStyle w:val="Compact"/>
              <w:jc w:val="right"/>
            </w:pPr>
            <w:r>
              <w:t>-63.7252</w:t>
            </w:r>
          </w:p>
        </w:tc>
        <w:tc>
          <w:tcPr>
            <w:tcW w:w="0" w:type="auto"/>
          </w:tcPr>
          <w:p w14:paraId="31885A67" w14:textId="77777777" w:rsidR="006879B9" w:rsidRDefault="00050C95">
            <w:pPr>
              <w:pStyle w:val="Compact"/>
              <w:jc w:val="right"/>
            </w:pPr>
            <w:r>
              <w:t>258.7011</w:t>
            </w:r>
          </w:p>
        </w:tc>
        <w:tc>
          <w:tcPr>
            <w:tcW w:w="0" w:type="auto"/>
          </w:tcPr>
          <w:p w14:paraId="5700E155" w14:textId="77777777" w:rsidR="006879B9" w:rsidRDefault="00050C95">
            <w:pPr>
              <w:pStyle w:val="Compact"/>
              <w:jc w:val="right"/>
            </w:pPr>
            <w:r>
              <w:t>-0.2463</w:t>
            </w:r>
          </w:p>
        </w:tc>
        <w:tc>
          <w:tcPr>
            <w:tcW w:w="0" w:type="auto"/>
          </w:tcPr>
          <w:p w14:paraId="57D15165" w14:textId="77777777" w:rsidR="006879B9" w:rsidRDefault="00050C95">
            <w:pPr>
              <w:pStyle w:val="Compact"/>
              <w:jc w:val="right"/>
            </w:pPr>
            <w:r>
              <w:t>0.8054</w:t>
            </w:r>
          </w:p>
        </w:tc>
      </w:tr>
      <w:tr w:rsidR="006879B9" w14:paraId="0A5E706E" w14:textId="77777777">
        <w:tc>
          <w:tcPr>
            <w:tcW w:w="0" w:type="auto"/>
          </w:tcPr>
          <w:p w14:paraId="07BF4DBC" w14:textId="77777777" w:rsidR="006879B9" w:rsidRDefault="00050C95">
            <w:pPr>
              <w:pStyle w:val="Compact"/>
              <w:jc w:val="right"/>
            </w:pPr>
            <w:r>
              <w:t>-1890.0989</w:t>
            </w:r>
          </w:p>
        </w:tc>
        <w:tc>
          <w:tcPr>
            <w:tcW w:w="0" w:type="auto"/>
          </w:tcPr>
          <w:p w14:paraId="5115E7E8" w14:textId="77777777" w:rsidR="006879B9" w:rsidRDefault="00050C95">
            <w:pPr>
              <w:pStyle w:val="Compact"/>
              <w:jc w:val="right"/>
            </w:pPr>
            <w:r>
              <w:t>17084.7048</w:t>
            </w:r>
          </w:p>
        </w:tc>
        <w:tc>
          <w:tcPr>
            <w:tcW w:w="0" w:type="auto"/>
          </w:tcPr>
          <w:p w14:paraId="506E9B7A" w14:textId="77777777" w:rsidR="006879B9" w:rsidRDefault="00050C95">
            <w:pPr>
              <w:pStyle w:val="Compact"/>
              <w:jc w:val="right"/>
            </w:pPr>
            <w:r>
              <w:t>-0.1106</w:t>
            </w:r>
          </w:p>
        </w:tc>
        <w:tc>
          <w:tcPr>
            <w:tcW w:w="0" w:type="auto"/>
          </w:tcPr>
          <w:p w14:paraId="3E4F7C40" w14:textId="77777777" w:rsidR="006879B9" w:rsidRDefault="00050C95">
            <w:pPr>
              <w:pStyle w:val="Compact"/>
              <w:jc w:val="right"/>
            </w:pPr>
            <w:r>
              <w:t>0.9119</w:t>
            </w:r>
          </w:p>
        </w:tc>
      </w:tr>
    </w:tbl>
    <w:p w14:paraId="640BE2E2" w14:textId="20534B97" w:rsidR="006879B9" w:rsidRDefault="00050C95">
      <w:pPr>
        <w:pStyle w:val="Tekstpodstawowy"/>
      </w:pPr>
      <w:r>
        <w:rPr>
          <w:b/>
          <w:bCs/>
        </w:rPr>
        <w:t>Interpretacja parametru λ:</w:t>
      </w:r>
      <w:r>
        <w:t xml:space="preserve"> </w:t>
      </w:r>
      <w:r w:rsidR="004B2CF2" w:rsidRPr="004B2CF2">
        <w:t>λ = 0,331 &gt; 0 — dodatnia i istotna statystycznie zależność przestrzenna w składniku zakłócającym (nieobserwowane czynniki wspólne dla sąsiadów).</w:t>
      </w:r>
    </w:p>
    <w:p w14:paraId="370BD769" w14:textId="77777777" w:rsidR="006879B9" w:rsidRDefault="00050C95">
      <w:pPr>
        <w:pStyle w:val="Tekstpodstawowy"/>
      </w:pPr>
      <w:r>
        <w:rPr>
          <w:b/>
          <w:bCs/>
        </w:rPr>
        <w:t>Autokorelacja przestrzenna</w:t>
      </w:r>
      <w:r>
        <w:t xml:space="preserve"> Parametr lambda wyniósł 0,331 i okazał się istotny statystycznie, co oznacza, że po uwzględnieniu zmiennych objaśniających nadal pozostaje zależność przestrzenna.</w:t>
      </w:r>
    </w:p>
    <w:p w14:paraId="5C53B2C8" w14:textId="77777777" w:rsidR="006879B9" w:rsidRDefault="00050C95">
      <w:pPr>
        <w:pStyle w:val="Tekstpodstawowy"/>
      </w:pPr>
      <w:r>
        <w:t>Spośród analizowanych zmiennych objaśniających istotny wpływ na liczbę oddanych do użytku mieszkań mają:</w:t>
      </w:r>
    </w:p>
    <w:p w14:paraId="11FE821E" w14:textId="77777777" w:rsidR="006879B9" w:rsidRDefault="00050C95">
      <w:pPr>
        <w:pStyle w:val="Compact"/>
        <w:numPr>
          <w:ilvl w:val="0"/>
          <w:numId w:val="5"/>
        </w:numPr>
      </w:pPr>
      <w:r>
        <w:t>wskaźnik urbanizacji - wzrost tego wskaźnika o jedną jednostkę, powoduje spadek liczby oddanych mieszkań o około 123,7 tys jednostek,</w:t>
      </w:r>
    </w:p>
    <w:p w14:paraId="6BD27C1B" w14:textId="77777777" w:rsidR="006879B9" w:rsidRDefault="00050C95">
      <w:pPr>
        <w:pStyle w:val="Compact"/>
        <w:numPr>
          <w:ilvl w:val="0"/>
          <w:numId w:val="5"/>
        </w:numPr>
      </w:pPr>
      <w:r>
        <w:t>nakłady inwestycyjne, których wzrost o jedną jednostkę powoduje wzost zmiennej objaśnianej o około 1,23 jednostki, ceteris paribus.</w:t>
      </w:r>
    </w:p>
    <w:p w14:paraId="04F01564" w14:textId="221035FD" w:rsidR="006879B9" w:rsidRDefault="00050C95">
      <w:pPr>
        <w:pStyle w:val="FirstParagraph"/>
      </w:pPr>
      <w:r>
        <w:t xml:space="preserve">Pozostałe zmienne: wynagrodzenia, saldo migracji i udział osób w wieku </w:t>
      </w:r>
      <w:r w:rsidR="00BC760E">
        <w:t xml:space="preserve">25 </w:t>
      </w:r>
      <w:r>
        <w:t>-3</w:t>
      </w:r>
      <w:r w:rsidR="00BC760E">
        <w:t>4</w:t>
      </w:r>
      <w:r>
        <w:t xml:space="preserve"> lat okazały się nieistotne statystycznie.</w:t>
      </w:r>
    </w:p>
    <w:p w14:paraId="0971614B" w14:textId="77777777" w:rsidR="006879B9" w:rsidRDefault="00000000">
      <w:r>
        <w:pict w14:anchorId="04E7B641">
          <v:rect id="_x0000_i1642" style="width:0;height:1.5pt" o:hralign="center" o:hrstd="t" o:hr="t"/>
        </w:pict>
      </w:r>
    </w:p>
    <w:p w14:paraId="5DAE240E" w14:textId="77777777" w:rsidR="006879B9" w:rsidRDefault="00050C95">
      <w:pPr>
        <w:pStyle w:val="Nagwek1"/>
      </w:pPr>
      <w:bookmarkStart w:id="72" w:name="ocena-i-porównanie-modeli"/>
      <w:bookmarkStart w:id="73" w:name="_Toc232627138"/>
      <w:bookmarkStart w:id="74" w:name="_Toc232627238"/>
      <w:bookmarkEnd w:id="51"/>
      <w:bookmarkEnd w:id="69"/>
      <w:r>
        <w:rPr>
          <w:rStyle w:val="SectionNumber"/>
        </w:rPr>
        <w:t>7</w:t>
      </w:r>
      <w:r>
        <w:tab/>
        <w:t>Ocena i porównanie modeli</w:t>
      </w:r>
      <w:bookmarkEnd w:id="73"/>
      <w:bookmarkEnd w:id="74"/>
    </w:p>
    <w:p w14:paraId="7CAA148F" w14:textId="77777777" w:rsidR="006879B9" w:rsidRDefault="00050C95">
      <w:pPr>
        <w:pStyle w:val="Nagwek2"/>
      </w:pPr>
      <w:bookmarkStart w:id="75" w:name="tabela-porównawcza"/>
      <w:bookmarkStart w:id="76" w:name="_Toc232627139"/>
      <w:bookmarkStart w:id="77" w:name="_Toc232627239"/>
      <w:r>
        <w:rPr>
          <w:rStyle w:val="SectionNumber"/>
        </w:rPr>
        <w:t>7.1</w:t>
      </w:r>
      <w:r>
        <w:tab/>
        <w:t>Tabela porównawcza</w:t>
      </w:r>
      <w:bookmarkEnd w:id="76"/>
      <w:bookmarkEnd w:id="77"/>
    </w:p>
    <w:p w14:paraId="23E3AC3C" w14:textId="77777777" w:rsidR="006879B9" w:rsidRDefault="00050C95">
      <w:pPr>
        <w:pStyle w:val="TableCaption"/>
      </w:pPr>
      <w:r>
        <w:t>Porównanie dopasowania modeli — mieszkania oddane do użytkowania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3"/>
        <w:gridCol w:w="1987"/>
        <w:gridCol w:w="1060"/>
        <w:gridCol w:w="1987"/>
        <w:gridCol w:w="2649"/>
      </w:tblGrid>
      <w:tr w:rsidR="006879B9" w14:paraId="5B437255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0" w:type="dxa"/>
          </w:tcPr>
          <w:p w14:paraId="70533E0E" w14:textId="77777777" w:rsidR="006879B9" w:rsidRDefault="00050C95">
            <w:pPr>
              <w:pStyle w:val="Compact"/>
            </w:pPr>
            <w:r>
              <w:t>Model</w:t>
            </w:r>
          </w:p>
        </w:tc>
        <w:tc>
          <w:tcPr>
            <w:tcW w:w="1673" w:type="dxa"/>
          </w:tcPr>
          <w:p w14:paraId="44808B22" w14:textId="77777777" w:rsidR="006879B9" w:rsidRDefault="00050C95">
            <w:pPr>
              <w:pStyle w:val="Compact"/>
              <w:jc w:val="right"/>
            </w:pPr>
            <w:r>
              <w:t>Log-likelihood</w:t>
            </w:r>
          </w:p>
        </w:tc>
        <w:tc>
          <w:tcPr>
            <w:tcW w:w="892" w:type="dxa"/>
          </w:tcPr>
          <w:p w14:paraId="12666E7F" w14:textId="77777777" w:rsidR="006879B9" w:rsidRDefault="00050C95">
            <w:pPr>
              <w:pStyle w:val="Compact"/>
              <w:jc w:val="right"/>
            </w:pPr>
            <w:r>
              <w:t>AIC</w:t>
            </w:r>
          </w:p>
        </w:tc>
        <w:tc>
          <w:tcPr>
            <w:tcW w:w="1673" w:type="dxa"/>
          </w:tcPr>
          <w:p w14:paraId="7EA9BB20" w14:textId="77777777" w:rsidR="006879B9" w:rsidRDefault="00050C95">
            <w:pPr>
              <w:pStyle w:val="Compact"/>
              <w:jc w:val="right"/>
            </w:pPr>
            <w:r>
              <w:t>R² / pseudo-R²</w:t>
            </w:r>
          </w:p>
        </w:tc>
        <w:tc>
          <w:tcPr>
            <w:tcW w:w="2230" w:type="dxa"/>
          </w:tcPr>
          <w:p w14:paraId="507CB548" w14:textId="77777777" w:rsidR="006879B9" w:rsidRDefault="00050C95">
            <w:pPr>
              <w:pStyle w:val="Compact"/>
            </w:pPr>
            <w:r>
              <w:t>Param. przestrzenny</w:t>
            </w:r>
          </w:p>
        </w:tc>
      </w:tr>
      <w:tr w:rsidR="006879B9" w14:paraId="185FB0A5" w14:textId="77777777">
        <w:tc>
          <w:tcPr>
            <w:tcW w:w="1450" w:type="dxa"/>
          </w:tcPr>
          <w:p w14:paraId="4586054A" w14:textId="77777777" w:rsidR="006879B9" w:rsidRDefault="00050C95">
            <w:pPr>
              <w:pStyle w:val="Compact"/>
            </w:pPr>
            <w:r>
              <w:t>OLS (pooled)</w:t>
            </w:r>
          </w:p>
        </w:tc>
        <w:tc>
          <w:tcPr>
            <w:tcW w:w="1673" w:type="dxa"/>
          </w:tcPr>
          <w:p w14:paraId="4185BCA0" w14:textId="77777777" w:rsidR="006879B9" w:rsidRDefault="00050C95">
            <w:pPr>
              <w:pStyle w:val="Compact"/>
              <w:jc w:val="right"/>
            </w:pPr>
            <w:r>
              <w:t>-3264.21</w:t>
            </w:r>
          </w:p>
        </w:tc>
        <w:tc>
          <w:tcPr>
            <w:tcW w:w="892" w:type="dxa"/>
          </w:tcPr>
          <w:p w14:paraId="42A230AC" w14:textId="77777777" w:rsidR="006879B9" w:rsidRDefault="00050C95">
            <w:pPr>
              <w:pStyle w:val="Compact"/>
              <w:jc w:val="right"/>
            </w:pPr>
            <w:r>
              <w:t>6542.42</w:t>
            </w:r>
          </w:p>
        </w:tc>
        <w:tc>
          <w:tcPr>
            <w:tcW w:w="1673" w:type="dxa"/>
          </w:tcPr>
          <w:p w14:paraId="63321B90" w14:textId="77777777" w:rsidR="006879B9" w:rsidRDefault="00050C95">
            <w:pPr>
              <w:pStyle w:val="Compact"/>
              <w:jc w:val="right"/>
            </w:pPr>
            <w:r>
              <w:t>0.7787</w:t>
            </w:r>
          </w:p>
        </w:tc>
        <w:tc>
          <w:tcPr>
            <w:tcW w:w="2230" w:type="dxa"/>
          </w:tcPr>
          <w:p w14:paraId="14583E6E" w14:textId="77777777" w:rsidR="006879B9" w:rsidRDefault="00050C95">
            <w:pPr>
              <w:pStyle w:val="Compact"/>
            </w:pPr>
            <w:r>
              <w:t>—</w:t>
            </w:r>
          </w:p>
        </w:tc>
      </w:tr>
      <w:tr w:rsidR="006879B9" w14:paraId="0E96B64D" w14:textId="77777777">
        <w:tc>
          <w:tcPr>
            <w:tcW w:w="1450" w:type="dxa"/>
          </w:tcPr>
          <w:p w14:paraId="2A0863A3" w14:textId="77777777" w:rsidR="006879B9" w:rsidRDefault="00050C95">
            <w:pPr>
              <w:pStyle w:val="Compact"/>
            </w:pPr>
            <w:r>
              <w:t>SAR panel FE</w:t>
            </w:r>
          </w:p>
        </w:tc>
        <w:tc>
          <w:tcPr>
            <w:tcW w:w="1673" w:type="dxa"/>
          </w:tcPr>
          <w:p w14:paraId="1EE338D0" w14:textId="77777777" w:rsidR="006879B9" w:rsidRDefault="00050C95">
            <w:pPr>
              <w:pStyle w:val="Compact"/>
              <w:jc w:val="right"/>
            </w:pPr>
            <w:r>
              <w:t>-3014.20</w:t>
            </w:r>
          </w:p>
        </w:tc>
        <w:tc>
          <w:tcPr>
            <w:tcW w:w="892" w:type="dxa"/>
          </w:tcPr>
          <w:p w14:paraId="0E0739D0" w14:textId="77777777" w:rsidR="006879B9" w:rsidRDefault="00050C95">
            <w:pPr>
              <w:pStyle w:val="Compact"/>
              <w:jc w:val="right"/>
            </w:pPr>
            <w:r>
              <w:t>6040.40</w:t>
            </w:r>
          </w:p>
        </w:tc>
        <w:tc>
          <w:tcPr>
            <w:tcW w:w="1673" w:type="dxa"/>
          </w:tcPr>
          <w:p w14:paraId="4641A785" w14:textId="77777777" w:rsidR="006879B9" w:rsidRDefault="00050C95">
            <w:pPr>
              <w:pStyle w:val="Compact"/>
              <w:jc w:val="right"/>
            </w:pPr>
            <w:r>
              <w:t>0.9504</w:t>
            </w:r>
          </w:p>
        </w:tc>
        <w:tc>
          <w:tcPr>
            <w:tcW w:w="2230" w:type="dxa"/>
          </w:tcPr>
          <w:p w14:paraId="5FC473AE" w14:textId="4692B6CF" w:rsidR="006879B9" w:rsidRDefault="00050C95">
            <w:pPr>
              <w:pStyle w:val="Compact"/>
            </w:pPr>
            <w:r>
              <w:t xml:space="preserve">ρ = </w:t>
            </w:r>
            <w:r w:rsidR="004B2CF2" w:rsidRPr="004B2CF2">
              <w:t>0,165</w:t>
            </w:r>
          </w:p>
        </w:tc>
      </w:tr>
      <w:tr w:rsidR="006879B9" w14:paraId="5E04B226" w14:textId="77777777">
        <w:tc>
          <w:tcPr>
            <w:tcW w:w="1450" w:type="dxa"/>
          </w:tcPr>
          <w:p w14:paraId="46DC6484" w14:textId="77777777" w:rsidR="006879B9" w:rsidRDefault="00050C95">
            <w:pPr>
              <w:pStyle w:val="Compact"/>
            </w:pPr>
            <w:r>
              <w:t>SEM panel FE</w:t>
            </w:r>
          </w:p>
        </w:tc>
        <w:tc>
          <w:tcPr>
            <w:tcW w:w="1673" w:type="dxa"/>
          </w:tcPr>
          <w:p w14:paraId="1008ECCE" w14:textId="77777777" w:rsidR="006879B9" w:rsidRDefault="00050C95">
            <w:pPr>
              <w:pStyle w:val="Compact"/>
              <w:jc w:val="right"/>
            </w:pPr>
            <w:r>
              <w:t>-3506.81</w:t>
            </w:r>
          </w:p>
        </w:tc>
        <w:tc>
          <w:tcPr>
            <w:tcW w:w="892" w:type="dxa"/>
          </w:tcPr>
          <w:p w14:paraId="41714DF0" w14:textId="77777777" w:rsidR="006879B9" w:rsidRDefault="00050C95">
            <w:pPr>
              <w:pStyle w:val="Compact"/>
              <w:jc w:val="right"/>
            </w:pPr>
            <w:r>
              <w:t>7025.62</w:t>
            </w:r>
          </w:p>
        </w:tc>
        <w:tc>
          <w:tcPr>
            <w:tcW w:w="1673" w:type="dxa"/>
          </w:tcPr>
          <w:p w14:paraId="32C7C562" w14:textId="77777777" w:rsidR="006879B9" w:rsidRDefault="00050C95">
            <w:pPr>
              <w:pStyle w:val="Compact"/>
              <w:jc w:val="right"/>
            </w:pPr>
            <w:r>
              <w:t>0.9479</w:t>
            </w:r>
          </w:p>
        </w:tc>
        <w:tc>
          <w:tcPr>
            <w:tcW w:w="2230" w:type="dxa"/>
          </w:tcPr>
          <w:p w14:paraId="34EC083C" w14:textId="54A1DD17" w:rsidR="006879B9" w:rsidRDefault="00050C95">
            <w:pPr>
              <w:pStyle w:val="Compact"/>
            </w:pPr>
            <w:r>
              <w:t xml:space="preserve">λ = </w:t>
            </w:r>
            <w:r w:rsidR="004B2CF2" w:rsidRPr="004B2CF2">
              <w:t>0,331</w:t>
            </w:r>
          </w:p>
        </w:tc>
      </w:tr>
    </w:tbl>
    <w:p w14:paraId="7533392A" w14:textId="77777777" w:rsidR="006879B9" w:rsidRDefault="00050C95">
      <w:pPr>
        <w:pStyle w:val="Tekstpodstawowy"/>
      </w:pPr>
      <w:r>
        <w:t xml:space="preserve">Najlepiej dopasowanym modelem (najniższy AIC) jest </w:t>
      </w:r>
      <w:r>
        <w:rPr>
          <w:b/>
          <w:bCs/>
        </w:rPr>
        <w:t>SAR panel FE</w:t>
      </w:r>
      <w:r>
        <w:t xml:space="preserve"> (AIC = 6040.4). Poprawa względem modelu OLS potwierdza, że uwzględnienie struktury przestrzennej i efektów indywidualnych istotnie zwiększa jakość dopasowania.</w:t>
      </w:r>
    </w:p>
    <w:p w14:paraId="4924E689" w14:textId="77777777" w:rsidR="006879B9" w:rsidRDefault="00050C95">
      <w:pPr>
        <w:pStyle w:val="Nagwek2"/>
      </w:pPr>
      <w:bookmarkStart w:id="78" w:name="test-morana-dla-reszt-modeli"/>
      <w:bookmarkStart w:id="79" w:name="_Toc232627140"/>
      <w:bookmarkStart w:id="80" w:name="_Toc232627240"/>
      <w:bookmarkEnd w:id="75"/>
      <w:r>
        <w:rPr>
          <w:rStyle w:val="SectionNumber"/>
        </w:rPr>
        <w:lastRenderedPageBreak/>
        <w:t>7.2</w:t>
      </w:r>
      <w:r>
        <w:tab/>
        <w:t>Test Morana dla reszt modeli</w:t>
      </w:r>
      <w:bookmarkEnd w:id="79"/>
      <w:bookmarkEnd w:id="80"/>
    </w:p>
    <w:p w14:paraId="27ACED5D" w14:textId="77777777" w:rsidR="006879B9" w:rsidRDefault="00050C95">
      <w:pPr>
        <w:pStyle w:val="TableCaption"/>
      </w:pPr>
      <w:r>
        <w:t>Test I Morana dla reszt modeli (uśrednione po latach)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1672"/>
        <w:gridCol w:w="992"/>
      </w:tblGrid>
      <w:tr w:rsidR="006879B9" w14:paraId="339273FD" w14:textId="77777777" w:rsidTr="00687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1AC93A" w14:textId="77777777" w:rsidR="006879B9" w:rsidRDefault="00050C95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0EA671A4" w14:textId="77777777" w:rsidR="006879B9" w:rsidRDefault="00050C95">
            <w:pPr>
              <w:pStyle w:val="Compact"/>
              <w:jc w:val="right"/>
            </w:pPr>
            <w:r>
              <w:t>I Morana reszt</w:t>
            </w:r>
          </w:p>
        </w:tc>
        <w:tc>
          <w:tcPr>
            <w:tcW w:w="0" w:type="auto"/>
          </w:tcPr>
          <w:p w14:paraId="22626391" w14:textId="77777777" w:rsidR="006879B9" w:rsidRDefault="00050C95">
            <w:pPr>
              <w:pStyle w:val="Compact"/>
              <w:jc w:val="right"/>
            </w:pPr>
            <w:r>
              <w:t>p-value</w:t>
            </w:r>
          </w:p>
        </w:tc>
      </w:tr>
      <w:tr w:rsidR="006879B9" w14:paraId="225227C0" w14:textId="77777777">
        <w:tc>
          <w:tcPr>
            <w:tcW w:w="0" w:type="auto"/>
          </w:tcPr>
          <w:p w14:paraId="1478813C" w14:textId="77777777" w:rsidR="006879B9" w:rsidRDefault="00050C95">
            <w:pPr>
              <w:pStyle w:val="Compact"/>
            </w:pPr>
            <w:r>
              <w:t>OLS (pooled)</w:t>
            </w:r>
          </w:p>
        </w:tc>
        <w:tc>
          <w:tcPr>
            <w:tcW w:w="0" w:type="auto"/>
          </w:tcPr>
          <w:p w14:paraId="6E02A9D8" w14:textId="77777777" w:rsidR="006879B9" w:rsidRDefault="00050C95">
            <w:pPr>
              <w:pStyle w:val="Compact"/>
              <w:jc w:val="right"/>
            </w:pPr>
            <w:r>
              <w:t>0.0196</w:t>
            </w:r>
          </w:p>
        </w:tc>
        <w:tc>
          <w:tcPr>
            <w:tcW w:w="0" w:type="auto"/>
          </w:tcPr>
          <w:p w14:paraId="773AB582" w14:textId="77777777" w:rsidR="006879B9" w:rsidRDefault="00050C95">
            <w:pPr>
              <w:pStyle w:val="Compact"/>
              <w:jc w:val="right"/>
            </w:pPr>
            <w:r>
              <w:t>0.5630</w:t>
            </w:r>
          </w:p>
        </w:tc>
      </w:tr>
      <w:tr w:rsidR="006879B9" w14:paraId="2E6C04DD" w14:textId="77777777">
        <w:tc>
          <w:tcPr>
            <w:tcW w:w="0" w:type="auto"/>
          </w:tcPr>
          <w:p w14:paraId="44CBBD67" w14:textId="77777777" w:rsidR="006879B9" w:rsidRDefault="00050C95">
            <w:pPr>
              <w:pStyle w:val="Compact"/>
            </w:pPr>
            <w:r>
              <w:t>SAR panel FE</w:t>
            </w:r>
          </w:p>
        </w:tc>
        <w:tc>
          <w:tcPr>
            <w:tcW w:w="0" w:type="auto"/>
          </w:tcPr>
          <w:p w14:paraId="572DEB4A" w14:textId="77777777" w:rsidR="006879B9" w:rsidRDefault="00050C95">
            <w:pPr>
              <w:pStyle w:val="Compact"/>
              <w:jc w:val="right"/>
            </w:pPr>
            <w:r>
              <w:t>-0.1385</w:t>
            </w:r>
          </w:p>
        </w:tc>
        <w:tc>
          <w:tcPr>
            <w:tcW w:w="0" w:type="auto"/>
          </w:tcPr>
          <w:p w14:paraId="17A84BAE" w14:textId="77777777" w:rsidR="006879B9" w:rsidRDefault="00050C95">
            <w:pPr>
              <w:pStyle w:val="Compact"/>
              <w:jc w:val="right"/>
            </w:pPr>
            <w:r>
              <w:t>0.6148</w:t>
            </w:r>
          </w:p>
        </w:tc>
      </w:tr>
      <w:tr w:rsidR="006879B9" w14:paraId="41E58DF1" w14:textId="77777777">
        <w:tc>
          <w:tcPr>
            <w:tcW w:w="0" w:type="auto"/>
          </w:tcPr>
          <w:p w14:paraId="01036409" w14:textId="77777777" w:rsidR="006879B9" w:rsidRDefault="00050C95">
            <w:pPr>
              <w:pStyle w:val="Compact"/>
            </w:pPr>
            <w:r>
              <w:t>SEM panel FE</w:t>
            </w:r>
          </w:p>
        </w:tc>
        <w:tc>
          <w:tcPr>
            <w:tcW w:w="0" w:type="auto"/>
          </w:tcPr>
          <w:p w14:paraId="7A216743" w14:textId="77777777" w:rsidR="006879B9" w:rsidRDefault="00050C95">
            <w:pPr>
              <w:pStyle w:val="Compact"/>
              <w:jc w:val="right"/>
            </w:pPr>
            <w:r>
              <w:t>-0.0156</w:t>
            </w:r>
          </w:p>
        </w:tc>
        <w:tc>
          <w:tcPr>
            <w:tcW w:w="0" w:type="auto"/>
          </w:tcPr>
          <w:p w14:paraId="6E8365CE" w14:textId="77777777" w:rsidR="006879B9" w:rsidRDefault="00050C95">
            <w:pPr>
              <w:pStyle w:val="Compact"/>
              <w:jc w:val="right"/>
            </w:pPr>
            <w:r>
              <w:t>0.7320</w:t>
            </w:r>
          </w:p>
        </w:tc>
      </w:tr>
    </w:tbl>
    <w:p w14:paraId="1E832501" w14:textId="14B00059" w:rsidR="006879B9" w:rsidRDefault="00050C95">
      <w:pPr>
        <w:pStyle w:val="Tekstpodstawowy"/>
      </w:pPr>
      <w:r>
        <w:t>Jeśli modele przestrzenne skutecznie wychwytują strukturę przestrzenną</w:t>
      </w:r>
      <w:r w:rsidR="00BC760E">
        <w:t xml:space="preserve">, </w:t>
      </w:r>
      <w:r>
        <w:t xml:space="preserve">I </w:t>
      </w:r>
      <w:proofErr w:type="spellStart"/>
      <w:r>
        <w:t>Morana</w:t>
      </w:r>
      <w:proofErr w:type="spellEnd"/>
      <w:r>
        <w:t xml:space="preserve"> dla ich reszt powinno być bliskie zeru i nieistotne statystycznie, w odróżnieniu od reszt OLS.</w:t>
      </w:r>
    </w:p>
    <w:p w14:paraId="282F51A9" w14:textId="63D39E2B" w:rsidR="002C338F" w:rsidRDefault="00000000">
      <w:r>
        <w:pict w14:anchorId="484782A7">
          <v:rect id="_x0000_i1643" style="width:0;height:1.5pt" o:hralign="center" o:hrstd="t" o:hr="t"/>
        </w:pict>
      </w:r>
    </w:p>
    <w:p w14:paraId="3CC81B7F" w14:textId="5B3B0C90" w:rsidR="006879B9" w:rsidRDefault="006879B9"/>
    <w:p w14:paraId="3A5C8002" w14:textId="77777777" w:rsidR="006879B9" w:rsidRDefault="00050C95">
      <w:pPr>
        <w:pStyle w:val="Nagwek1"/>
      </w:pPr>
      <w:bookmarkStart w:id="81" w:name="wnioski-i-rekomendacje"/>
      <w:bookmarkStart w:id="82" w:name="_Toc232627141"/>
      <w:bookmarkStart w:id="83" w:name="_Toc232627241"/>
      <w:bookmarkEnd w:id="72"/>
      <w:bookmarkEnd w:id="78"/>
      <w:r>
        <w:rPr>
          <w:rStyle w:val="SectionNumber"/>
        </w:rPr>
        <w:lastRenderedPageBreak/>
        <w:t>8</w:t>
      </w:r>
      <w:r>
        <w:tab/>
        <w:t>Wnioski i rekomendacje</w:t>
      </w:r>
      <w:bookmarkEnd w:id="82"/>
      <w:bookmarkEnd w:id="83"/>
    </w:p>
    <w:p w14:paraId="57F52D7E" w14:textId="6BBDFC95" w:rsidR="00DA7B82" w:rsidRDefault="00050C95" w:rsidP="004B2CF2">
      <w:pPr>
        <w:pStyle w:val="Nagwek2"/>
      </w:pPr>
      <w:bookmarkStart w:id="84" w:name="kluczowe-ustalenia"/>
      <w:bookmarkStart w:id="85" w:name="_Toc232627142"/>
      <w:bookmarkStart w:id="86" w:name="_Toc232627242"/>
      <w:r>
        <w:rPr>
          <w:rStyle w:val="SectionNumber"/>
        </w:rPr>
        <w:t>8.1</w:t>
      </w:r>
      <w:r w:rsidR="00DA7B82">
        <w:tab/>
      </w:r>
      <w:r>
        <w:t>Kluczowe ustalenia</w:t>
      </w:r>
      <w:r w:rsidR="00DA7B82">
        <w:t xml:space="preserve"> i wnioski końcowe</w:t>
      </w:r>
      <w:bookmarkStart w:id="87" w:name="ograniczenia-analizy"/>
      <w:bookmarkEnd w:id="84"/>
      <w:bookmarkEnd w:id="85"/>
      <w:bookmarkEnd w:id="86"/>
    </w:p>
    <w:p w14:paraId="09B64CA1" w14:textId="18B5241A" w:rsidR="00DA7B82" w:rsidRDefault="004B2CF2" w:rsidP="00DA7B82">
      <w:pPr>
        <w:pStyle w:val="Abstract"/>
        <w:rPr>
          <w:sz w:val="24"/>
          <w:szCs w:val="24"/>
        </w:rPr>
      </w:pPr>
      <w:r w:rsidRPr="00DA7B82">
        <w:rPr>
          <w:b/>
          <w:bCs/>
          <w:sz w:val="24"/>
          <w:szCs w:val="24"/>
        </w:rPr>
        <w:t>1. Struktura przestrzenna budownictwa</w:t>
      </w:r>
    </w:p>
    <w:p w14:paraId="549A6BB4" w14:textId="182B520D" w:rsidR="004B2CF2" w:rsidRPr="00DA7B82" w:rsidRDefault="004B2CF2" w:rsidP="00DA7B82">
      <w:pPr>
        <w:pStyle w:val="Abstract"/>
        <w:rPr>
          <w:sz w:val="24"/>
          <w:szCs w:val="24"/>
        </w:rPr>
      </w:pPr>
      <w:r w:rsidRPr="00DA7B82">
        <w:rPr>
          <w:sz w:val="24"/>
          <w:szCs w:val="24"/>
        </w:rPr>
        <w:t xml:space="preserve">Surowa liczba mieszkań oddawanych do użytkowania wykazuje istotną, ujemną autokorelację przestrzenną (średnie I </w:t>
      </w:r>
      <w:proofErr w:type="spellStart"/>
      <w:r w:rsidRPr="00DA7B82">
        <w:rPr>
          <w:sz w:val="24"/>
          <w:szCs w:val="24"/>
        </w:rPr>
        <w:t>Morana</w:t>
      </w:r>
      <w:proofErr w:type="spellEnd"/>
      <w:r w:rsidRPr="00DA7B82">
        <w:rPr>
          <w:sz w:val="24"/>
          <w:szCs w:val="24"/>
        </w:rPr>
        <w:t xml:space="preserve"> = −0,3136; istotną w 76% badanych lat). Oznacza to przestrzenne zróżnicowanie, a nie skupianie się jednostek podobnych</w:t>
      </w:r>
      <w:r w:rsidR="00DA7B82">
        <w:rPr>
          <w:sz w:val="24"/>
          <w:szCs w:val="24"/>
        </w:rPr>
        <w:t xml:space="preserve">, </w:t>
      </w:r>
      <w:r w:rsidRPr="00DA7B82">
        <w:rPr>
          <w:sz w:val="24"/>
          <w:szCs w:val="24"/>
        </w:rPr>
        <w:t>efekt zdominowany przez województwo mazowieckie, będące obserwacją odstającą typu High-</w:t>
      </w:r>
      <w:proofErr w:type="spellStart"/>
      <w:r w:rsidRPr="00DA7B82">
        <w:rPr>
          <w:sz w:val="24"/>
          <w:szCs w:val="24"/>
        </w:rPr>
        <w:t>Low</w:t>
      </w:r>
      <w:proofErr w:type="spellEnd"/>
      <w:r w:rsidRPr="00DA7B82">
        <w:rPr>
          <w:sz w:val="24"/>
          <w:szCs w:val="24"/>
        </w:rPr>
        <w:t xml:space="preserve"> (wysoka aktywność w otoczeniu regionów o niskiej aktywności). Analiza lokalna LISA nie zidentyfikowała żadnego istotnego skupiska (ani High-High, ani </w:t>
      </w:r>
      <w:proofErr w:type="spellStart"/>
      <w:r w:rsidRPr="00DA7B82">
        <w:rPr>
          <w:sz w:val="24"/>
          <w:szCs w:val="24"/>
        </w:rPr>
        <w:t>Low-Low</w:t>
      </w:r>
      <w:proofErr w:type="spellEnd"/>
      <w:r w:rsidRPr="00DA7B82">
        <w:rPr>
          <w:sz w:val="24"/>
          <w:szCs w:val="24"/>
        </w:rPr>
        <w:t>). Dopiero po uwzględnieniu zmiennych objaśniających i efektów stałych ujawnia się słaba, lecz istotna dodatnia zależność przestrzenna (ρ = 0,165 w modelu SAR; λ = 0,331 w SEM)</w:t>
      </w:r>
      <w:r w:rsidR="00DA7B82">
        <w:rPr>
          <w:sz w:val="24"/>
          <w:szCs w:val="24"/>
        </w:rPr>
        <w:t xml:space="preserve">, </w:t>
      </w:r>
      <w:r w:rsidRPr="00DA7B82">
        <w:rPr>
          <w:sz w:val="24"/>
          <w:szCs w:val="24"/>
        </w:rPr>
        <w:t>wynik ten należy interpretować ostrożnie, ponieważ autokorelacja reszt modelu OLS okazała się nieistotna.</w:t>
      </w:r>
    </w:p>
    <w:p w14:paraId="579E19DC" w14:textId="64D108B0" w:rsidR="00DA7B82" w:rsidRDefault="004B2CF2" w:rsidP="00DA7B82">
      <w:pPr>
        <w:pStyle w:val="Abstract"/>
        <w:rPr>
          <w:sz w:val="24"/>
          <w:szCs w:val="24"/>
        </w:rPr>
      </w:pPr>
      <w:r w:rsidRPr="004B2CF2">
        <w:rPr>
          <w:b/>
          <w:bCs/>
          <w:sz w:val="24"/>
          <w:szCs w:val="24"/>
        </w:rPr>
        <w:t>2. Istotne determinanty budownictwa</w:t>
      </w:r>
    </w:p>
    <w:p w14:paraId="4322ADF5" w14:textId="5E3A95EC" w:rsidR="004B2CF2" w:rsidRPr="004B2CF2" w:rsidRDefault="004B2CF2" w:rsidP="00DA7B82">
      <w:pPr>
        <w:pStyle w:val="Abstract"/>
        <w:rPr>
          <w:sz w:val="24"/>
          <w:szCs w:val="24"/>
        </w:rPr>
      </w:pPr>
      <w:r w:rsidRPr="004B2CF2">
        <w:rPr>
          <w:sz w:val="24"/>
          <w:szCs w:val="24"/>
        </w:rPr>
        <w:t>Najbardziej stabilnym i istotnym czynnikiem są nakłady inwestycyjne w sektorze prywatnym</w:t>
      </w:r>
      <w:r w:rsidR="00DA7B82">
        <w:rPr>
          <w:sz w:val="24"/>
          <w:szCs w:val="24"/>
        </w:rPr>
        <w:t xml:space="preserve">, </w:t>
      </w:r>
      <w:r w:rsidRPr="004B2CF2">
        <w:rPr>
          <w:sz w:val="24"/>
          <w:szCs w:val="24"/>
        </w:rPr>
        <w:t>ich dodatni wpływ potwierdza się we wszystkich modelach (wzrost o jednostkę zwiększa liczbę oddawanych mieszkań o ok. 1,2 w modelach FE/SAR/SEM). Drugim istotnym, lecz ujemnym czynnikiem jest wskaźnik urbanizacji: wbrew początkowemu oczekiwaniu (znak „+") jego wpływ w modelach panelowych jest silnie ujemny, co może odzwierciedlać nasycenie najbardziej zurbanizowanych województw i ograniczoną dostępność terenów pod nową zabudowę.</w:t>
      </w:r>
    </w:p>
    <w:p w14:paraId="753D180C" w14:textId="42207057" w:rsidR="00DA7B82" w:rsidRDefault="004B2CF2" w:rsidP="00DA7B82">
      <w:pPr>
        <w:pStyle w:val="Abstract"/>
        <w:rPr>
          <w:sz w:val="24"/>
          <w:szCs w:val="24"/>
        </w:rPr>
      </w:pPr>
      <w:r w:rsidRPr="004B2CF2">
        <w:rPr>
          <w:b/>
          <w:bCs/>
          <w:sz w:val="24"/>
          <w:szCs w:val="24"/>
        </w:rPr>
        <w:t>3. Czynniki nieistotne lub niestabilne</w:t>
      </w:r>
    </w:p>
    <w:p w14:paraId="53EEBDC0" w14:textId="3E7D70AE" w:rsidR="00DA7B82" w:rsidRDefault="004B2CF2" w:rsidP="00DA7B82">
      <w:pPr>
        <w:pStyle w:val="Abstract"/>
        <w:rPr>
          <w:sz w:val="24"/>
          <w:szCs w:val="24"/>
        </w:rPr>
      </w:pPr>
      <w:r w:rsidRPr="004B2CF2">
        <w:rPr>
          <w:sz w:val="24"/>
          <w:szCs w:val="24"/>
        </w:rPr>
        <w:t xml:space="preserve">Wbrew oczekiwaniom wynagrodzenia nie okazały się istotnym determinantem budownictwa w żadnym z modeli (znak najczęściej ujemny, p &gt; 0,05). Nieistotny pozostał także udział ludności w wieku 25–34 lat. Saldo migracji było silnie istotne jedynie w modelu </w:t>
      </w:r>
      <w:proofErr w:type="spellStart"/>
      <w:r w:rsidRPr="004B2CF2">
        <w:rPr>
          <w:sz w:val="24"/>
          <w:szCs w:val="24"/>
        </w:rPr>
        <w:t>pooled</w:t>
      </w:r>
      <w:proofErr w:type="spellEnd"/>
      <w:r w:rsidRPr="004B2CF2">
        <w:rPr>
          <w:sz w:val="24"/>
          <w:szCs w:val="24"/>
        </w:rPr>
        <w:t xml:space="preserve"> OLS, jednak jego efekt zanika po wprowadzeniu efektów stałych</w:t>
      </w:r>
      <w:r w:rsidR="00DA7B82">
        <w:rPr>
          <w:sz w:val="24"/>
          <w:szCs w:val="24"/>
        </w:rPr>
        <w:t>,</w:t>
      </w:r>
      <w:r w:rsidRPr="004B2CF2">
        <w:rPr>
          <w:sz w:val="24"/>
          <w:szCs w:val="24"/>
        </w:rPr>
        <w:t xml:space="preserve"> w OLS przejmowało ono część zróżnicowania międzywojewódzkiego, kontrolowanego później przez efekty indywidualne.</w:t>
      </w:r>
    </w:p>
    <w:p w14:paraId="57143EC1" w14:textId="40E76E8F" w:rsidR="00DA7B82" w:rsidRDefault="00DA7B82" w:rsidP="00DA7B82">
      <w:pPr>
        <w:pStyle w:val="Abstract"/>
        <w:rPr>
          <w:sz w:val="24"/>
          <w:szCs w:val="24"/>
        </w:rPr>
      </w:pPr>
      <w:r w:rsidRPr="00DA7B82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</w:t>
      </w:r>
      <w:r w:rsidR="004B2CF2" w:rsidRPr="004B2CF2">
        <w:rPr>
          <w:b/>
          <w:bCs/>
          <w:sz w:val="24"/>
          <w:szCs w:val="24"/>
        </w:rPr>
        <w:t>Weryfikacja hipotez</w:t>
      </w:r>
    </w:p>
    <w:p w14:paraId="3CFF786E" w14:textId="618740B7" w:rsidR="004B2CF2" w:rsidRPr="00DA7B82" w:rsidRDefault="004B2CF2" w:rsidP="00DA7B82">
      <w:pPr>
        <w:pStyle w:val="Abstract"/>
        <w:rPr>
          <w:sz w:val="24"/>
          <w:szCs w:val="24"/>
        </w:rPr>
      </w:pPr>
      <w:r w:rsidRPr="00DA7B82">
        <w:rPr>
          <w:sz w:val="24"/>
          <w:szCs w:val="24"/>
        </w:rPr>
        <w:t>Spośród pięciu hipotez pełne potwierdzenie znalazła jedynie H3 (dodatni wpływ nakładów inwestycyjnych). H4 (saldo migracji) potwierdza się tylko w modelu OLS i nie jest odporna na uwzględnienie efektów stałych. H1 (ludność 25–34) i H2 (wynagrodzenia) nie znalazły potwierdzenia. H5, zakładająca dodatnią autokorelację przestrzenną w postaci skupisk wokół metropolii, nie potwierdziła się w warstwie opisowej</w:t>
      </w:r>
      <w:r w:rsidR="003F1FF9">
        <w:rPr>
          <w:sz w:val="24"/>
          <w:szCs w:val="24"/>
        </w:rPr>
        <w:t xml:space="preserve"> </w:t>
      </w:r>
      <w:r w:rsidRPr="00DA7B82">
        <w:rPr>
          <w:sz w:val="24"/>
          <w:szCs w:val="24"/>
        </w:rPr>
        <w:t>autokorelacja surowej zmiennej jest ujemna, a słaba dodatnia zależność ujawnia się dopiero warunkowo, w modelach.</w:t>
      </w:r>
    </w:p>
    <w:p w14:paraId="4D1228F0" w14:textId="6F01B77E" w:rsidR="00DA7B82" w:rsidRDefault="00DA7B82" w:rsidP="00DA7B82">
      <w:pPr>
        <w:pStyle w:val="Abstract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5. </w:t>
      </w:r>
      <w:r w:rsidR="004B2CF2" w:rsidRPr="004B2CF2">
        <w:rPr>
          <w:b/>
          <w:bCs/>
          <w:sz w:val="24"/>
          <w:szCs w:val="24"/>
        </w:rPr>
        <w:t>Wybór modelu</w:t>
      </w:r>
      <w:r w:rsidR="004B2CF2" w:rsidRPr="004B2CF2">
        <w:rPr>
          <w:sz w:val="24"/>
          <w:szCs w:val="24"/>
        </w:rPr>
        <w:t xml:space="preserve"> </w:t>
      </w:r>
    </w:p>
    <w:p w14:paraId="2FBBF332" w14:textId="51FC09D6" w:rsidR="004B2CF2" w:rsidRPr="004B2CF2" w:rsidRDefault="004B2CF2" w:rsidP="00DA7B82">
      <w:pPr>
        <w:pStyle w:val="Abstract"/>
        <w:rPr>
          <w:sz w:val="24"/>
          <w:szCs w:val="24"/>
        </w:rPr>
      </w:pPr>
      <w:r w:rsidRPr="004B2CF2">
        <w:rPr>
          <w:sz w:val="24"/>
          <w:szCs w:val="24"/>
        </w:rPr>
        <w:t>Najlepiej dopasowanym modelem (najniższe AIC = 6040,4) jest SAR panel FE, łączący kontrolę nieobserwowanych, stałych cech województw z przestrzennym oddziaływaniem. Potwierdza to, że poprawna identyfikacja determinant budownictwa wymaga jednoczesnego uwzględnienia efektów indywidualnych i struktury przestrzennej; ich pominięcie (jak w OLS) prowadzi do obciążonych lub nieefektywnych estymatorów.</w:t>
      </w:r>
    </w:p>
    <w:p w14:paraId="617CF58D" w14:textId="728FE174" w:rsidR="006879B9" w:rsidRDefault="00050C95">
      <w:pPr>
        <w:pStyle w:val="Nagwek2"/>
      </w:pPr>
      <w:bookmarkStart w:id="88" w:name="_Toc232627143"/>
      <w:bookmarkStart w:id="89" w:name="_Toc232627243"/>
      <w:r>
        <w:rPr>
          <w:rStyle w:val="SectionNumber"/>
        </w:rPr>
        <w:t>8.</w:t>
      </w:r>
      <w:r w:rsidR="004B2CF2">
        <w:rPr>
          <w:rStyle w:val="SectionNumber"/>
        </w:rPr>
        <w:t>2</w:t>
      </w:r>
      <w:r w:rsidR="00DA7B82">
        <w:t xml:space="preserve"> </w:t>
      </w:r>
      <w:r w:rsidR="00DA7B82">
        <w:tab/>
      </w:r>
      <w:r>
        <w:t>Ograniczenia analizy</w:t>
      </w:r>
      <w:bookmarkEnd w:id="88"/>
      <w:bookmarkEnd w:id="89"/>
    </w:p>
    <w:p w14:paraId="11E516E4" w14:textId="77777777" w:rsidR="006879B9" w:rsidRDefault="00050C95">
      <w:pPr>
        <w:pStyle w:val="Compact"/>
        <w:numPr>
          <w:ilvl w:val="0"/>
          <w:numId w:val="7"/>
        </w:numPr>
      </w:pPr>
      <w:r>
        <w:t>Mała liczba jednostek przestrzennych (N = 16) ogranicza precyzję estymacji MLE w modelach przestrzennych.</w:t>
      </w:r>
    </w:p>
    <w:p w14:paraId="1CABD530" w14:textId="77777777" w:rsidR="006879B9" w:rsidRDefault="00050C95">
      <w:pPr>
        <w:pStyle w:val="Compact"/>
        <w:numPr>
          <w:ilvl w:val="0"/>
          <w:numId w:val="7"/>
        </w:numPr>
      </w:pPr>
      <w:r>
        <w:t>Model nie uwzględnia cen nieruchomości (brak dostępnych danych na poziomie województw w długim horyzoncie), które mogą być zmienną endogeniczną.</w:t>
      </w:r>
    </w:p>
    <w:p w14:paraId="071E5A4C" w14:textId="77777777" w:rsidR="006879B9" w:rsidRDefault="00050C95">
      <w:pPr>
        <w:pStyle w:val="Compact"/>
        <w:numPr>
          <w:ilvl w:val="0"/>
          <w:numId w:val="7"/>
        </w:numPr>
      </w:pPr>
      <w:r>
        <w:t>Saldo migracji jest mierzone brutto — idealnie należałoby rozróżnić migracje wewnętrzne i zewnętrzne.</w:t>
      </w:r>
    </w:p>
    <w:p w14:paraId="327AD081" w14:textId="77777777" w:rsidR="006879B9" w:rsidRDefault="00050C95">
      <w:pPr>
        <w:pStyle w:val="Compact"/>
        <w:numPr>
          <w:ilvl w:val="0"/>
          <w:numId w:val="7"/>
        </w:numPr>
      </w:pPr>
      <w:r>
        <w:t>Nakłady inwestycyjne w sektorze prywatnym obejmują szeroki zakres inwestycji, nie tylko budownictwo mieszkaniowe.</w:t>
      </w:r>
    </w:p>
    <w:p w14:paraId="2C9DB5DD" w14:textId="77777777" w:rsidR="006879B9" w:rsidRDefault="00050C95">
      <w:pPr>
        <w:pStyle w:val="Compact"/>
        <w:numPr>
          <w:ilvl w:val="0"/>
          <w:numId w:val="7"/>
        </w:numPr>
      </w:pPr>
      <w:r>
        <w:t>Test Morana dla reszt obliczany jako uśrednienie po latach (przybliżenie dla danych panelowych).</w:t>
      </w:r>
    </w:p>
    <w:p w14:paraId="3F6A0917" w14:textId="6A566BF4" w:rsidR="00DA7B82" w:rsidRPr="00DA7B82" w:rsidRDefault="00DA7B82" w:rsidP="00DA7B82">
      <w:pPr>
        <w:pStyle w:val="Nagwek2"/>
      </w:pPr>
      <w:bookmarkStart w:id="90" w:name="_Toc232627144"/>
      <w:bookmarkStart w:id="91" w:name="_Toc232627244"/>
      <w:r w:rsidRPr="00DA7B82">
        <w:t>8.</w:t>
      </w:r>
      <w:r>
        <w:t>3</w:t>
      </w:r>
      <w:r>
        <w:tab/>
      </w:r>
      <w:r w:rsidRPr="00DA7B82">
        <w:t>Rekomendacje</w:t>
      </w:r>
      <w:bookmarkEnd w:id="90"/>
      <w:bookmarkEnd w:id="91"/>
    </w:p>
    <w:p w14:paraId="01C199A4" w14:textId="77777777" w:rsidR="00DA7B82" w:rsidRPr="00DA7B82" w:rsidRDefault="00DA7B82" w:rsidP="00DA7B82">
      <w:pPr>
        <w:pStyle w:val="Compact"/>
        <w:rPr>
          <w:lang w:val="pl-PL"/>
        </w:rPr>
      </w:pPr>
      <w:r w:rsidRPr="00DA7B82">
        <w:rPr>
          <w:lang w:val="pl-PL"/>
        </w:rPr>
        <w:t>Na podstawie powyższych ustaleń formułujemy następujące wnioski praktyczne:</w:t>
      </w:r>
    </w:p>
    <w:p w14:paraId="7B2FE0B2" w14:textId="77777777" w:rsidR="00DA7B82" w:rsidRPr="00DA7B82" w:rsidRDefault="00DA7B82" w:rsidP="00DA7B82">
      <w:pPr>
        <w:pStyle w:val="Compact"/>
        <w:numPr>
          <w:ilvl w:val="0"/>
          <w:numId w:val="8"/>
        </w:numPr>
        <w:rPr>
          <w:lang w:val="pl-PL"/>
        </w:rPr>
      </w:pPr>
      <w:r w:rsidRPr="00DA7B82">
        <w:rPr>
          <w:lang w:val="pl-PL"/>
        </w:rPr>
        <w:t xml:space="preserve">Polityka mieszkaniowa powinna być prowadzona na poziomie </w:t>
      </w:r>
      <w:r w:rsidRPr="00DA7B82">
        <w:rPr>
          <w:b/>
          <w:bCs/>
          <w:lang w:val="pl-PL"/>
        </w:rPr>
        <w:t>funkcjonalnych obszarów metropolitalnych</w:t>
      </w:r>
      <w:r w:rsidRPr="00DA7B82">
        <w:rPr>
          <w:lang w:val="pl-PL"/>
        </w:rPr>
        <w:t>, a nie wyłącznie w granicach administracyjnych województw — dominacja pojedynczych aglomeracji (zwłaszcza mazowieckiej) nad otoczeniem pokazuje, że rynek mieszkaniowy przenika granice jednostek.</w:t>
      </w:r>
    </w:p>
    <w:p w14:paraId="76CC0EBD" w14:textId="77777777" w:rsidR="00DA7B82" w:rsidRPr="00DA7B82" w:rsidRDefault="00DA7B82" w:rsidP="00DA7B82">
      <w:pPr>
        <w:pStyle w:val="Compact"/>
        <w:numPr>
          <w:ilvl w:val="0"/>
          <w:numId w:val="8"/>
        </w:numPr>
        <w:rPr>
          <w:lang w:val="pl-PL"/>
        </w:rPr>
      </w:pPr>
      <w:r w:rsidRPr="00DA7B82">
        <w:rPr>
          <w:lang w:val="pl-PL"/>
        </w:rPr>
        <w:t xml:space="preserve">Najsilniejszym potwierdzonym empirycznie kanałem oddziaływania są </w:t>
      </w:r>
      <w:r w:rsidRPr="00DA7B82">
        <w:rPr>
          <w:b/>
          <w:bCs/>
          <w:lang w:val="pl-PL"/>
        </w:rPr>
        <w:t>nakłady inwestycyjne sektora prywatnego</w:t>
      </w:r>
      <w:r w:rsidRPr="00DA7B82">
        <w:rPr>
          <w:lang w:val="pl-PL"/>
        </w:rPr>
        <w:t xml:space="preserve"> — instrumenty wspierające inwestycje deweloperskie (dostępność gruntów, uproszczenia proceduralne) mają największe przełożenie na liczbę oddawanych mieszkań.</w:t>
      </w:r>
    </w:p>
    <w:p w14:paraId="0D5E662B" w14:textId="77777777" w:rsidR="00DA7B82" w:rsidRPr="00DA7B82" w:rsidRDefault="00DA7B82" w:rsidP="00DA7B82">
      <w:pPr>
        <w:pStyle w:val="Compact"/>
        <w:numPr>
          <w:ilvl w:val="0"/>
          <w:numId w:val="8"/>
        </w:numPr>
        <w:rPr>
          <w:lang w:val="pl-PL"/>
        </w:rPr>
      </w:pPr>
      <w:r w:rsidRPr="00DA7B82">
        <w:rPr>
          <w:lang w:val="pl-PL"/>
        </w:rPr>
        <w:t xml:space="preserve">W regionach o </w:t>
      </w:r>
      <w:r w:rsidRPr="00DA7B82">
        <w:rPr>
          <w:b/>
          <w:bCs/>
          <w:lang w:val="pl-PL"/>
        </w:rPr>
        <w:t>trwale niższej aktywności budowlanej</w:t>
      </w:r>
      <w:r w:rsidRPr="00DA7B82">
        <w:rPr>
          <w:lang w:val="pl-PL"/>
        </w:rPr>
        <w:t xml:space="preserve"> (głównie wschodniej Polski) same działania podażowe będą miały ograniczony skutek bez równoległej polityki zatrzymywania i przyciągania ludności w wieku produkcyjnym; należy przy tym zaznaczyć, że analiza nie wykazała statystycznie istotnych „zimnych plam", lecz ogólny gradient niższej aktywności.</w:t>
      </w:r>
    </w:p>
    <w:p w14:paraId="20B55917" w14:textId="512378F9" w:rsidR="00DA7B82" w:rsidRPr="00DA7B82" w:rsidRDefault="00DA7B82" w:rsidP="00DA7B82">
      <w:pPr>
        <w:pStyle w:val="Compact"/>
        <w:numPr>
          <w:ilvl w:val="0"/>
          <w:numId w:val="8"/>
        </w:numPr>
        <w:rPr>
          <w:lang w:val="pl-PL"/>
        </w:rPr>
      </w:pPr>
      <w:r w:rsidRPr="00DA7B82">
        <w:rPr>
          <w:lang w:val="pl-PL"/>
        </w:rPr>
        <w:t>Instrumenty ogólnokrajowe (polityka kredytowa, stopy procentowe) oddziałują nierównomiernie w przestrzeni — ich efekt jest silniejszy tam, gdzie lokalny rynek inwestycyjny jest już aktywny.</w:t>
      </w:r>
    </w:p>
    <w:p w14:paraId="3956A053" w14:textId="6EEE7962" w:rsidR="002C338F" w:rsidRDefault="00000000">
      <w:r>
        <w:pict w14:anchorId="7A6C0C7E">
          <v:rect id="_x0000_i1732" style="width:0;height:1.5pt" o:hralign="center" o:hrstd="t" o:hr="t"/>
        </w:pict>
      </w:r>
    </w:p>
    <w:p w14:paraId="344C51E4" w14:textId="7D3FFFE0" w:rsidR="006879B9" w:rsidRDefault="002C338F">
      <w:r>
        <w:br w:type="page"/>
      </w:r>
    </w:p>
    <w:p w14:paraId="4B515D1A" w14:textId="77777777" w:rsidR="006879B9" w:rsidRPr="007D1570" w:rsidRDefault="00050C95" w:rsidP="007D1570">
      <w:pPr>
        <w:pStyle w:val="Nagwek1"/>
      </w:pPr>
      <w:bookmarkStart w:id="92" w:name="bibliografia"/>
      <w:bookmarkStart w:id="93" w:name="_Toc232627145"/>
      <w:bookmarkStart w:id="94" w:name="_Toc232627245"/>
      <w:bookmarkEnd w:id="81"/>
      <w:bookmarkEnd w:id="87"/>
      <w:r w:rsidRPr="007D1570">
        <w:rPr>
          <w:rStyle w:val="SectionNumber"/>
        </w:rPr>
        <w:lastRenderedPageBreak/>
        <w:t>9</w:t>
      </w:r>
      <w:r w:rsidRPr="007D1570">
        <w:tab/>
        <w:t>Bibliografia</w:t>
      </w:r>
      <w:bookmarkEnd w:id="93"/>
      <w:bookmarkEnd w:id="94"/>
    </w:p>
    <w:p w14:paraId="0734261D" w14:textId="77777777" w:rsidR="006879B9" w:rsidRPr="00050C95" w:rsidRDefault="00050C95">
      <w:pPr>
        <w:pStyle w:val="Tekstpodstawowy"/>
      </w:pPr>
      <w:proofErr w:type="spellStart"/>
      <w:r w:rsidRPr="00050C95">
        <w:t>Anselin</w:t>
      </w:r>
      <w:proofErr w:type="spellEnd"/>
      <w:r w:rsidRPr="00050C95">
        <w:t xml:space="preserve">, L., &amp; Lozano-Gracia, N. (2008). </w:t>
      </w:r>
      <w:r w:rsidRPr="002D651D">
        <w:rPr>
          <w:lang w:val="en-US"/>
        </w:rPr>
        <w:t xml:space="preserve">Errors in variables and spatial effects in hedonic house price models of ambient air quality. </w:t>
      </w:r>
      <w:proofErr w:type="spellStart"/>
      <w:r w:rsidRPr="00050C95">
        <w:rPr>
          <w:i/>
          <w:iCs/>
        </w:rPr>
        <w:t>Empirical</w:t>
      </w:r>
      <w:proofErr w:type="spellEnd"/>
      <w:r w:rsidRPr="00050C95">
        <w:rPr>
          <w:i/>
          <w:iCs/>
        </w:rPr>
        <w:t xml:space="preserve"> </w:t>
      </w:r>
      <w:proofErr w:type="spellStart"/>
      <w:r w:rsidRPr="00050C95">
        <w:rPr>
          <w:i/>
          <w:iCs/>
        </w:rPr>
        <w:t>Economics</w:t>
      </w:r>
      <w:proofErr w:type="spellEnd"/>
      <w:r w:rsidRPr="00050C95">
        <w:t>, 34(1), 5–34.</w:t>
      </w:r>
    </w:p>
    <w:p w14:paraId="7A205598" w14:textId="77777777" w:rsidR="006879B9" w:rsidRPr="00050C95" w:rsidRDefault="00050C95">
      <w:pPr>
        <w:pStyle w:val="Tekstpodstawowy"/>
      </w:pPr>
      <w:r w:rsidRPr="00050C95">
        <w:t xml:space="preserve">Cesarski, M. (2013). </w:t>
      </w:r>
      <w:r w:rsidRPr="00050C95">
        <w:rPr>
          <w:i/>
          <w:iCs/>
        </w:rPr>
        <w:t>Mieszkalnictwo i osadnictwo w Polsce</w:t>
      </w:r>
      <w:r w:rsidRPr="00050C95">
        <w:t>. Oficyna Wydawnicza SGH.</w:t>
      </w:r>
    </w:p>
    <w:p w14:paraId="4580A952" w14:textId="77777777" w:rsidR="006879B9" w:rsidRPr="002D651D" w:rsidRDefault="00050C95">
      <w:pPr>
        <w:pStyle w:val="Tekstpodstawowy"/>
        <w:rPr>
          <w:lang w:val="en-US"/>
        </w:rPr>
      </w:pPr>
      <w:r w:rsidRPr="002D651D">
        <w:rPr>
          <w:lang w:val="en-US"/>
        </w:rPr>
        <w:t xml:space="preserve">DiPasquale, D., &amp; Wheaton, W. C. (1994). Housing market dynamics and the future of housing prices. </w:t>
      </w:r>
      <w:r w:rsidRPr="002D651D">
        <w:rPr>
          <w:i/>
          <w:iCs/>
          <w:lang w:val="en-US"/>
        </w:rPr>
        <w:t>Journal of Urban Economics</w:t>
      </w:r>
      <w:r w:rsidRPr="002D651D">
        <w:rPr>
          <w:lang w:val="en-US"/>
        </w:rPr>
        <w:t>, 35(1), 1–27.</w:t>
      </w:r>
    </w:p>
    <w:p w14:paraId="2C23122F" w14:textId="77777777" w:rsidR="006879B9" w:rsidRPr="00050C95" w:rsidRDefault="00050C95">
      <w:pPr>
        <w:pStyle w:val="Tekstpodstawowy"/>
      </w:pPr>
      <w:proofErr w:type="spellStart"/>
      <w:r w:rsidRPr="002D651D">
        <w:rPr>
          <w:lang w:val="en-US"/>
        </w:rPr>
        <w:t>Glaeser</w:t>
      </w:r>
      <w:proofErr w:type="spellEnd"/>
      <w:r w:rsidRPr="002D651D">
        <w:rPr>
          <w:lang w:val="en-US"/>
        </w:rPr>
        <w:t xml:space="preserve">, E. L., </w:t>
      </w:r>
      <w:proofErr w:type="spellStart"/>
      <w:r w:rsidRPr="002D651D">
        <w:rPr>
          <w:lang w:val="en-US"/>
        </w:rPr>
        <w:t>Gyourko</w:t>
      </w:r>
      <w:proofErr w:type="spellEnd"/>
      <w:r w:rsidRPr="002D651D">
        <w:rPr>
          <w:lang w:val="en-US"/>
        </w:rPr>
        <w:t xml:space="preserve">, J., &amp; Saks, R. (2006). Urban growth and housing supply. </w:t>
      </w:r>
      <w:proofErr w:type="spellStart"/>
      <w:r w:rsidRPr="00050C95">
        <w:rPr>
          <w:i/>
          <w:iCs/>
        </w:rPr>
        <w:t>Journal</w:t>
      </w:r>
      <w:proofErr w:type="spellEnd"/>
      <w:r w:rsidRPr="00050C95">
        <w:rPr>
          <w:i/>
          <w:iCs/>
        </w:rPr>
        <w:t xml:space="preserve"> of </w:t>
      </w:r>
      <w:proofErr w:type="spellStart"/>
      <w:r w:rsidRPr="00050C95">
        <w:rPr>
          <w:i/>
          <w:iCs/>
        </w:rPr>
        <w:t>Economic</w:t>
      </w:r>
      <w:proofErr w:type="spellEnd"/>
      <w:r w:rsidRPr="00050C95">
        <w:rPr>
          <w:i/>
          <w:iCs/>
        </w:rPr>
        <w:t xml:space="preserve"> </w:t>
      </w:r>
      <w:proofErr w:type="spellStart"/>
      <w:r w:rsidRPr="00050C95">
        <w:rPr>
          <w:i/>
          <w:iCs/>
        </w:rPr>
        <w:t>Geography</w:t>
      </w:r>
      <w:proofErr w:type="spellEnd"/>
      <w:r w:rsidRPr="00050C95">
        <w:t>, 6(1), 71–89.</w:t>
      </w:r>
    </w:p>
    <w:p w14:paraId="5E87FF04" w14:textId="6E7D2207" w:rsidR="006879B9" w:rsidRPr="002D651D" w:rsidRDefault="00050C95">
      <w:pPr>
        <w:pStyle w:val="Tekstpodstawowy"/>
        <w:rPr>
          <w:lang w:val="en-US"/>
        </w:rPr>
      </w:pPr>
      <w:r w:rsidRPr="00050C95">
        <w:t xml:space="preserve">Łaszek, J. (2004). </w:t>
      </w:r>
      <w:r w:rsidRPr="00050C95">
        <w:rPr>
          <w:i/>
          <w:iCs/>
        </w:rPr>
        <w:t>Rynek nieruchomości mieszkaniowych i jego specyfika jako rynku dóbr trwałego użytku</w:t>
      </w:r>
      <w:r w:rsidRPr="00050C95">
        <w:t xml:space="preserve">. </w:t>
      </w:r>
      <w:proofErr w:type="spellStart"/>
      <w:r w:rsidRPr="002D651D">
        <w:rPr>
          <w:lang w:val="en-US"/>
        </w:rPr>
        <w:t>Materiały</w:t>
      </w:r>
      <w:proofErr w:type="spellEnd"/>
      <w:r w:rsidRPr="002D651D">
        <w:rPr>
          <w:lang w:val="en-US"/>
        </w:rPr>
        <w:t xml:space="preserve"> </w:t>
      </w:r>
      <w:proofErr w:type="spellStart"/>
      <w:r w:rsidRPr="002D651D">
        <w:rPr>
          <w:lang w:val="en-US"/>
        </w:rPr>
        <w:t>i</w:t>
      </w:r>
      <w:proofErr w:type="spellEnd"/>
      <w:r w:rsidRPr="002D651D">
        <w:rPr>
          <w:lang w:val="en-US"/>
        </w:rPr>
        <w:t xml:space="preserve"> Studia NBP, nr 180.</w:t>
      </w:r>
    </w:p>
    <w:p w14:paraId="2FF0ABA9" w14:textId="77777777" w:rsidR="00050C95" w:rsidRPr="002D651D" w:rsidRDefault="00050C95" w:rsidP="00050C95">
      <w:pPr>
        <w:pStyle w:val="Tekstpodstawowy"/>
        <w:rPr>
          <w:lang w:val="en-US"/>
        </w:rPr>
      </w:pPr>
      <w:r w:rsidRPr="002D651D">
        <w:rPr>
          <w:lang w:val="en-US"/>
        </w:rPr>
        <w:t>Mills, E. S. (1967). An aggregative model of resource allocation in a metropolitan area. The American Economic Review, 57(2), 197–210.</w:t>
      </w:r>
    </w:p>
    <w:p w14:paraId="3EF63335" w14:textId="77777777" w:rsidR="00050C95" w:rsidRPr="00050C95" w:rsidRDefault="00050C95" w:rsidP="00050C95">
      <w:pPr>
        <w:pStyle w:val="Tekstpodstawowy"/>
      </w:pPr>
      <w:proofErr w:type="spellStart"/>
      <w:r w:rsidRPr="002D651D">
        <w:rPr>
          <w:lang w:val="en-US"/>
        </w:rPr>
        <w:t>Muth</w:t>
      </w:r>
      <w:proofErr w:type="spellEnd"/>
      <w:r w:rsidRPr="002D651D">
        <w:rPr>
          <w:lang w:val="en-US"/>
        </w:rPr>
        <w:t xml:space="preserve">, R. F. (1960). The demand for non-farm housing. W: A. C. </w:t>
      </w:r>
      <w:proofErr w:type="spellStart"/>
      <w:r w:rsidRPr="002D651D">
        <w:rPr>
          <w:lang w:val="en-US"/>
        </w:rPr>
        <w:t>Harberger</w:t>
      </w:r>
      <w:proofErr w:type="spellEnd"/>
      <w:r w:rsidRPr="002D651D">
        <w:rPr>
          <w:lang w:val="en-US"/>
        </w:rPr>
        <w:t xml:space="preserve"> (red.), The Demand for Durable Goods (s. 29–96). </w:t>
      </w:r>
      <w:r w:rsidRPr="00050C95">
        <w:t>University of Chicago Press.</w:t>
      </w:r>
    </w:p>
    <w:p w14:paraId="518F5CA1" w14:textId="77777777" w:rsidR="00050C95" w:rsidRPr="00195E30" w:rsidRDefault="00050C95">
      <w:pPr>
        <w:pStyle w:val="Tekstpodstawowy"/>
        <w:rPr>
          <w:color w:val="FF0000"/>
        </w:rPr>
      </w:pPr>
    </w:p>
    <w:p w14:paraId="5089DC3C" w14:textId="77777777" w:rsidR="006879B9" w:rsidRDefault="00000000">
      <w:r>
        <w:pict w14:anchorId="1E283716">
          <v:rect id="_x0000_i1733" style="width:0;height:1.5pt" o:hralign="center" o:hrstd="t" o:hr="t"/>
        </w:pict>
      </w:r>
    </w:p>
    <w:bookmarkEnd w:id="92"/>
    <w:p w14:paraId="53D2C8A8" w14:textId="3FC140B8" w:rsidR="006879B9" w:rsidRDefault="006879B9">
      <w:pPr>
        <w:pStyle w:val="FirstParagraph"/>
      </w:pPr>
    </w:p>
    <w:sectPr w:rsidR="006879B9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11E9A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AC6B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805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4AF4C2D"/>
    <w:multiLevelType w:val="multilevel"/>
    <w:tmpl w:val="5BE2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164892">
    <w:abstractNumId w:val="0"/>
  </w:num>
  <w:num w:numId="2" w16cid:durableId="1851093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3040613">
    <w:abstractNumId w:val="1"/>
  </w:num>
  <w:num w:numId="4" w16cid:durableId="27803916">
    <w:abstractNumId w:val="1"/>
  </w:num>
  <w:num w:numId="5" w16cid:durableId="1389836221">
    <w:abstractNumId w:val="1"/>
  </w:num>
  <w:num w:numId="6" w16cid:durableId="1114792010">
    <w:abstractNumId w:val="1"/>
  </w:num>
  <w:num w:numId="7" w16cid:durableId="159858450">
    <w:abstractNumId w:val="1"/>
  </w:num>
  <w:num w:numId="8" w16cid:durableId="761990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B9"/>
    <w:rsid w:val="0002679C"/>
    <w:rsid w:val="00047B09"/>
    <w:rsid w:val="00050C95"/>
    <w:rsid w:val="000C34ED"/>
    <w:rsid w:val="00195E30"/>
    <w:rsid w:val="002C338F"/>
    <w:rsid w:val="002D651D"/>
    <w:rsid w:val="003F1FF9"/>
    <w:rsid w:val="004B2CF2"/>
    <w:rsid w:val="00531F2B"/>
    <w:rsid w:val="005D699E"/>
    <w:rsid w:val="006879B9"/>
    <w:rsid w:val="007D1570"/>
    <w:rsid w:val="007F7981"/>
    <w:rsid w:val="00AC6E86"/>
    <w:rsid w:val="00AF1386"/>
    <w:rsid w:val="00BC760E"/>
    <w:rsid w:val="00D14804"/>
    <w:rsid w:val="00DA7B82"/>
    <w:rsid w:val="00F2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99A18"/>
  <w15:docId w15:val="{6B0A9C9E-788F-490D-B7B2-7188C4BD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uiPriority w:val="99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Spistreci1">
    <w:name w:val="toc 1"/>
    <w:basedOn w:val="Normalny"/>
    <w:next w:val="Normalny"/>
    <w:autoRedefine/>
    <w:uiPriority w:val="39"/>
    <w:unhideWhenUsed/>
    <w:rsid w:val="00D1480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95E30"/>
    <w:pPr>
      <w:tabs>
        <w:tab w:val="left" w:pos="880"/>
        <w:tab w:val="right" w:leader="dot" w:pos="9396"/>
      </w:tabs>
      <w:spacing w:after="100"/>
      <w:ind w:left="240"/>
    </w:pPr>
    <w:rPr>
      <w:noProof/>
      <w:color w:val="FF0000"/>
    </w:rPr>
  </w:style>
  <w:style w:type="paragraph" w:styleId="Spistreci3">
    <w:name w:val="toc 3"/>
    <w:basedOn w:val="Normalny"/>
    <w:next w:val="Normalny"/>
    <w:autoRedefine/>
    <w:uiPriority w:val="39"/>
    <w:unhideWhenUsed/>
    <w:rsid w:val="00D14804"/>
    <w:pPr>
      <w:spacing w:after="100"/>
      <w:ind w:left="480"/>
    </w:pPr>
  </w:style>
  <w:style w:type="paragraph" w:styleId="NormalnyWeb">
    <w:name w:val="Normal (Web)"/>
    <w:basedOn w:val="Normalny"/>
    <w:uiPriority w:val="99"/>
    <w:semiHidden/>
    <w:unhideWhenUsed/>
    <w:rsid w:val="00050C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20</Pages>
  <Words>3879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Przestrzenne determinanty budownictwa mieszkaniowego w województwach Polski</vt:lpstr>
    </vt:vector>
  </TitlesOfParts>
  <Company/>
  <LinksUpToDate>false</LinksUpToDate>
  <CharactersWithSpaces>27102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Przestrzenne determinanty budownictwa mieszkaniowego w województwach Polski</dc:title>
  <dc:creator>Pawel Cyrocki</dc:creator>
  <cp:keywords/>
  <cp:lastModifiedBy>Pawel Cyrocki</cp:lastModifiedBy>
  <cp:revision>6</cp:revision>
  <dcterms:created xsi:type="dcterms:W3CDTF">2026-06-17T19:48:00Z</dcterms:created>
  <dcterms:modified xsi:type="dcterms:W3CDTF">2026-06-17T20:37:00Z</dcterms:modified>
  <dc:language>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maj 2026</vt:lpwstr>
  </property>
  <property fmtid="{D5CDD505-2E9C-101B-9397-08002B2CF9AE}" pid="3" name="output">
    <vt:lpwstr/>
  </property>
  <property fmtid="{D5CDD505-2E9C-101B-9397-08002B2CF9AE}" pid="4" name="subtitle">
    <vt:lpwstr>Projekt zespołowy — Ekonometria Przestrzenna</vt:lpwstr>
  </property>
</Properties>
</file>