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12239"/>
          <w:sz w:val="22"/>
        </w:rPr>
        <w:t>FSMP SOLUCIONES DE CAPITAL, S.A. DE C.V., SOFOM, E.N.R.</w:t>
      </w:r>
    </w:p>
    <w:p>
      <w:pPr>
        <w:jc w:val="center"/>
      </w:pPr>
      <w:r>
        <w:rPr>
          <w:color w:val="555555"/>
          <w:sz w:val="18"/>
        </w:rPr>
        <w:t>Marca comercial: Inyecta</w:t>
      </w:r>
    </w:p>
    <w:p/>
    <w:p>
      <w:pPr>
        <w:jc w:val="center"/>
      </w:pPr>
      <w:r>
        <w:rPr>
          <w:b/>
          <w:color w:val="184892"/>
          <w:sz w:val="36"/>
        </w:rPr>
        <w:t>Flujo Completo de IVA del Sistema de Arrendamiento</w:t>
      </w:r>
    </w:p>
    <w:p>
      <w:pPr>
        <w:jc w:val="center"/>
      </w:pPr>
      <w:r>
        <w:rPr>
          <w:color w:val="555555"/>
          <w:sz w:val="22"/>
        </w:rPr>
        <w:t>Documento de referencia para revisión con contadores</w:t>
      </w:r>
    </w:p>
    <w:p>
      <w:pPr>
        <w:jc w:val="center"/>
      </w:pPr>
      <w:r>
        <w:rPr>
          <w:color w:val="555555"/>
          <w:sz w:val="18"/>
        </w:rPr>
        <w:t>Fecha: 28 de junio de 2026   ·   Confidencial / uso interno</w:t>
      </w:r>
    </w:p>
    <w:p>
      <w:pPr>
        <w:jc w:val="center"/>
      </w:pPr>
      <w:r>
        <w:rPr>
          <w:i/>
          <w:color w:val="555555"/>
          <w:sz w:val="17"/>
        </w:rPr>
        <w:t>Generado desde el sistema. Toda regla proviene del código y de CLAUDE.md (fuente de verdad); sin criterio fiscal externo. Revisar y marcar lo que requiera corrección.</w:t>
      </w:r>
    </w:p>
    <w:p>
      <w:r>
        <w:br w:type="page"/>
      </w:r>
    </w:p>
    <w:p>
      <w:pPr>
        <w:spacing w:before="240" w:after="80"/>
      </w:pPr>
      <w:r>
        <w:rPr>
          <w:b/>
          <w:color w:val="184892"/>
          <w:sz w:val="30"/>
        </w:rPr>
        <w:t>Flujo Completo de IVA — Sistema Inyecta Arrendamiento (SOFOM)</w:t>
      </w:r>
    </w:p>
    <w:p>
      <w:pPr>
        <w:spacing w:before="160" w:after="80"/>
      </w:pPr>
      <w:r>
        <w:rPr>
          <w:b/>
          <w:color w:val="112239"/>
          <w:sz w:val="22"/>
        </w:rPr>
        <w:t>Documento de referencia para Contadores</w:t>
      </w:r>
    </w:p>
    <w:p>
      <w:r>
        <w:rPr>
          <w:b/>
        </w:rPr>
        <w:t>Productos cubiertos:</w:t>
      </w:r>
      <w:r>
        <w:t xml:space="preserve"> Arrendamiento Puro (AP) y Arrendamiento Financiero (AF)</w:t>
      </w:r>
    </w:p>
    <w:p>
      <w:r>
        <w:rPr>
          <w:b/>
        </w:rPr>
        <w:t>Tasa única en todo el sistema:</w:t>
      </w:r>
      <w:r>
        <w:t xml:space="preserve"> 16% (constante literal </w:t>
      </w:r>
      <w:r>
        <w:rPr>
          <w:rFonts w:ascii="Consolas" w:hAnsi="Consolas"/>
          <w:color w:val="333333"/>
          <w:sz w:val="19"/>
        </w:rPr>
        <w:t>0.16</w:t>
      </w:r>
      <w:r>
        <w:t xml:space="preserve"> en todo el código)</w:t>
      </w:r>
    </w:p>
    <w:p>
      <w:pPr>
        <w:spacing w:before="40" w:after="40"/>
        <w:ind w:left="360"/>
      </w:pPr>
      <w:r>
        <w:rPr>
          <w:b/>
          <w:color w:val="664400"/>
          <w:sz w:val="19"/>
        </w:rPr>
        <w:t>Nota de alcance:</w:t>
      </w:r>
      <w:r>
        <w:rPr>
          <w:color w:val="664400"/>
          <w:sz w:val="19"/>
        </w:rPr>
        <w:t xml:space="preserve"> Toda regla, fórmula y referencia de este documento proviene de la evidencia extraída del código y de </w:t>
      </w:r>
      <w:r>
        <w:rPr>
          <w:rFonts w:ascii="Consolas" w:hAnsi="Consolas"/>
          <w:color w:val="664400"/>
          <w:sz w:val="19"/>
        </w:rPr>
        <w:t>CLAUDE.md</w:t>
      </w:r>
      <w:r>
        <w:rPr>
          <w:color w:val="664400"/>
          <w:sz w:val="19"/>
        </w:rPr>
        <w:t>. No se ha agregado ningún criterio fiscal externo. Donde la evidencia es incierta o existe una decisión pendiente, se marca explícitamente.</w:t>
      </w:r>
    </w:p>
    <w:p>
      <w:pPr>
        <w:spacing w:before="240" w:after="80"/>
      </w:pPr>
      <w:r>
        <w:rPr>
          <w:b/>
          <w:color w:val="112239"/>
          <w:sz w:val="26"/>
        </w:rPr>
        <w:t>0. Resumen ejecutivo (lo que un contador debe saber primero)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1B2A47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type="dxa" w:w="4680"/>
            <w:shd w:val="clear" w:fill="1B2A47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Respuesta del sistema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>Tasa de IVA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>16% fija y única. No hay exentos, no hay tasa 0%, no hay tasa fronteriza.</w:t>
            </w:r>
          </w:p>
        </w:tc>
      </w:tr>
      <w:tr>
        <w:tc>
          <w:tcPr>
            <w:tcW w:type="dxa" w:w="4680"/>
            <w:shd w:val="clear" w:fill="F2F5F8"/>
          </w:tcPr>
          <w:p>
            <w:r>
              <w:rPr>
                <w:sz w:val="18"/>
              </w:rPr>
            </w:r>
            <w:r>
              <w:rPr>
                <w:sz w:val="18"/>
              </w:rPr>
              <w:t>Base del IVA de renta</w:t>
            </w:r>
          </w:p>
        </w:tc>
        <w:tc>
          <w:tcPr>
            <w:tcW w:type="dxa" w:w="4680"/>
            <w:shd w:val="clear" w:fill="F2F5F8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Renta </w:t>
            </w:r>
            <w:r>
              <w:rPr>
                <w:b/>
                <w:sz w:val="18"/>
              </w:rPr>
              <w:t>completa</w:t>
            </w:r>
            <w:r>
              <w:rPr>
                <w:sz w:val="18"/>
              </w:rPr>
              <w:t xml:space="preserve"> (PMT), no solo el interés.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>¿IVA acreditable?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El sistema </w:t>
            </w:r>
            <w:r>
              <w:rPr>
                <w:b/>
                <w:sz w:val="18"/>
              </w:rPr>
              <w:t>cobra</w:t>
            </w:r>
            <w:r>
              <w:rPr>
                <w:sz w:val="18"/>
              </w:rPr>
              <w:t xml:space="preserve"> (traslada) IVA, pero </w:t>
            </w:r>
            <w:r>
              <w:rPr>
                <w:b/>
                <w:sz w:val="18"/>
              </w:rPr>
              <w:t>no segrega ni reporta</w:t>
            </w:r>
            <w:r>
              <w:rPr>
                <w:sz w:val="18"/>
              </w:rPr>
              <w:t xml:space="preserve"> el IVA acreditable. Mapeo manual del contador.</w:t>
            </w:r>
          </w:p>
        </w:tc>
      </w:tr>
      <w:tr>
        <w:tc>
          <w:tcPr>
            <w:tcW w:type="dxa" w:w="4680"/>
            <w:shd w:val="clear" w:fill="F2F5F8"/>
          </w:tcPr>
          <w:p>
            <w:r>
              <w:rPr>
                <w:sz w:val="18"/>
              </w:rPr>
            </w:r>
            <w:r>
              <w:rPr>
                <w:sz w:val="18"/>
              </w:rPr>
              <w:t>Divergencias del Excel oficial</w:t>
            </w:r>
          </w:p>
        </w:tc>
        <w:tc>
          <w:tcPr>
            <w:tcW w:type="dxa" w:w="4680"/>
            <w:shd w:val="clear" w:fill="F2F5F8"/>
          </w:tcPr>
          <w:p>
            <w:r>
              <w:rPr>
                <w:sz w:val="18"/>
              </w:rPr>
            </w:r>
            <w:r>
              <w:rPr>
                <w:sz w:val="18"/>
              </w:rPr>
              <w:t>IVA del enganche (§4.16) e IVA de comisión (§4.17) — el cliente ahora paga ese IVA.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>Decisiones pendientes con el contador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>Categorización del IVA de comisión financiada en el CFDI.</w:t>
            </w:r>
          </w:p>
        </w:tc>
      </w:tr>
    </w:tbl>
    <w:p/>
    <w:p>
      <w:pPr>
        <w:spacing w:before="240" w:after="80"/>
      </w:pPr>
      <w:r>
        <w:rPr>
          <w:b/>
          <w:color w:val="112239"/>
          <w:sz w:val="26"/>
        </w:rPr>
        <w:t>1. Originación / Firma del contrato</w:t>
      </w:r>
    </w:p>
    <w:p>
      <w:pPr>
        <w:spacing w:before="160" w:after="80"/>
      </w:pPr>
      <w:r>
        <w:rPr>
          <w:b/>
          <w:color w:val="112239"/>
          <w:sz w:val="22"/>
        </w:rPr>
        <w:t>1.1 IVA del bien — ACREDITABLE</w:t>
      </w:r>
    </w:p>
    <w:p>
      <w:pPr>
        <w:pStyle w:val="ListBullet"/>
      </w:pPr>
      <w:r>
        <w:rPr>
          <w:b/>
          <w:sz w:val="20"/>
        </w:rPr>
        <w:t>Tipo:</w:t>
      </w:r>
      <w:r>
        <w:rPr>
          <w:sz w:val="20"/>
        </w:rPr>
        <w:t xml:space="preserve"> Acreditable (para Inyecta al comprar el bien).</w:t>
      </w:r>
    </w:p>
    <w:p>
      <w:pPr>
        <w:pStyle w:val="ListBullet"/>
      </w:pPr>
      <w:r>
        <w:rPr>
          <w:b/>
          <w:sz w:val="20"/>
        </w:rPr>
        <w:t>Momento:</w:t>
      </w:r>
      <w:r>
        <w:rPr>
          <w:sz w:val="20"/>
        </w:rPr>
        <w:t xml:space="preserve"> Inicio del cálculo (paso 1, orden estricto).</w:t>
      </w:r>
    </w:p>
    <w:p>
      <w:pPr>
        <w:pStyle w:val="ListBullet"/>
      </w:pPr>
      <w:r>
        <w:rPr>
          <w:b/>
          <w:sz w:val="20"/>
        </w:rPr>
        <w:t>Tasa:</w:t>
      </w:r>
      <w:r>
        <w:rPr>
          <w:sz w:val="20"/>
        </w:rPr>
        <w:t xml:space="preserve"> 16%.</w:t>
      </w:r>
    </w:p>
    <w:p>
      <w:pPr>
        <w:pStyle w:val="ListBullet"/>
      </w:pPr>
      <w:r>
        <w:rPr>
          <w:b/>
          <w:sz w:val="20"/>
        </w:rPr>
        <w:t>Regla / Fórmula:</w:t>
      </w:r>
    </w:p>
    <w:p>
      <w:pPr>
        <w:pStyle w:val="ListBullet"/>
      </w:pPr>
      <w:r>
        <w:rPr>
          <w:rFonts w:ascii="Consolas" w:hAnsi="Consolas"/>
          <w:color w:val="333333"/>
          <w:sz w:val="20"/>
        </w:rPr>
        <w:t>valorSinIVA = valorBienConIVA / 1.16</w:t>
      </w:r>
    </w:p>
    <w:p>
      <w:pPr>
        <w:pStyle w:val="ListBullet"/>
      </w:pPr>
      <w:r>
        <w:rPr>
          <w:rFonts w:ascii="Consolas" w:hAnsi="Consolas"/>
          <w:color w:val="333333"/>
          <w:sz w:val="20"/>
        </w:rPr>
        <w:t>IVA_bien = valorBienConIVA − valorSinIVA</w:t>
      </w:r>
    </w:p>
    <w:p>
      <w:pPr>
        <w:pStyle w:val="ListBullet"/>
      </w:pPr>
      <w:r>
        <w:rPr>
          <w:sz w:val="20"/>
        </w:rPr>
        <w:t xml:space="preserve">El IVA del bien </w:t>
      </w:r>
      <w:r>
        <w:rPr>
          <w:b/>
          <w:sz w:val="20"/>
        </w:rPr>
        <w:t>nunca se financia</w:t>
      </w:r>
      <w:r>
        <w:rPr>
          <w:sz w:val="20"/>
        </w:rPr>
        <w:t xml:space="preserve">: al PMT entra el valor </w:t>
      </w:r>
      <w:r>
        <w:rPr>
          <w:b/>
          <w:sz w:val="20"/>
        </w:rPr>
        <w:t>SIN</w:t>
      </w:r>
      <w:r>
        <w:rPr>
          <w:sz w:val="20"/>
        </w:rPr>
        <w:t xml:space="preserve"> IVA.</w:t>
      </w:r>
    </w:p>
    <w:p>
      <w:pPr>
        <w:pStyle w:val="ListBullet"/>
      </w:pPr>
      <w:r>
        <w:rPr>
          <w:b/>
          <w:sz w:val="20"/>
        </w:rPr>
        <w:t>Referencia:</w:t>
      </w:r>
      <w:r>
        <w:rPr>
          <w:sz w:val="20"/>
        </w:rPr>
        <w:t xml:space="preserve"> </w:t>
      </w:r>
      <w:r>
        <w:rPr>
          <w:rFonts w:ascii="Consolas" w:hAnsi="Consolas"/>
          <w:color w:val="333333"/>
          <w:sz w:val="20"/>
        </w:rPr>
        <w:t>client/src/lib/cotizacion/calculos.ts:327-331</w:t>
      </w:r>
      <w:r>
        <w:rPr>
          <w:sz w:val="20"/>
        </w:rPr>
        <w:t xml:space="preserve"> y </w:t>
      </w:r>
      <w:r>
        <w:rPr>
          <w:rFonts w:ascii="Consolas" w:hAnsi="Consolas"/>
          <w:color w:val="333333"/>
          <w:sz w:val="20"/>
        </w:rPr>
        <w:t>:297</w:t>
      </w:r>
      <w:r>
        <w:rPr>
          <w:sz w:val="20"/>
        </w:rPr>
        <w:t xml:space="preserve"> (paso 1); </w:t>
      </w:r>
      <w:r>
        <w:rPr>
          <w:rFonts w:ascii="Consolas" w:hAnsi="Consolas"/>
          <w:color w:val="333333"/>
          <w:sz w:val="20"/>
        </w:rPr>
        <w:t>server/src/services/leaseCalculator.ts:188-189</w:t>
      </w:r>
      <w:r>
        <w:rPr>
          <w:sz w:val="20"/>
        </w:rPr>
        <w:t xml:space="preserve">; </w:t>
      </w:r>
      <w:r>
        <w:rPr>
          <w:rFonts w:ascii="Consolas" w:hAnsi="Consolas"/>
          <w:color w:val="333333"/>
          <w:sz w:val="20"/>
        </w:rPr>
        <w:t>server/CLAUDE.md:121</w:t>
      </w:r>
      <w:r>
        <w:rPr>
          <w:sz w:val="20"/>
        </w:rPr>
        <w:t>.</w:t>
      </w:r>
    </w:p>
    <w:p>
      <w:pPr>
        <w:spacing w:before="160" w:after="80"/>
      </w:pPr>
      <w:r>
        <w:rPr>
          <w:b/>
          <w:color w:val="112239"/>
          <w:sz w:val="22"/>
        </w:rPr>
        <w:t>1.2 IVA del enganche — TRASLADADO / pass-through  ⚠️ DIVERGENCIA DEL EXCEL (§4.16)</w:t>
      </w:r>
    </w:p>
    <w:p>
      <w:pPr>
        <w:pStyle w:val="ListBullet"/>
      </w:pPr>
      <w:r>
        <w:rPr>
          <w:b/>
          <w:sz w:val="20"/>
        </w:rPr>
        <w:t>Tipo:</w:t>
      </w:r>
      <w:r>
        <w:rPr>
          <w:sz w:val="20"/>
        </w:rPr>
        <w:t xml:space="preserve"> Trasladado (pass-through directo a la compra del bien; NO es utilidad de Inyecta).</w:t>
      </w:r>
    </w:p>
    <w:p>
      <w:pPr>
        <w:pStyle w:val="ListBullet"/>
      </w:pPr>
      <w:r>
        <w:rPr>
          <w:b/>
          <w:sz w:val="20"/>
        </w:rPr>
        <w:t>Momento:</w:t>
      </w:r>
      <w:r>
        <w:rPr>
          <w:sz w:val="20"/>
        </w:rPr>
        <w:t xml:space="preserve"> Pago inicial / desembolso.</w:t>
      </w:r>
    </w:p>
    <w:p>
      <w:pPr>
        <w:pStyle w:val="ListBullet"/>
      </w:pPr>
      <w:r>
        <w:rPr>
          <w:b/>
          <w:sz w:val="20"/>
        </w:rPr>
        <w:t>Tasa:</w:t>
      </w:r>
      <w:r>
        <w:rPr>
          <w:sz w:val="20"/>
        </w:rPr>
        <w:t xml:space="preserve"> 16%.</w:t>
      </w:r>
    </w:p>
    <w:p>
      <w:pPr>
        <w:pStyle w:val="ListBullet"/>
      </w:pPr>
      <w:r>
        <w:rPr>
          <w:b/>
          <w:sz w:val="20"/>
        </w:rPr>
        <w:t>Regla / Fórmula:</w:t>
      </w:r>
    </w:p>
    <w:p>
      <w:pPr>
        <w:pStyle w:val="ListBullet"/>
      </w:pPr>
      <w:r>
        <w:rPr>
          <w:rFonts w:ascii="Consolas" w:hAnsi="Consolas"/>
          <w:color w:val="333333"/>
          <w:sz w:val="20"/>
        </w:rPr>
        <w:t>ivaEnganche = enganche × 0.16</w:t>
      </w:r>
    </w:p>
    <w:p>
      <w:pPr>
        <w:pStyle w:val="ListBullet"/>
      </w:pPr>
      <w:r>
        <w:rPr>
          <w:sz w:val="20"/>
        </w:rPr>
        <w:t xml:space="preserve">El enganche que </w:t>
      </w:r>
      <w:r>
        <w:rPr>
          <w:b/>
          <w:sz w:val="20"/>
        </w:rPr>
        <w:t>reduce la base financiable (`baseBien`) sigue SIN IVA</w:t>
      </w:r>
      <w:r>
        <w:rPr>
          <w:sz w:val="20"/>
        </w:rPr>
        <w:t xml:space="preserve"> — no afecta rentas, comisión, depósito, PV del PMT ni ganancia.</w:t>
      </w:r>
    </w:p>
    <w:p>
      <w:pPr>
        <w:pStyle w:val="ListBullet"/>
      </w:pPr>
      <w:r>
        <w:rPr>
          <w:b/>
          <w:sz w:val="20"/>
        </w:rPr>
        <w:t>Solo se SUMA su IVA</w:t>
      </w:r>
      <w:r>
        <w:rPr>
          <w:sz w:val="20"/>
        </w:rPr>
        <w:t xml:space="preserve"> al pago inicial / desembolso y al Total a Pagar.</w:t>
      </w:r>
    </w:p>
    <w:p>
      <w:pPr>
        <w:pStyle w:val="ListBullet"/>
      </w:pPr>
      <w:r>
        <w:rPr>
          <w:b/>
          <w:sz w:val="20"/>
        </w:rPr>
        <w:t>⚠️ Divergencia:</w:t>
      </w:r>
      <w:r>
        <w:rPr>
          <w:sz w:val="20"/>
        </w:rPr>
        <w:t xml:space="preserve"> Regla nueva de Damián (23-06-2026). </w:t>
      </w:r>
      <w:r>
        <w:rPr>
          <w:b/>
          <w:sz w:val="20"/>
        </w:rPr>
        <w:t>DIVERGE del Excel oficial:</w:t>
      </w:r>
      <w:r>
        <w:rPr>
          <w:sz w:val="20"/>
        </w:rPr>
        <w:t xml:space="preserve"> ahora el </w:t>
      </w:r>
      <w:r>
        <w:rPr>
          <w:b/>
          <w:sz w:val="20"/>
        </w:rPr>
        <w:t>cliente paga el IVA del enganche</w:t>
      </w:r>
      <w:r>
        <w:rPr>
          <w:sz w:val="20"/>
        </w:rPr>
        <w:t>. En el Excel no se cobraba.</w:t>
      </w:r>
    </w:p>
    <w:p>
      <w:pPr>
        <w:pStyle w:val="ListBullet"/>
      </w:pPr>
      <w:r>
        <w:rPr>
          <w:b/>
          <w:sz w:val="20"/>
        </w:rPr>
        <w:t>Referencia:</w:t>
      </w:r>
      <w:r>
        <w:rPr>
          <w:sz w:val="20"/>
        </w:rPr>
        <w:t xml:space="preserve"> </w:t>
      </w:r>
      <w:r>
        <w:rPr>
          <w:rFonts w:ascii="Consolas" w:hAnsi="Consolas"/>
          <w:color w:val="333333"/>
          <w:sz w:val="20"/>
        </w:rPr>
        <w:t>client/src/lib/cotizacion/calculos.ts:472-478</w:t>
      </w:r>
      <w:r>
        <w:rPr>
          <w:sz w:val="20"/>
        </w:rPr>
        <w:t xml:space="preserve"> (§4.16) y </w:t>
      </w:r>
      <w:r>
        <w:rPr>
          <w:rFonts w:ascii="Consolas" w:hAnsi="Consolas"/>
          <w:color w:val="333333"/>
          <w:sz w:val="20"/>
        </w:rPr>
        <w:t>:501</w:t>
      </w:r>
      <w:r>
        <w:rPr>
          <w:sz w:val="20"/>
        </w:rPr>
        <w:t xml:space="preserve">; </w:t>
      </w:r>
      <w:r>
        <w:rPr>
          <w:rFonts w:ascii="Consolas" w:hAnsi="Consolas"/>
          <w:color w:val="333333"/>
          <w:sz w:val="20"/>
        </w:rPr>
        <w:t>server/src/services/leaseCalculator.ts:266-272</w:t>
      </w:r>
      <w:r>
        <w:rPr>
          <w:sz w:val="20"/>
        </w:rPr>
        <w:t xml:space="preserve">, </w:t>
      </w:r>
      <w:r>
        <w:rPr>
          <w:rFonts w:ascii="Consolas" w:hAnsi="Consolas"/>
          <w:color w:val="333333"/>
          <w:sz w:val="20"/>
        </w:rPr>
        <w:t>:294-301</w:t>
      </w:r>
      <w:r>
        <w:rPr>
          <w:sz w:val="20"/>
        </w:rPr>
        <w:t xml:space="preserve">; </w:t>
      </w:r>
      <w:r>
        <w:rPr>
          <w:rFonts w:ascii="Consolas" w:hAnsi="Consolas"/>
          <w:color w:val="333333"/>
          <w:sz w:val="20"/>
        </w:rPr>
        <w:t>server/CLAUDE.md §4.16</w:t>
      </w:r>
      <w:r>
        <w:rPr>
          <w:sz w:val="20"/>
        </w:rPr>
        <w:t xml:space="preserve"> (</w:t>
      </w:r>
      <w:r>
        <w:rPr>
          <w:rFonts w:ascii="Consolas" w:hAnsi="Consolas"/>
          <w:color w:val="333333"/>
          <w:sz w:val="20"/>
        </w:rPr>
        <w:t>363-391</w:t>
      </w:r>
      <w:r>
        <w:rPr>
          <w:sz w:val="20"/>
        </w:rPr>
        <w:t>).</w:t>
      </w:r>
    </w:p>
    <w:p>
      <w:pPr>
        <w:spacing w:before="160" w:after="80"/>
      </w:pPr>
      <w:r>
        <w:rPr>
          <w:b/>
          <w:color w:val="112239"/>
          <w:sz w:val="22"/>
        </w:rPr>
        <w:t>1.3 IVA de la comisión de apertura — CONTADO — TRASLADADO  ⚠️ DIVERGENCIA DEL EXCEL (§4.17a)</w:t>
      </w:r>
    </w:p>
    <w:p>
      <w:pPr>
        <w:pStyle w:val="ListBullet"/>
      </w:pPr>
      <w:r>
        <w:rPr>
          <w:b/>
          <w:sz w:val="20"/>
        </w:rPr>
        <w:t>Tipo:</w:t>
      </w:r>
      <w:r>
        <w:rPr>
          <w:sz w:val="20"/>
        </w:rPr>
        <w:t xml:space="preserve"> Trasladado (pass-through al SAT; no es utilidad).</w:t>
      </w:r>
    </w:p>
    <w:p>
      <w:pPr>
        <w:pStyle w:val="ListBullet"/>
      </w:pPr>
      <w:r>
        <w:rPr>
          <w:b/>
          <w:sz w:val="20"/>
        </w:rPr>
        <w:t>Momento:</w:t>
      </w:r>
      <w:r>
        <w:rPr>
          <w:sz w:val="20"/>
        </w:rPr>
        <w:t xml:space="preserve"> Pago inicial / desembolso (solo si la comisión es de contado).</w:t>
      </w:r>
    </w:p>
    <w:p>
      <w:pPr>
        <w:pStyle w:val="ListBullet"/>
      </w:pPr>
      <w:r>
        <w:rPr>
          <w:b/>
          <w:sz w:val="20"/>
        </w:rPr>
        <w:t>Tasa:</w:t>
      </w:r>
      <w:r>
        <w:rPr>
          <w:sz w:val="20"/>
        </w:rPr>
        <w:t xml:space="preserve"> 16%.</w:t>
      </w:r>
    </w:p>
    <w:p>
      <w:pPr>
        <w:pStyle w:val="ListBullet"/>
      </w:pPr>
      <w:r>
        <w:rPr>
          <w:b/>
          <w:sz w:val="20"/>
        </w:rPr>
        <w:t>Regla / Fórmula:</w:t>
      </w:r>
    </w:p>
    <w:p>
      <w:pPr>
        <w:pStyle w:val="ListBullet"/>
      </w:pPr>
      <w:r>
        <w:rPr>
          <w:rFonts w:ascii="Consolas" w:hAnsi="Consolas"/>
          <w:color w:val="333333"/>
          <w:sz w:val="20"/>
        </w:rPr>
        <w:t>ivaComisionContado = comisionApertura × 0.16</w:t>
      </w:r>
      <w:r>
        <w:rPr>
          <w:sz w:val="20"/>
        </w:rPr>
        <w:t xml:space="preserve"> (si </w:t>
      </w:r>
      <w:r>
        <w:rPr>
          <w:rFonts w:ascii="Consolas" w:hAnsi="Consolas"/>
          <w:color w:val="333333"/>
          <w:sz w:val="20"/>
        </w:rPr>
        <w:t>comisionAperturaEsContado = true</w:t>
      </w:r>
      <w:r>
        <w:rPr>
          <w:sz w:val="20"/>
        </w:rPr>
        <w:t>; si financiada = 0).</w:t>
      </w:r>
    </w:p>
    <w:p>
      <w:pPr>
        <w:pStyle w:val="ListBullet"/>
      </w:pPr>
      <w:r>
        <w:rPr>
          <w:sz w:val="20"/>
        </w:rPr>
        <w:t xml:space="preserve">Se paga al inicio, </w:t>
      </w:r>
      <w:r>
        <w:rPr>
          <w:b/>
          <w:sz w:val="20"/>
        </w:rPr>
        <w:t>sin interés</w:t>
      </w:r>
      <w:r>
        <w:rPr>
          <w:sz w:val="20"/>
        </w:rPr>
        <w:t xml:space="preserve">. No entra al PMT (la comisión ya está dentro de </w:t>
      </w:r>
      <w:r>
        <w:rPr>
          <w:rFonts w:ascii="Consolas" w:hAnsi="Consolas"/>
          <w:color w:val="333333"/>
          <w:sz w:val="20"/>
        </w:rPr>
        <w:t>baseBien</w:t>
      </w:r>
      <w:r>
        <w:rPr>
          <w:sz w:val="20"/>
        </w:rPr>
        <w:t>).</w:t>
      </w:r>
    </w:p>
    <w:p>
      <w:pPr>
        <w:pStyle w:val="ListBullet"/>
      </w:pPr>
      <w:r>
        <w:rPr>
          <w:sz w:val="20"/>
        </w:rPr>
        <w:t xml:space="preserve">La comisión de apertura es </w:t>
      </w:r>
      <w:r>
        <w:rPr>
          <w:b/>
          <w:sz w:val="20"/>
        </w:rPr>
        <w:t>5% sobre `baseBien`</w:t>
      </w:r>
      <w:r>
        <w:rPr>
          <w:sz w:val="20"/>
        </w:rPr>
        <w:t>.</w:t>
      </w:r>
    </w:p>
    <w:p>
      <w:pPr>
        <w:pStyle w:val="ListBullet"/>
      </w:pPr>
      <w:r>
        <w:rPr>
          <w:b/>
          <w:sz w:val="20"/>
        </w:rPr>
        <w:t>⚠️ Divergencia:</w:t>
      </w:r>
      <w:r>
        <w:rPr>
          <w:sz w:val="20"/>
        </w:rPr>
        <w:t xml:space="preserve"> Regla nueva de Damián (24-06-2026), §4.17(a).</w:t>
      </w:r>
    </w:p>
    <w:p>
      <w:pPr>
        <w:pStyle w:val="ListBullet"/>
      </w:pPr>
      <w:r>
        <w:rPr>
          <w:b/>
          <w:sz w:val="20"/>
        </w:rPr>
        <w:t>Referencia:</w:t>
      </w:r>
      <w:r>
        <w:rPr>
          <w:sz w:val="20"/>
        </w:rPr>
        <w:t xml:space="preserve"> </w:t>
      </w:r>
      <w:r>
        <w:rPr>
          <w:rFonts w:ascii="Consolas" w:hAnsi="Consolas"/>
          <w:color w:val="333333"/>
          <w:sz w:val="20"/>
        </w:rPr>
        <w:t>client/src/lib/cotizacion/calculos.ts:480-491</w:t>
      </w:r>
      <w:r>
        <w:rPr>
          <w:sz w:val="20"/>
        </w:rPr>
        <w:t xml:space="preserve"> (§4.17a) y </w:t>
      </w:r>
      <w:r>
        <w:rPr>
          <w:rFonts w:ascii="Consolas" w:hAnsi="Consolas"/>
          <w:color w:val="333333"/>
          <w:sz w:val="20"/>
        </w:rPr>
        <w:t>:503</w:t>
      </w:r>
      <w:r>
        <w:rPr>
          <w:sz w:val="20"/>
        </w:rPr>
        <w:t xml:space="preserve">; </w:t>
      </w:r>
      <w:r>
        <w:rPr>
          <w:rFonts w:ascii="Consolas" w:hAnsi="Consolas"/>
          <w:color w:val="333333"/>
          <w:sz w:val="20"/>
        </w:rPr>
        <w:t>server/src/services/leaseCalculator.ts:274-283</w:t>
      </w:r>
      <w:r>
        <w:rPr>
          <w:sz w:val="20"/>
        </w:rPr>
        <w:t xml:space="preserve">, </w:t>
      </w:r>
      <w:r>
        <w:rPr>
          <w:rFonts w:ascii="Consolas" w:hAnsi="Consolas"/>
          <w:color w:val="333333"/>
          <w:sz w:val="20"/>
        </w:rPr>
        <w:t>:297</w:t>
      </w:r>
      <w:r>
        <w:rPr>
          <w:sz w:val="20"/>
        </w:rPr>
        <w:t xml:space="preserve">; </w:t>
      </w:r>
      <w:r>
        <w:rPr>
          <w:rFonts w:ascii="Consolas" w:hAnsi="Consolas"/>
          <w:color w:val="333333"/>
          <w:sz w:val="20"/>
        </w:rPr>
        <w:t>server/CLAUDE.md §4.17(a)</w:t>
      </w:r>
      <w:r>
        <w:rPr>
          <w:sz w:val="20"/>
        </w:rPr>
        <w:t xml:space="preserve"> (</w:t>
      </w:r>
      <w:r>
        <w:rPr>
          <w:rFonts w:ascii="Consolas" w:hAnsi="Consolas"/>
          <w:color w:val="333333"/>
          <w:sz w:val="20"/>
        </w:rPr>
        <w:t>393-407</w:t>
      </w:r>
      <w:r>
        <w:rPr>
          <w:sz w:val="20"/>
        </w:rPr>
        <w:t>).</w:t>
      </w:r>
    </w:p>
    <w:p>
      <w:pPr>
        <w:spacing w:before="240" w:after="80"/>
      </w:pPr>
      <w:r>
        <w:rPr>
          <w:b/>
          <w:color w:val="112239"/>
          <w:sz w:val="26"/>
        </w:rPr>
        <w:t>2. Modelo de capitalización: IVA de la comisión de apertura FINANCIADA (§4.17b)</w:t>
      </w:r>
    </w:p>
    <w:p>
      <w:pPr>
        <w:spacing w:before="40" w:after="40"/>
        <w:ind w:left="360"/>
      </w:pPr>
      <w:r>
        <w:rPr>
          <w:color w:val="664400"/>
          <w:sz w:val="19"/>
        </w:rPr>
        <w:t>Este es el punto más sofisticado del sistema. Léase con atención.</w:t>
      </w:r>
    </w:p>
    <w:p>
      <w:pPr>
        <w:pStyle w:val="ListBullet"/>
      </w:pPr>
      <w:r>
        <w:rPr>
          <w:b/>
          <w:sz w:val="20"/>
        </w:rPr>
        <w:t>Tipo:</w:t>
      </w:r>
      <w:r>
        <w:rPr>
          <w:sz w:val="20"/>
        </w:rPr>
        <w:t xml:space="preserve"> Para Inyecta, el IVA adelantado es </w:t>
      </w:r>
      <w:r>
        <w:rPr>
          <w:b/>
          <w:sz w:val="20"/>
        </w:rPr>
        <w:t>acreditable</w:t>
      </w:r>
      <w:r>
        <w:rPr>
          <w:sz w:val="20"/>
        </w:rPr>
        <w:t xml:space="preserve"> al enterarlo; el </w:t>
      </w:r>
      <w:r>
        <w:rPr>
          <w:b/>
          <w:sz w:val="20"/>
        </w:rPr>
        <w:t>costo de fondearlo</w:t>
      </w:r>
      <w:r>
        <w:rPr>
          <w:sz w:val="20"/>
        </w:rPr>
        <w:t xml:space="preserve"> se cobra al cliente como interés trasladado (capitalizado en el plazo).</w:t>
      </w:r>
    </w:p>
    <w:p>
      <w:pPr>
        <w:pStyle w:val="ListBullet"/>
      </w:pPr>
      <w:r>
        <w:rPr>
          <w:b/>
          <w:sz w:val="20"/>
        </w:rPr>
        <w:t>Momento:</w:t>
      </w:r>
      <w:r>
        <w:rPr>
          <w:sz w:val="20"/>
        </w:rPr>
        <w:t xml:space="preserve"> Inyecta entera el IVA al SAT el </w:t>
      </w:r>
      <w:r>
        <w:rPr>
          <w:b/>
          <w:sz w:val="20"/>
        </w:rPr>
        <w:t>mes siguiente</w:t>
      </w:r>
      <w:r>
        <w:rPr>
          <w:sz w:val="20"/>
        </w:rPr>
        <w:t xml:space="preserve"> a la originación (ANTES de recuperarlo del cliente); el cliente lo paga distribuido a lo largo del plazo.</w:t>
      </w:r>
    </w:p>
    <w:p>
      <w:pPr>
        <w:pStyle w:val="ListBullet"/>
      </w:pPr>
      <w:r>
        <w:rPr>
          <w:b/>
          <w:sz w:val="20"/>
        </w:rPr>
        <w:t>Tasa:</w:t>
      </w:r>
      <w:r>
        <w:rPr>
          <w:sz w:val="20"/>
        </w:rPr>
        <w:t xml:space="preserve"> 16%.</w:t>
      </w:r>
    </w:p>
    <w:p>
      <w:r>
        <w:rPr>
          <w:b/>
        </w:rPr>
        <w:t>Mecánica (cuando `comisionAperturaEsContado = false`):</w:t>
      </w:r>
    </w:p>
    <w:p>
      <w:pPr>
        <w:pStyle w:val="ListNumber"/>
      </w:pPr>
      <w:r>
        <w:rPr>
          <w:rFonts w:ascii="Consolas" w:hAnsi="Consolas"/>
          <w:color w:val="333333"/>
          <w:sz w:val="20"/>
        </w:rPr>
        <w:t>ivaComision = comisionApertura × 0.16</w:t>
      </w:r>
      <w:r>
        <w:rPr>
          <w:sz w:val="20"/>
        </w:rPr>
        <w:t xml:space="preserve"> → monto que Inyecta </w:t>
      </w:r>
      <w:r>
        <w:rPr>
          <w:b/>
          <w:sz w:val="20"/>
        </w:rPr>
        <w:t>adelanta al SAT</w:t>
      </w:r>
      <w:r>
        <w:rPr>
          <w:sz w:val="20"/>
        </w:rPr>
        <w:t>.</w:t>
      </w:r>
    </w:p>
    <w:p>
      <w:pPr>
        <w:pStyle w:val="ListNumber"/>
      </w:pPr>
      <w:r>
        <w:rPr>
          <w:rFonts w:ascii="Consolas" w:hAnsi="Consolas"/>
          <w:color w:val="333333"/>
          <w:sz w:val="20"/>
        </w:rPr>
        <w:t>pmtIvaComision = PMT(tasaAnual/12, plazo, ivaComision, 0)</w:t>
      </w:r>
      <w:r>
        <w:rPr>
          <w:sz w:val="20"/>
        </w:rPr>
        <w:t xml:space="preserve"> (redondeado a 2 decimales) → cuota de amortización del IVA adelantado.</w:t>
      </w:r>
    </w:p>
    <w:p>
      <w:pPr>
        <w:pStyle w:val="ListNumber"/>
      </w:pPr>
      <w:r>
        <w:rPr>
          <w:rFonts w:ascii="Consolas" w:hAnsi="Consolas"/>
          <w:color w:val="333333"/>
          <w:sz w:val="20"/>
        </w:rPr>
        <w:t>interesIvaComision = pmtIvaComision × plazo − ivaComision</w:t>
      </w:r>
      <w:r>
        <w:rPr>
          <w:sz w:val="20"/>
        </w:rPr>
        <w:t xml:space="preserve"> → </w:t>
      </w:r>
      <w:r>
        <w:rPr>
          <w:b/>
          <w:sz w:val="20"/>
        </w:rPr>
        <w:t>interés</w:t>
      </w:r>
      <w:r>
        <w:rPr>
          <w:sz w:val="20"/>
        </w:rPr>
        <w:t xml:space="preserve"> del fondeo (ingreso financiero real de Inyecta).</w:t>
      </w:r>
    </w:p>
    <w:p>
      <w:pPr>
        <w:pStyle w:val="ListNumber"/>
      </w:pPr>
      <w:r>
        <w:rPr>
          <w:rFonts w:ascii="Consolas" w:hAnsi="Consolas"/>
          <w:color w:val="333333"/>
          <w:sz w:val="20"/>
        </w:rPr>
        <w:t>financiamientoIvaComision = interesIvaComision × 1.16</w:t>
      </w:r>
      <w:r>
        <w:rPr>
          <w:sz w:val="20"/>
        </w:rPr>
        <w:t xml:space="preserve"> → interés </w:t>
      </w:r>
      <w:r>
        <w:rPr>
          <w:b/>
          <w:sz w:val="20"/>
        </w:rPr>
        <w:t>+ IVA sobre ese interés</w:t>
      </w:r>
      <w:r>
        <w:rPr>
          <w:sz w:val="20"/>
        </w:rPr>
        <w:t xml:space="preserve"> (Art. 18-A LIVA citado en evidencia).</w:t>
      </w:r>
    </w:p>
    <w:p>
      <w:pPr>
        <w:pStyle w:val="ListNumber"/>
      </w:pPr>
      <w:r>
        <w:rPr>
          <w:rFonts w:ascii="Consolas" w:hAnsi="Consolas"/>
          <w:color w:val="333333"/>
          <w:sz w:val="20"/>
        </w:rPr>
        <w:t>financiamientoIvaComision</w:t>
      </w:r>
      <w:r>
        <w:rPr>
          <w:sz w:val="20"/>
        </w:rPr>
        <w:t xml:space="preserve"> se </w:t>
      </w:r>
      <w:r>
        <w:rPr>
          <w:b/>
          <w:sz w:val="20"/>
        </w:rPr>
        <w:t>suma a Total a Pagar</w:t>
      </w:r>
      <w:r>
        <w:rPr>
          <w:sz w:val="20"/>
        </w:rPr>
        <w:t xml:space="preserve"> (NO al desembolso inicial).</w:t>
      </w:r>
    </w:p>
    <w:p>
      <w:r>
        <w:rPr>
          <w:b/>
        </w:rPr>
        <w:t>¿Por qué solo se cobra el costo de fondeo y no el capital del IVA otra vez?</w:t>
      </w:r>
    </w:p>
    <w:p>
      <w:r>
        <w:t xml:space="preserve">Porque el capital del IVA de la comisión ya se recupera dentro del IVA de las rentas (la comisión está incluida en el PV / </w:t>
      </w:r>
      <w:r>
        <w:rPr>
          <w:rFonts w:ascii="Consolas" w:hAnsi="Consolas"/>
          <w:color w:val="333333"/>
          <w:sz w:val="19"/>
        </w:rPr>
        <w:t>baseBien</w:t>
      </w:r>
      <w:r>
        <w:t xml:space="preserve">). Cobrar el capital aquí lo cobraría dos veces; por eso aquí solo se agrega el </w:t>
      </w:r>
      <w:r>
        <w:rPr>
          <w:b/>
        </w:rPr>
        <w:t>interés + su IVA</w:t>
      </w:r>
      <w:r>
        <w:t>.</w:t>
      </w:r>
    </w:p>
    <w:p>
      <w:r>
        <w:rPr>
          <w:b/>
        </w:rPr>
        <w:t>Tratamiento en la ganancia:</w:t>
      </w:r>
      <w:r>
        <w:t xml:space="preserve"> </w:t>
      </w:r>
      <w:r>
        <w:rPr>
          <w:rFonts w:ascii="Consolas" w:hAnsi="Consolas"/>
          <w:color w:val="333333"/>
          <w:sz w:val="19"/>
        </w:rPr>
        <w:t>interesIvaComision</w:t>
      </w:r>
      <w:r>
        <w:t xml:space="preserve"> SÍ entra como ingreso financiero (</w:t>
      </w:r>
      <w:r>
        <w:rPr>
          <w:rFonts w:ascii="Consolas" w:hAnsi="Consolas"/>
          <w:color w:val="333333"/>
          <w:sz w:val="19"/>
        </w:rPr>
        <w:t>gananciaDesglose.intereses</w:t>
      </w:r>
      <w:r>
        <w:t xml:space="preserve">). El IVA sobre ese interés es pass-through y </w:t>
      </w:r>
      <w:r>
        <w:rPr>
          <w:b/>
        </w:rPr>
        <w:t>NO</w:t>
      </w:r>
      <w:r>
        <w:t xml:space="preserve"> entra en ganancia.</w:t>
      </w:r>
    </w:p>
    <w:p>
      <w:r>
        <w:rPr>
          <w:b/>
        </w:rPr>
        <w:t>Ejemplo numérico (de CLAUDE.md):</w:t>
      </w:r>
    </w:p>
    <w:p>
      <w:r>
        <w:t xml:space="preserve">Comisión $82,265.52 → </w:t>
      </w:r>
      <w:r>
        <w:rPr>
          <w:rFonts w:ascii="Consolas" w:hAnsi="Consolas"/>
          <w:color w:val="333333"/>
          <w:sz w:val="19"/>
        </w:rPr>
        <w:t>ivaComision</w:t>
      </w:r>
      <w:r>
        <w:t xml:space="preserve"> $13,162.48 (36 meses, 36% anual = 3%/mes) → </w:t>
      </w:r>
      <w:r>
        <w:rPr>
          <w:rFonts w:ascii="Consolas" w:hAnsi="Consolas"/>
          <w:color w:val="333333"/>
          <w:sz w:val="19"/>
        </w:rPr>
        <w:t>pmtIvaComision</w:t>
      </w:r>
      <w:r>
        <w:t xml:space="preserve"> $602.89 → </w:t>
      </w:r>
      <w:r>
        <w:rPr>
          <w:rFonts w:ascii="Consolas" w:hAnsi="Consolas"/>
          <w:color w:val="333333"/>
          <w:sz w:val="19"/>
        </w:rPr>
        <w:t>interesIvaComision</w:t>
      </w:r>
      <w:r>
        <w:t xml:space="preserve"> $8,541.56 → </w:t>
      </w:r>
      <w:r>
        <w:rPr>
          <w:rFonts w:ascii="Consolas" w:hAnsi="Consolas"/>
          <w:color w:val="333333"/>
          <w:sz w:val="19"/>
        </w:rPr>
        <w:t>financiamientoIvaComision</w:t>
      </w:r>
      <w:r>
        <w:t xml:space="preserve"> ≈ $9,908.21 agregado a Total a Pagar.</w:t>
      </w:r>
    </w:p>
    <w:p>
      <w:pPr>
        <w:pStyle w:val="ListBullet"/>
      </w:pPr>
      <w:r>
        <w:rPr>
          <w:b/>
          <w:sz w:val="20"/>
        </w:rPr>
        <w:t>Referencia:</w:t>
      </w:r>
      <w:r>
        <w:rPr>
          <w:sz w:val="20"/>
        </w:rPr>
        <w:t xml:space="preserve"> </w:t>
      </w:r>
      <w:r>
        <w:rPr>
          <w:rFonts w:ascii="Consolas" w:hAnsi="Consolas"/>
          <w:color w:val="333333"/>
          <w:sz w:val="20"/>
        </w:rPr>
        <w:t>client/src/lib/cotizacion/calculos.ts:480-497</w:t>
      </w:r>
      <w:r>
        <w:rPr>
          <w:sz w:val="20"/>
        </w:rPr>
        <w:t xml:space="preserve"> y </w:t>
      </w:r>
      <w:r>
        <w:rPr>
          <w:rFonts w:ascii="Consolas" w:hAnsi="Consolas"/>
          <w:color w:val="333333"/>
          <w:sz w:val="20"/>
        </w:rPr>
        <w:t>:521</w:t>
      </w:r>
      <w:r>
        <w:rPr>
          <w:sz w:val="20"/>
        </w:rPr>
        <w:t xml:space="preserve">; </w:t>
      </w:r>
      <w:r>
        <w:rPr>
          <w:rFonts w:ascii="Consolas" w:hAnsi="Consolas"/>
          <w:color w:val="333333"/>
          <w:sz w:val="20"/>
        </w:rPr>
        <w:t>server/src/services/leaseCalculator.ts:274-290</w:t>
      </w:r>
      <w:r>
        <w:rPr>
          <w:sz w:val="20"/>
        </w:rPr>
        <w:t xml:space="preserve">, </w:t>
      </w:r>
      <w:r>
        <w:rPr>
          <w:rFonts w:ascii="Consolas" w:hAnsi="Consolas"/>
          <w:color w:val="333333"/>
          <w:sz w:val="20"/>
        </w:rPr>
        <w:t>:303</w:t>
      </w:r>
      <w:r>
        <w:rPr>
          <w:sz w:val="20"/>
        </w:rPr>
        <w:t xml:space="preserve">; </w:t>
      </w:r>
      <w:r>
        <w:rPr>
          <w:rFonts w:ascii="Consolas" w:hAnsi="Consolas"/>
          <w:color w:val="333333"/>
          <w:sz w:val="20"/>
        </w:rPr>
        <w:t>server/CLAUDE.md §4.17(b)</w:t>
      </w:r>
      <w:r>
        <w:rPr>
          <w:sz w:val="20"/>
        </w:rPr>
        <w:t xml:space="preserve"> (</w:t>
      </w:r>
      <w:r>
        <w:rPr>
          <w:rFonts w:ascii="Consolas" w:hAnsi="Consolas"/>
          <w:color w:val="333333"/>
          <w:sz w:val="20"/>
        </w:rPr>
        <w:t>409-439</w:t>
      </w:r>
      <w:r>
        <w:rPr>
          <w:sz w:val="20"/>
        </w:rPr>
        <w:t xml:space="preserve">); ganancia </w:t>
      </w:r>
      <w:r>
        <w:rPr>
          <w:rFonts w:ascii="Consolas" w:hAnsi="Consolas"/>
          <w:color w:val="333333"/>
          <w:sz w:val="20"/>
        </w:rPr>
        <w:t>server/CLAUDE.md:447-452</w:t>
      </w:r>
      <w:r>
        <w:rPr>
          <w:sz w:val="20"/>
        </w:rPr>
        <w:t xml:space="preserve">, </w:t>
      </w:r>
      <w:r>
        <w:rPr>
          <w:rFonts w:ascii="Consolas" w:hAnsi="Consolas"/>
          <w:color w:val="333333"/>
          <w:sz w:val="20"/>
        </w:rPr>
        <w:t>calculos.ts:534-535</w:t>
      </w:r>
      <w:r>
        <w:rPr>
          <w:sz w:val="20"/>
        </w:rPr>
        <w:t>.</w:t>
      </w:r>
    </w:p>
    <w:p>
      <w:pPr>
        <w:spacing w:before="40" w:after="40"/>
        <w:ind w:left="360"/>
      </w:pPr>
      <w:r>
        <w:rPr>
          <w:color w:val="664400"/>
          <w:sz w:val="19"/>
        </w:rPr>
        <w:t xml:space="preserve">🔶 </w:t>
      </w:r>
      <w:r>
        <w:rPr>
          <w:b/>
          <w:color w:val="664400"/>
          <w:sz w:val="19"/>
        </w:rPr>
        <w:t>DECISIÓN PENDIENTE CON EL CONTADOR:</w:t>
      </w:r>
      <w:r>
        <w:rPr>
          <w:color w:val="664400"/>
          <w:sz w:val="19"/>
        </w:rPr>
        <w:t xml:space="preserve"> La </w:t>
      </w:r>
      <w:r>
        <w:rPr>
          <w:b/>
          <w:color w:val="664400"/>
          <w:sz w:val="19"/>
        </w:rPr>
        <w:t>categorización en el CFDI</w:t>
      </w:r>
      <w:r>
        <w:rPr>
          <w:color w:val="664400"/>
          <w:sz w:val="19"/>
        </w:rPr>
        <w:t xml:space="preserve"> de este IVA de comisión adelantado/financiado no está resuelta en el motor. El acreditamiento fiscal real vive en la facturación/CFDI, fuera del motor de cálculo. Se requiere definir cómo se comprueba y categoriza (ver §7 y gaps).</w:t>
      </w:r>
    </w:p>
    <w:p>
      <w:pPr>
        <w:spacing w:before="240" w:after="80"/>
      </w:pPr>
      <w:r>
        <w:rPr>
          <w:b/>
          <w:color w:val="112239"/>
          <w:sz w:val="26"/>
        </w:rPr>
        <w:t>3. Durante el plazo: IVA de la renta</w:t>
      </w:r>
    </w:p>
    <w:p>
      <w:pPr>
        <w:spacing w:before="160" w:after="80"/>
      </w:pPr>
      <w:r>
        <w:rPr>
          <w:b/>
          <w:color w:val="112239"/>
          <w:sz w:val="22"/>
        </w:rPr>
        <w:t>3.1 Base del IVA de renta — sobre RENTA TOTAL, no solo interés</w:t>
      </w:r>
    </w:p>
    <w:p>
      <w:pPr>
        <w:pStyle w:val="ListBullet"/>
      </w:pPr>
      <w:r>
        <w:rPr>
          <w:b/>
          <w:sz w:val="20"/>
        </w:rPr>
        <w:t>Tipo:</w:t>
      </w:r>
      <w:r>
        <w:rPr>
          <w:sz w:val="20"/>
        </w:rPr>
        <w:t xml:space="preserve"> Trasladado.</w:t>
      </w:r>
    </w:p>
    <w:p>
      <w:pPr>
        <w:pStyle w:val="ListBullet"/>
      </w:pPr>
      <w:r>
        <w:rPr>
          <w:b/>
          <w:sz w:val="20"/>
        </w:rPr>
        <w:t>Momento:</w:t>
      </w:r>
      <w:r>
        <w:rPr>
          <w:sz w:val="20"/>
        </w:rPr>
        <w:t xml:space="preserve"> Cada período (mensual), en AP y AF.</w:t>
      </w:r>
    </w:p>
    <w:p>
      <w:pPr>
        <w:pStyle w:val="ListBullet"/>
      </w:pPr>
      <w:r>
        <w:rPr>
          <w:b/>
          <w:sz w:val="20"/>
        </w:rPr>
        <w:t>Tasa:</w:t>
      </w:r>
      <w:r>
        <w:rPr>
          <w:sz w:val="20"/>
        </w:rPr>
        <w:t xml:space="preserve"> 16%.</w:t>
      </w:r>
    </w:p>
    <w:p>
      <w:pPr>
        <w:pStyle w:val="ListBullet"/>
      </w:pPr>
      <w:r>
        <w:rPr>
          <w:b/>
          <w:sz w:val="20"/>
        </w:rPr>
        <w:t>Regla / Fórmula:</w:t>
      </w:r>
      <w:r>
        <w:rPr>
          <w:sz w:val="20"/>
        </w:rPr>
        <w:t xml:space="preserve"> </w:t>
      </w:r>
      <w:r>
        <w:rPr>
          <w:rFonts w:ascii="Consolas" w:hAnsi="Consolas"/>
          <w:color w:val="333333"/>
          <w:sz w:val="20"/>
        </w:rPr>
        <w:t>IVA_renta = renta_neta × 0.16</w:t>
      </w:r>
      <w:r>
        <w:rPr>
          <w:sz w:val="20"/>
        </w:rPr>
        <w:t>.</w:t>
      </w:r>
    </w:p>
    <w:p>
      <w:pPr>
        <w:pStyle w:val="ListBullet"/>
      </w:pPr>
      <w:r>
        <w:rPr>
          <w:b/>
          <w:sz w:val="20"/>
        </w:rPr>
        <w:t>La renta COMPLETA es base gravable</w:t>
      </w:r>
      <w:r>
        <w:rPr>
          <w:sz w:val="20"/>
        </w:rPr>
        <w:t xml:space="preserve"> (= PMT × 0.16), </w:t>
      </w:r>
      <w:r>
        <w:rPr>
          <w:b/>
          <w:sz w:val="20"/>
        </w:rPr>
        <w:t>no solo el interés</w:t>
      </w:r>
      <w:r>
        <w:rPr>
          <w:sz w:val="20"/>
        </w:rPr>
        <w:t>.</w:t>
      </w:r>
    </w:p>
    <w:p>
      <w:pPr>
        <w:pStyle w:val="ListBullet"/>
      </w:pPr>
      <w:r>
        <w:rPr>
          <w:sz w:val="20"/>
        </w:rPr>
        <w:t xml:space="preserve">Esto es práctica operativa de Inyecta (espejo del Excel). La evidencia anota que el Art. 18-A LIVA *permitiría* gravar solo el interés, pero el sistema </w:t>
      </w:r>
      <w:r>
        <w:rPr>
          <w:b/>
          <w:sz w:val="20"/>
        </w:rPr>
        <w:t>no</w:t>
      </w:r>
      <w:r>
        <w:rPr>
          <w:sz w:val="20"/>
        </w:rPr>
        <w:t xml:space="preserve"> lo hace.</w:t>
      </w:r>
    </w:p>
    <w:p>
      <w:pPr>
        <w:pStyle w:val="ListBullet"/>
      </w:pPr>
      <w:r>
        <w:rPr>
          <w:sz w:val="20"/>
        </w:rPr>
        <w:t xml:space="preserve">En AF, el IVA de la renta </w:t>
      </w:r>
      <w:r>
        <w:rPr>
          <w:b/>
          <w:sz w:val="20"/>
        </w:rPr>
        <w:t>incluye</w:t>
      </w:r>
      <w:r>
        <w:rPr>
          <w:sz w:val="20"/>
        </w:rPr>
        <w:t xml:space="preserve"> implícitamente el IVA del interés ordinario; no hay desglose interés/capital en la línea de IVA del pago.</w:t>
      </w:r>
    </w:p>
    <w:p>
      <w:pPr>
        <w:pStyle w:val="ListBullet"/>
      </w:pPr>
      <w:r>
        <w:rPr>
          <w:b/>
          <w:sz w:val="20"/>
        </w:rPr>
        <w:t>Referencia:</w:t>
      </w:r>
      <w:r>
        <w:rPr>
          <w:sz w:val="20"/>
        </w:rPr>
        <w:t xml:space="preserve"> </w:t>
      </w:r>
      <w:r>
        <w:rPr>
          <w:rFonts w:ascii="Consolas" w:hAnsi="Consolas"/>
          <w:color w:val="333333"/>
          <w:sz w:val="20"/>
        </w:rPr>
        <w:t>client/src/lib/cotizacion/calculos.ts:430</w:t>
      </w:r>
      <w:r>
        <w:rPr>
          <w:sz w:val="20"/>
        </w:rPr>
        <w:t xml:space="preserve">; </w:t>
      </w:r>
      <w:r>
        <w:rPr>
          <w:rFonts w:ascii="Consolas" w:hAnsi="Consolas"/>
          <w:color w:val="333333"/>
          <w:sz w:val="20"/>
        </w:rPr>
        <w:t>amortizacion.ts:53-56</w:t>
      </w:r>
      <w:r>
        <w:rPr>
          <w:sz w:val="20"/>
        </w:rPr>
        <w:t xml:space="preserve">, </w:t>
      </w:r>
      <w:r>
        <w:rPr>
          <w:rFonts w:ascii="Consolas" w:hAnsi="Consolas"/>
          <w:color w:val="333333"/>
          <w:sz w:val="20"/>
        </w:rPr>
        <w:t>:72-74</w:t>
      </w:r>
      <w:r>
        <w:rPr>
          <w:sz w:val="20"/>
        </w:rPr>
        <w:t xml:space="preserve">; </w:t>
      </w:r>
      <w:r>
        <w:rPr>
          <w:rFonts w:ascii="Consolas" w:hAnsi="Consolas"/>
          <w:color w:val="333333"/>
          <w:sz w:val="20"/>
        </w:rPr>
        <w:t>server/src/services/leaseCalculator.ts:260-264</w:t>
      </w:r>
      <w:r>
        <w:rPr>
          <w:sz w:val="20"/>
        </w:rPr>
        <w:t xml:space="preserve">; </w:t>
      </w:r>
      <w:r>
        <w:rPr>
          <w:rFonts w:ascii="Consolas" w:hAnsi="Consolas"/>
          <w:color w:val="333333"/>
          <w:sz w:val="20"/>
        </w:rPr>
        <w:t>server/src/routes/cobranza.ts:12,192</w:t>
      </w:r>
      <w:r>
        <w:rPr>
          <w:sz w:val="20"/>
        </w:rPr>
        <w:t xml:space="preserve">; </w:t>
      </w:r>
      <w:r>
        <w:rPr>
          <w:rFonts w:ascii="Consolas" w:hAnsi="Consolas"/>
          <w:color w:val="333333"/>
          <w:sz w:val="20"/>
        </w:rPr>
        <w:t>server/CLAUDE.md §4.6, §4.8</w:t>
      </w:r>
      <w:r>
        <w:rPr>
          <w:sz w:val="20"/>
        </w:rPr>
        <w:t xml:space="preserve"> (</w:t>
      </w:r>
      <w:r>
        <w:rPr>
          <w:rFonts w:ascii="Consolas" w:hAnsi="Consolas"/>
          <w:color w:val="333333"/>
          <w:sz w:val="20"/>
        </w:rPr>
        <w:t>198,207,215-222</w:t>
      </w:r>
      <w:r>
        <w:rPr>
          <w:sz w:val="20"/>
        </w:rPr>
        <w:t>).</w:t>
      </w:r>
    </w:p>
    <w:p>
      <w:pPr>
        <w:spacing w:before="160" w:after="80"/>
      </w:pPr>
      <w:r>
        <w:rPr>
          <w:b/>
          <w:color w:val="112239"/>
          <w:sz w:val="22"/>
        </w:rPr>
        <w:t>3.2 Truncamiento del IVA en el DISPLAY de la renta mensual</w:t>
      </w:r>
    </w:p>
    <w:p>
      <w:pPr>
        <w:pStyle w:val="ListBullet"/>
      </w:pPr>
      <w:r>
        <w:rPr>
          <w:b/>
          <w:sz w:val="20"/>
        </w:rPr>
        <w:t>Tipo:</w:t>
      </w:r>
      <w:r>
        <w:rPr>
          <w:sz w:val="20"/>
        </w:rPr>
        <w:t xml:space="preserve"> Truncado (solo display).</w:t>
      </w:r>
    </w:p>
    <w:p>
      <w:pPr>
        <w:pStyle w:val="ListBullet"/>
      </w:pPr>
      <w:r>
        <w:rPr>
          <w:b/>
          <w:sz w:val="20"/>
        </w:rPr>
        <w:t>Regla / Fórmula:</w:t>
      </w:r>
      <w:r>
        <w:rPr>
          <w:sz w:val="20"/>
        </w:rPr>
        <w:t xml:space="preserve"> </w:t>
      </w:r>
      <w:r>
        <w:rPr>
          <w:rFonts w:ascii="Consolas" w:hAnsi="Consolas"/>
          <w:color w:val="333333"/>
          <w:sz w:val="20"/>
        </w:rPr>
        <w:t>rentaMensualTotal_display = TRUNC(renta_neta × 1.16, 2)</w:t>
      </w:r>
      <w:r>
        <w:rPr>
          <w:sz w:val="20"/>
        </w:rPr>
        <w:t xml:space="preserve"> (vía </w:t>
      </w:r>
      <w:r>
        <w:rPr>
          <w:rFonts w:ascii="Consolas" w:hAnsi="Consolas"/>
          <w:color w:val="333333"/>
          <w:sz w:val="20"/>
        </w:rPr>
        <w:t>ROUND_DOWN</w:t>
      </w:r>
      <w:r>
        <w:rPr>
          <w:sz w:val="20"/>
        </w:rPr>
        <w:t>).</w:t>
      </w:r>
    </w:p>
    <w:p>
      <w:pPr>
        <w:pStyle w:val="ListBullet"/>
      </w:pPr>
      <w:r>
        <w:rPr>
          <w:sz w:val="20"/>
        </w:rPr>
        <w:t>El truncado evita acumulación de centavos a lo largo del año (diferencia máx. &lt; $0.01/mes).</w:t>
      </w:r>
    </w:p>
    <w:p>
      <w:pPr>
        <w:pStyle w:val="ListBullet"/>
      </w:pPr>
      <w:r>
        <w:rPr>
          <w:b/>
          <w:sz w:val="20"/>
        </w:rPr>
        <w:t>El TRUNC aplica SOLO al display de la renta mensual.</w:t>
      </w:r>
      <w:r>
        <w:rPr>
          <w:sz w:val="20"/>
        </w:rPr>
        <w:t xml:space="preserve"> El acumulado usa precisión completa (ver 3.3).</w:t>
      </w:r>
    </w:p>
    <w:p>
      <w:pPr>
        <w:pStyle w:val="ListBullet"/>
      </w:pPr>
      <w:r>
        <w:rPr>
          <w:b/>
          <w:sz w:val="20"/>
        </w:rPr>
        <w:t>Referencia:</w:t>
      </w:r>
      <w:r>
        <w:rPr>
          <w:sz w:val="20"/>
        </w:rPr>
        <w:t xml:space="preserve"> </w:t>
      </w:r>
      <w:r>
        <w:rPr>
          <w:rFonts w:ascii="Consolas" w:hAnsi="Consolas"/>
          <w:color w:val="333333"/>
          <w:sz w:val="20"/>
        </w:rPr>
        <w:t>client/src/lib/cotizacion/calculos.ts:547-551</w:t>
      </w:r>
      <w:r>
        <w:rPr>
          <w:sz w:val="20"/>
        </w:rPr>
        <w:t xml:space="preserve">, </w:t>
      </w:r>
      <w:r>
        <w:rPr>
          <w:rFonts w:ascii="Consolas" w:hAnsi="Consolas"/>
          <w:color w:val="333333"/>
          <w:sz w:val="20"/>
        </w:rPr>
        <w:t>:597</w:t>
      </w:r>
      <w:r>
        <w:rPr>
          <w:sz w:val="20"/>
        </w:rPr>
        <w:t xml:space="preserve">, </w:t>
      </w:r>
      <w:r>
        <w:rPr>
          <w:rFonts w:ascii="Consolas" w:hAnsi="Consolas"/>
          <w:color w:val="333333"/>
          <w:sz w:val="20"/>
        </w:rPr>
        <w:t>:509-514</w:t>
      </w:r>
      <w:r>
        <w:rPr>
          <w:sz w:val="20"/>
        </w:rPr>
        <w:t xml:space="preserve">; </w:t>
      </w:r>
      <w:r>
        <w:rPr>
          <w:rFonts w:ascii="Consolas" w:hAnsi="Consolas"/>
          <w:color w:val="333333"/>
          <w:sz w:val="20"/>
        </w:rPr>
        <w:t>amortizacion.ts:203-205</w:t>
      </w:r>
      <w:r>
        <w:rPr>
          <w:sz w:val="20"/>
        </w:rPr>
        <w:t xml:space="preserve">; </w:t>
      </w:r>
      <w:r>
        <w:rPr>
          <w:rFonts w:ascii="Consolas" w:hAnsi="Consolas"/>
          <w:color w:val="333333"/>
          <w:sz w:val="20"/>
        </w:rPr>
        <w:t>server/CLAUDE.md:174-180</w:t>
      </w:r>
      <w:r>
        <w:rPr>
          <w:sz w:val="20"/>
        </w:rPr>
        <w:t>.</w:t>
      </w:r>
    </w:p>
    <w:p>
      <w:pPr>
        <w:spacing w:before="160" w:after="80"/>
      </w:pPr>
      <w:r>
        <w:rPr>
          <w:b/>
          <w:color w:val="112239"/>
          <w:sz w:val="22"/>
        </w:rPr>
        <w:t>3.3 IVA total de rentas acumulado — PRECISIÓN COMPLETA (sin truncar)</w:t>
      </w:r>
    </w:p>
    <w:p>
      <w:pPr>
        <w:pStyle w:val="ListBullet"/>
      </w:pPr>
      <w:r>
        <w:rPr>
          <w:b/>
          <w:sz w:val="20"/>
        </w:rPr>
        <w:t>Regla / Fórmula:</w:t>
      </w:r>
      <w:r>
        <w:rPr>
          <w:sz w:val="20"/>
        </w:rPr>
        <w:t xml:space="preserve"> </w:t>
      </w:r>
      <w:r>
        <w:rPr>
          <w:rFonts w:ascii="Consolas" w:hAnsi="Consolas"/>
          <w:color w:val="333333"/>
          <w:sz w:val="20"/>
        </w:rPr>
        <w:t>totalRentas = rentaNetaFull × 1.16 × plazo</w:t>
      </w:r>
      <w:r>
        <w:rPr>
          <w:sz w:val="20"/>
        </w:rPr>
        <w:t xml:space="preserve">, usando </w:t>
      </w:r>
      <w:r>
        <w:rPr>
          <w:rFonts w:ascii="Consolas" w:hAnsi="Consolas"/>
          <w:color w:val="333333"/>
          <w:sz w:val="20"/>
        </w:rPr>
        <w:t>rentaNetaFull</w:t>
      </w:r>
      <w:r>
        <w:rPr>
          <w:sz w:val="20"/>
        </w:rPr>
        <w:t xml:space="preserve"> a precisión completa (Decimal sin redondear) y </w:t>
      </w:r>
      <w:r>
        <w:rPr>
          <w:rFonts w:ascii="Consolas" w:hAnsi="Consolas"/>
          <w:color w:val="333333"/>
          <w:sz w:val="20"/>
        </w:rPr>
        <w:t>ROUND_HALF_UP</w:t>
      </w:r>
      <w:r>
        <w:rPr>
          <w:sz w:val="20"/>
        </w:rPr>
        <w:t>, para que cuadre al centavo con el servidor.</w:t>
      </w:r>
    </w:p>
    <w:p>
      <w:pPr>
        <w:pStyle w:val="ListBullet"/>
      </w:pPr>
      <w:r>
        <w:rPr>
          <w:b/>
          <w:sz w:val="20"/>
        </w:rPr>
        <w:t>Referencia:</w:t>
      </w:r>
      <w:r>
        <w:rPr>
          <w:sz w:val="20"/>
        </w:rPr>
        <w:t xml:space="preserve"> </w:t>
      </w:r>
      <w:r>
        <w:rPr>
          <w:rFonts w:ascii="Consolas" w:hAnsi="Consolas"/>
          <w:color w:val="333333"/>
          <w:sz w:val="20"/>
        </w:rPr>
        <w:t>client/src/lib/cotizacion/calculos.ts:517</w:t>
      </w:r>
      <w:r>
        <w:rPr>
          <w:sz w:val="20"/>
        </w:rPr>
        <w:t xml:space="preserve">, </w:t>
      </w:r>
      <w:r>
        <w:rPr>
          <w:rFonts w:ascii="Consolas" w:hAnsi="Consolas"/>
          <w:color w:val="333333"/>
          <w:sz w:val="20"/>
        </w:rPr>
        <w:t>:422-428</w:t>
      </w:r>
      <w:r>
        <w:rPr>
          <w:sz w:val="20"/>
        </w:rPr>
        <w:t xml:space="preserve">, </w:t>
      </w:r>
      <w:r>
        <w:rPr>
          <w:rFonts w:ascii="Consolas" w:hAnsi="Consolas"/>
          <w:color w:val="333333"/>
          <w:sz w:val="20"/>
        </w:rPr>
        <w:t>:509-514</w:t>
      </w:r>
      <w:r>
        <w:rPr>
          <w:sz w:val="20"/>
        </w:rPr>
        <w:t>.</w:t>
      </w:r>
    </w:p>
    <w:p>
      <w:pPr>
        <w:spacing w:before="160" w:after="80"/>
      </w:pPr>
      <w:r>
        <w:rPr>
          <w:b/>
          <w:color w:val="112239"/>
          <w:sz w:val="22"/>
        </w:rPr>
        <w:t>3.4 IVA en las tablas de amortización (PDF al cliente)</w:t>
      </w:r>
    </w:p>
    <w:p>
      <w:pPr>
        <w:pStyle w:val="ListBullet"/>
      </w:pPr>
      <w:r>
        <w:rPr>
          <w:b/>
          <w:sz w:val="20"/>
        </w:rPr>
        <w:t>AP (operativo):</w:t>
      </w:r>
      <w:r>
        <w:rPr>
          <w:sz w:val="20"/>
        </w:rPr>
        <w:t xml:space="preserve"> 5 columnas — Período | Fecha | Renta | IVA | Total. </w:t>
      </w:r>
      <w:r>
        <w:rPr>
          <w:rFonts w:ascii="Consolas" w:hAnsi="Consolas"/>
          <w:color w:val="333333"/>
          <w:sz w:val="20"/>
        </w:rPr>
        <w:t>IVA = Renta × 0.16</w:t>
      </w:r>
      <w:r>
        <w:rPr>
          <w:sz w:val="20"/>
        </w:rPr>
        <w:t>. Sin desglose capital/interés.</w:t>
      </w:r>
    </w:p>
    <w:p>
      <w:pPr>
        <w:pStyle w:val="ListBullet"/>
      </w:pPr>
      <w:r>
        <w:rPr>
          <w:b/>
          <w:sz w:val="20"/>
        </w:rPr>
        <w:t>AF:</w:t>
      </w:r>
      <w:r>
        <w:rPr>
          <w:sz w:val="20"/>
        </w:rPr>
        <w:t xml:space="preserve"> 7 columnas — Período | Fecha | Capital | Interés | IVA | Total | Saldo. </w:t>
      </w:r>
      <w:r>
        <w:rPr>
          <w:rFonts w:ascii="Consolas" w:hAnsi="Consolas"/>
          <w:color w:val="333333"/>
          <w:sz w:val="20"/>
        </w:rPr>
        <w:t>IVA_n = Renta × 0.16</w:t>
      </w:r>
      <w:r>
        <w:rPr>
          <w:sz w:val="20"/>
        </w:rPr>
        <w:t xml:space="preserve"> (= PMT × 0.16). </w:t>
      </w:r>
      <w:r>
        <w:rPr>
          <w:rFonts w:ascii="Consolas" w:hAnsi="Consolas"/>
          <w:color w:val="333333"/>
          <w:sz w:val="20"/>
        </w:rPr>
        <w:t>Total_n = Capital_n + Interés_n + IVA_n</w:t>
      </w:r>
      <w:r>
        <w:rPr>
          <w:sz w:val="20"/>
        </w:rPr>
        <w:t>.</w:t>
      </w:r>
    </w:p>
    <w:p>
      <w:pPr>
        <w:pStyle w:val="ListBullet"/>
      </w:pPr>
      <w:r>
        <w:rPr>
          <w:b/>
          <w:sz w:val="20"/>
        </w:rPr>
        <w:t>Referencia:</w:t>
      </w:r>
      <w:r>
        <w:rPr>
          <w:sz w:val="20"/>
        </w:rPr>
        <w:t xml:space="preserve"> </w:t>
      </w:r>
      <w:r>
        <w:rPr>
          <w:rFonts w:ascii="Consolas" w:hAnsi="Consolas"/>
          <w:color w:val="333333"/>
          <w:sz w:val="20"/>
        </w:rPr>
        <w:t>server/CLAUDE.md:205-209</w:t>
      </w:r>
      <w:r>
        <w:rPr>
          <w:sz w:val="20"/>
        </w:rPr>
        <w:t xml:space="preserve"> (AP), </w:t>
      </w:r>
      <w:r>
        <w:rPr>
          <w:rFonts w:ascii="Consolas" w:hAnsi="Consolas"/>
          <w:color w:val="333333"/>
          <w:sz w:val="20"/>
        </w:rPr>
        <w:t>:215-222</w:t>
      </w:r>
      <w:r>
        <w:rPr>
          <w:sz w:val="20"/>
        </w:rPr>
        <w:t xml:space="preserve"> (AF).</w:t>
      </w:r>
    </w:p>
    <w:p>
      <w:pPr>
        <w:spacing w:before="40" w:after="40"/>
        <w:ind w:left="360"/>
      </w:pPr>
      <w:r>
        <w:rPr>
          <w:b/>
          <w:color w:val="664400"/>
          <w:sz w:val="19"/>
        </w:rPr>
        <w:t>Nota:</w:t>
      </w:r>
      <w:r>
        <w:rPr>
          <w:color w:val="664400"/>
          <w:sz w:val="19"/>
        </w:rPr>
        <w:t xml:space="preserve"> El seguro se descuenta del PMT por </w:t>
      </w:r>
      <w:r>
        <w:rPr>
          <w:rFonts w:ascii="Consolas" w:hAnsi="Consolas"/>
          <w:color w:val="664400"/>
          <w:sz w:val="19"/>
        </w:rPr>
        <w:t>/1.16</w:t>
      </w:r>
      <w:r>
        <w:rPr>
          <w:color w:val="664400"/>
          <w:sz w:val="19"/>
        </w:rPr>
        <w:t xml:space="preserve"> porque se cobra por separado con su propio IVA en cada renta (</w:t>
      </w:r>
      <w:r>
        <w:rPr>
          <w:rFonts w:ascii="Consolas" w:hAnsi="Consolas"/>
          <w:color w:val="664400"/>
          <w:sz w:val="19"/>
        </w:rPr>
        <w:t>server/CLAUDE.md:154-159,165-169</w:t>
      </w:r>
      <w:r>
        <w:rPr>
          <w:color w:val="664400"/>
          <w:sz w:val="19"/>
        </w:rPr>
        <w:t>).</w:t>
      </w:r>
    </w:p>
    <w:p>
      <w:pPr>
        <w:spacing w:before="240" w:after="80"/>
      </w:pPr>
      <w:r>
        <w:rPr>
          <w:b/>
          <w:color w:val="112239"/>
          <w:sz w:val="26"/>
        </w:rPr>
        <w:t>4. Cobranza y mora</w:t>
      </w:r>
    </w:p>
    <w:p>
      <w:pPr>
        <w:spacing w:before="160" w:after="80"/>
      </w:pPr>
      <w:r>
        <w:rPr>
          <w:b/>
          <w:color w:val="112239"/>
          <w:sz w:val="22"/>
        </w:rPr>
        <w:t>4.1 IVA sobre intereses moratorios</w:t>
      </w:r>
    </w:p>
    <w:p>
      <w:pPr>
        <w:pStyle w:val="ListBullet"/>
      </w:pPr>
      <w:r>
        <w:rPr>
          <w:b/>
          <w:sz w:val="20"/>
        </w:rPr>
        <w:t>Tipo:</w:t>
      </w:r>
      <w:r>
        <w:rPr>
          <w:sz w:val="20"/>
        </w:rPr>
        <w:t xml:space="preserve"> Trasladado.</w:t>
      </w:r>
    </w:p>
    <w:p>
      <w:pPr>
        <w:pStyle w:val="ListBullet"/>
      </w:pPr>
      <w:r>
        <w:rPr>
          <w:b/>
          <w:sz w:val="20"/>
        </w:rPr>
        <w:t>Momento:</w:t>
      </w:r>
      <w:r>
        <w:rPr>
          <w:sz w:val="20"/>
        </w:rPr>
        <w:t xml:space="preserve"> Devengado </w:t>
      </w:r>
      <w:r>
        <w:rPr>
          <w:b/>
          <w:sz w:val="20"/>
        </w:rPr>
        <w:t>diariamente</w:t>
      </w:r>
      <w:r>
        <w:rPr>
          <w:sz w:val="20"/>
        </w:rPr>
        <w:t xml:space="preserve"> desde 1 día después del vencimiento, hasta el pago/cobranza; recalculado por tramos si hay pagos parciales (decisión D2).</w:t>
      </w:r>
    </w:p>
    <w:p>
      <w:pPr>
        <w:pStyle w:val="ListBullet"/>
      </w:pPr>
      <w:r>
        <w:rPr>
          <w:b/>
          <w:sz w:val="20"/>
        </w:rPr>
        <w:t>Tasa moratoria (dinámica):</w:t>
      </w:r>
      <w:r>
        <w:rPr>
          <w:sz w:val="20"/>
        </w:rPr>
        <w:t xml:space="preserve"> </w:t>
      </w:r>
      <w:r>
        <w:rPr>
          <w:rFonts w:ascii="Consolas" w:hAnsi="Consolas"/>
          <w:color w:val="333333"/>
          <w:sz w:val="20"/>
        </w:rPr>
        <w:t>2× tasa ordinaria anual del contrato</w:t>
      </w:r>
      <w:r>
        <w:rPr>
          <w:sz w:val="20"/>
        </w:rPr>
        <w:t xml:space="preserve"> (NO 72% fijo). Ej.: 36% ordinaria → 72% moratoria.</w:t>
      </w:r>
    </w:p>
    <w:p>
      <w:pPr>
        <w:pStyle w:val="ListBullet"/>
      </w:pPr>
      <w:r>
        <w:rPr>
          <w:b/>
          <w:sz w:val="20"/>
        </w:rPr>
        <w:t>Regla / Fórmula:</w:t>
      </w:r>
    </w:p>
    <w:p>
      <w:pPr>
        <w:pStyle w:val="ListBullet"/>
      </w:pPr>
      <w:r>
        <w:rPr>
          <w:rFonts w:ascii="Consolas" w:hAnsi="Consolas"/>
          <w:color w:val="333333"/>
          <w:sz w:val="20"/>
        </w:rPr>
        <w:t>tasaMoratoriaDiaria = (tasaAnual × 2) / 360</w:t>
      </w:r>
    </w:p>
    <w:p>
      <w:pPr>
        <w:pStyle w:val="ListBullet"/>
      </w:pPr>
      <w:r>
        <w:rPr>
          <w:rFonts w:ascii="Consolas" w:hAnsi="Consolas"/>
          <w:color w:val="333333"/>
          <w:sz w:val="20"/>
        </w:rPr>
        <w:t>interesMoratorio = rentaPendienteSinIVA × tasaMoratoriaDiaria × diasAtraso − moratorioYaPagado</w:t>
      </w:r>
    </w:p>
    <w:p>
      <w:pPr>
        <w:pStyle w:val="ListBullet"/>
      </w:pPr>
      <w:r>
        <w:rPr>
          <w:rFonts w:ascii="Consolas" w:hAnsi="Consolas"/>
          <w:color w:val="333333"/>
          <w:sz w:val="20"/>
        </w:rPr>
        <w:t>ivaMoratorio = interesMoratorio × 0.16</w:t>
      </w:r>
    </w:p>
    <w:p>
      <w:pPr>
        <w:pStyle w:val="ListBullet"/>
      </w:pPr>
      <w:r>
        <w:rPr>
          <w:b/>
          <w:sz w:val="20"/>
        </w:rPr>
        <w:t>Base = renta pendiente SIN IVA del período en mora</w:t>
      </w:r>
      <w:r>
        <w:rPr>
          <w:sz w:val="20"/>
        </w:rPr>
        <w:t>, NO el saldo insoluto general.</w:t>
      </w:r>
    </w:p>
    <w:p>
      <w:pPr>
        <w:pStyle w:val="ListBullet"/>
      </w:pPr>
      <w:r>
        <w:rPr>
          <w:b/>
          <w:sz w:val="20"/>
        </w:rPr>
        <w:t>Referencia:</w:t>
      </w:r>
      <w:r>
        <w:rPr>
          <w:sz w:val="20"/>
        </w:rPr>
        <w:t xml:space="preserve"> </w:t>
      </w:r>
      <w:r>
        <w:rPr>
          <w:rFonts w:ascii="Consolas" w:hAnsi="Consolas"/>
          <w:color w:val="333333"/>
          <w:sz w:val="20"/>
        </w:rPr>
        <w:t>server/src/routes/cobranza.ts:39-44</w:t>
      </w:r>
      <w:r>
        <w:rPr>
          <w:sz w:val="20"/>
        </w:rPr>
        <w:t xml:space="preserve"> (</w:t>
      </w:r>
      <w:r>
        <w:rPr>
          <w:rFonts w:ascii="Consolas" w:hAnsi="Consolas"/>
          <w:color w:val="333333"/>
          <w:sz w:val="20"/>
        </w:rPr>
        <w:t>calcMoratorio</w:t>
      </w:r>
      <w:r>
        <w:rPr>
          <w:sz w:val="20"/>
        </w:rPr>
        <w:t xml:space="preserve">), </w:t>
      </w:r>
      <w:r>
        <w:rPr>
          <w:rFonts w:ascii="Consolas" w:hAnsi="Consolas"/>
          <w:color w:val="333333"/>
          <w:sz w:val="20"/>
        </w:rPr>
        <w:t>:83-153</w:t>
      </w:r>
      <w:r>
        <w:rPr>
          <w:sz w:val="20"/>
        </w:rPr>
        <w:t xml:space="preserve"> (</w:t>
      </w:r>
      <w:r>
        <w:rPr>
          <w:rFonts w:ascii="Consolas" w:hAnsi="Consolas"/>
          <w:color w:val="333333"/>
          <w:sz w:val="20"/>
        </w:rPr>
        <w:t>calcMoratorioPorTramos</w:t>
      </w:r>
      <w:r>
        <w:rPr>
          <w:sz w:val="20"/>
        </w:rPr>
        <w:t xml:space="preserve">), </w:t>
      </w:r>
      <w:r>
        <w:rPr>
          <w:rFonts w:ascii="Consolas" w:hAnsi="Consolas"/>
          <w:color w:val="333333"/>
          <w:sz w:val="20"/>
        </w:rPr>
        <w:t>:236</w:t>
      </w:r>
      <w:r>
        <w:rPr>
          <w:sz w:val="20"/>
        </w:rPr>
        <w:t xml:space="preserve">; </w:t>
      </w:r>
      <w:r>
        <w:rPr>
          <w:rFonts w:ascii="Consolas" w:hAnsi="Consolas"/>
          <w:color w:val="333333"/>
          <w:sz w:val="20"/>
        </w:rPr>
        <w:t>server/src/services/leaseCalculator.ts:425-470</w:t>
      </w:r>
      <w:r>
        <w:rPr>
          <w:sz w:val="20"/>
        </w:rPr>
        <w:t xml:space="preserve">, </w:t>
      </w:r>
      <w:r>
        <w:rPr>
          <w:rFonts w:ascii="Consolas" w:hAnsi="Consolas"/>
          <w:color w:val="333333"/>
          <w:sz w:val="20"/>
        </w:rPr>
        <w:t>:465</w:t>
      </w:r>
      <w:r>
        <w:rPr>
          <w:sz w:val="20"/>
        </w:rPr>
        <w:t xml:space="preserve">; </w:t>
      </w:r>
      <w:r>
        <w:rPr>
          <w:rFonts w:ascii="Consolas" w:hAnsi="Consolas"/>
          <w:color w:val="333333"/>
          <w:sz w:val="20"/>
        </w:rPr>
        <w:t>server/CLAUDE.md §4.9</w:t>
      </w:r>
      <w:r>
        <w:rPr>
          <w:sz w:val="20"/>
        </w:rPr>
        <w:t xml:space="preserve"> (</w:t>
      </w:r>
      <w:r>
        <w:rPr>
          <w:rFonts w:ascii="Consolas" w:hAnsi="Consolas"/>
          <w:color w:val="333333"/>
          <w:sz w:val="20"/>
        </w:rPr>
        <w:t>233-246</w:t>
      </w:r>
      <w:r>
        <w:rPr>
          <w:sz w:val="20"/>
        </w:rPr>
        <w:t xml:space="preserve">); </w:t>
      </w:r>
      <w:r>
        <w:rPr>
          <w:rFonts w:ascii="Consolas" w:hAnsi="Consolas"/>
          <w:color w:val="333333"/>
          <w:sz w:val="20"/>
        </w:rPr>
        <w:t>docs/LOGICA_COBRANZA.md:78-85,309-339</w:t>
      </w:r>
      <w:r>
        <w:rPr>
          <w:sz w:val="20"/>
        </w:rPr>
        <w:t>.</w:t>
      </w:r>
    </w:p>
    <w:p>
      <w:pPr>
        <w:spacing w:before="160" w:after="80"/>
      </w:pPr>
      <w:r>
        <w:rPr>
          <w:b/>
          <w:color w:val="112239"/>
          <w:sz w:val="22"/>
        </w:rPr>
        <w:t>4.2 Prelación legal de aplicación de pagos (orden exacto, con IVA)</w:t>
      </w:r>
    </w:p>
    <w:p>
      <w:r>
        <w:t>Orden estricto de imputación de cada pago recibido:</w:t>
      </w:r>
    </w:p>
    <w:p>
      <w:pPr>
        <w:pStyle w:val="ListNumber"/>
      </w:pPr>
      <w:r>
        <w:rPr>
          <w:b/>
          <w:sz w:val="20"/>
        </w:rPr>
        <w:t>Intereses moratorios</w:t>
      </w:r>
    </w:p>
    <w:p>
      <w:pPr>
        <w:pStyle w:val="ListNumber"/>
      </w:pPr>
      <w:r>
        <w:rPr>
          <w:b/>
          <w:sz w:val="20"/>
        </w:rPr>
        <w:t>IVA sobre moratorios</w:t>
      </w:r>
    </w:p>
    <w:p>
      <w:pPr>
        <w:pStyle w:val="ListNumber"/>
      </w:pPr>
      <w:r>
        <w:rPr>
          <w:b/>
          <w:sz w:val="20"/>
        </w:rPr>
        <w:t>Intereses ordinarios</w:t>
      </w:r>
      <w:r>
        <w:rPr>
          <w:sz w:val="20"/>
        </w:rPr>
        <w:t xml:space="preserve"> (AF)</w:t>
      </w:r>
    </w:p>
    <w:p>
      <w:pPr>
        <w:pStyle w:val="ListNumber"/>
      </w:pPr>
      <w:r>
        <w:rPr>
          <w:b/>
          <w:sz w:val="20"/>
        </w:rPr>
        <w:t>IVA sobre intereses</w:t>
      </w:r>
      <w:r>
        <w:rPr>
          <w:sz w:val="20"/>
        </w:rPr>
        <w:t xml:space="preserve"> (AF)</w:t>
      </w:r>
    </w:p>
    <w:p>
      <w:pPr>
        <w:pStyle w:val="ListNumber"/>
      </w:pPr>
      <w:r>
        <w:rPr>
          <w:b/>
          <w:sz w:val="20"/>
        </w:rPr>
        <w:t>Renta</w:t>
      </w:r>
      <w:r>
        <w:rPr>
          <w:sz w:val="20"/>
        </w:rPr>
        <w:t xml:space="preserve"> (+ su IVA) / </w:t>
      </w:r>
      <w:r>
        <w:rPr>
          <w:b/>
          <w:sz w:val="20"/>
        </w:rPr>
        <w:t>Capital</w:t>
      </w:r>
      <w:r>
        <w:rPr>
          <w:sz w:val="20"/>
        </w:rPr>
        <w:t xml:space="preserve"> (AF)</w:t>
      </w:r>
    </w:p>
    <w:p>
      <w:pPr>
        <w:pStyle w:val="ListBullet"/>
      </w:pPr>
      <w:r>
        <w:rPr>
          <w:b/>
          <w:sz w:val="20"/>
        </w:rPr>
        <w:t>Regla dentro de cada "balde" (bucket):</w:t>
      </w:r>
      <w:r>
        <w:rPr>
          <w:sz w:val="20"/>
        </w:rPr>
        <w:t xml:space="preserve"> si el efectivo es insuficiente, se reparte </w:t>
      </w:r>
      <w:r>
        <w:rPr>
          <w:b/>
          <w:sz w:val="20"/>
        </w:rPr>
        <w:t>proporcional</w:t>
      </w:r>
      <w:r>
        <w:rPr>
          <w:sz w:val="20"/>
        </w:rPr>
        <w:t xml:space="preserve"> entre principal e IVA (</w:t>
      </w:r>
      <w:r>
        <w:rPr>
          <w:rFonts w:ascii="Consolas" w:hAnsi="Consolas"/>
          <w:color w:val="333333"/>
          <w:sz w:val="20"/>
        </w:rPr>
        <w:t>splitProporcional</w:t>
      </w:r>
      <w:r>
        <w:rPr>
          <w:sz w:val="20"/>
        </w:rPr>
        <w:t xml:space="preserve">, decisión D5). </w:t>
      </w:r>
      <w:r>
        <w:rPr>
          <w:b/>
          <w:sz w:val="20"/>
        </w:rPr>
        <w:t>Estricto entre baldes, proporcional dentro del balde.</w:t>
      </w:r>
    </w:p>
    <w:p>
      <w:pPr>
        <w:pStyle w:val="ListBullet"/>
      </w:pPr>
      <w:r>
        <w:rPr>
          <w:b/>
          <w:sz w:val="20"/>
        </w:rPr>
        <w:t>Referencia:</w:t>
      </w:r>
      <w:r>
        <w:rPr>
          <w:sz w:val="20"/>
        </w:rPr>
        <w:t xml:space="preserve"> </w:t>
      </w:r>
      <w:r>
        <w:rPr>
          <w:rFonts w:ascii="Consolas" w:hAnsi="Consolas"/>
          <w:color w:val="333333"/>
          <w:sz w:val="20"/>
        </w:rPr>
        <w:t>server/src/routes/cobranza.ts:502</w:t>
      </w:r>
      <w:r>
        <w:rPr>
          <w:sz w:val="20"/>
        </w:rPr>
        <w:t xml:space="preserve">, </w:t>
      </w:r>
      <w:r>
        <w:rPr>
          <w:rFonts w:ascii="Consolas" w:hAnsi="Consolas"/>
          <w:color w:val="333333"/>
          <w:sz w:val="20"/>
        </w:rPr>
        <w:t>:518-530</w:t>
      </w:r>
      <w:r>
        <w:rPr>
          <w:sz w:val="20"/>
        </w:rPr>
        <w:t xml:space="preserve">, </w:t>
      </w:r>
      <w:r>
        <w:rPr>
          <w:rFonts w:ascii="Consolas" w:hAnsi="Consolas"/>
          <w:color w:val="333333"/>
          <w:sz w:val="20"/>
        </w:rPr>
        <w:t>:649-670</w:t>
      </w:r>
      <w:r>
        <w:rPr>
          <w:sz w:val="20"/>
        </w:rPr>
        <w:t xml:space="preserve">; </w:t>
      </w:r>
      <w:r>
        <w:rPr>
          <w:rFonts w:ascii="Consolas" w:hAnsi="Consolas"/>
          <w:color w:val="333333"/>
          <w:sz w:val="20"/>
        </w:rPr>
        <w:t>server/CLAUDE.md:249-255</w:t>
      </w:r>
      <w:r>
        <w:rPr>
          <w:sz w:val="20"/>
        </w:rPr>
        <w:t xml:space="preserve">; </w:t>
      </w:r>
      <w:r>
        <w:rPr>
          <w:rFonts w:ascii="Consolas" w:hAnsi="Consolas"/>
          <w:color w:val="333333"/>
          <w:sz w:val="20"/>
        </w:rPr>
        <w:t>docs/LOGICA_COBRANZA.md:160-166,375-401</w:t>
      </w:r>
      <w:r>
        <w:rPr>
          <w:sz w:val="20"/>
        </w:rPr>
        <w:t>.</w:t>
      </w:r>
    </w:p>
    <w:p>
      <w:pPr>
        <w:spacing w:before="40" w:after="40"/>
        <w:ind w:left="360"/>
      </w:pPr>
      <w:r>
        <w:rPr>
          <w:b/>
          <w:color w:val="664400"/>
          <w:sz w:val="19"/>
        </w:rPr>
        <w:t>Matiz de evidencia:</w:t>
      </w:r>
      <w:r>
        <w:rPr>
          <w:color w:val="664400"/>
          <w:sz w:val="19"/>
        </w:rPr>
        <w:t xml:space="preserve"> </w:t>
      </w:r>
      <w:r>
        <w:rPr>
          <w:rFonts w:ascii="Consolas" w:hAnsi="Consolas"/>
          <w:color w:val="664400"/>
          <w:sz w:val="19"/>
        </w:rPr>
        <w:t>CLAUDE.md:249-255</w:t>
      </w:r>
      <w:r>
        <w:rPr>
          <w:color w:val="664400"/>
          <w:sz w:val="19"/>
        </w:rPr>
        <w:t xml:space="preserve"> lista el orden incluyendo intereses ordinarios (pasos 3-4) para AF. En AP no hay intereses ordinarios separados, así que el flujo efectivo es: moratorios (+IVA) → renta (+IVA).</w:t>
      </w:r>
    </w:p>
    <w:p>
      <w:pPr>
        <w:spacing w:before="160" w:after="80"/>
      </w:pPr>
      <w:r>
        <w:rPr>
          <w:b/>
          <w:color w:val="112239"/>
          <w:sz w:val="22"/>
        </w:rPr>
        <w:t>4.3 Pagos adelantados / sobrantes (sin IVA propio del sobrante)</w:t>
      </w:r>
    </w:p>
    <w:p>
      <w:pPr>
        <w:pStyle w:val="ListBullet"/>
      </w:pPr>
      <w:r>
        <w:rPr>
          <w:b/>
          <w:sz w:val="20"/>
        </w:rPr>
        <w:t>AP:</w:t>
      </w:r>
      <w:r>
        <w:rPr>
          <w:sz w:val="20"/>
        </w:rPr>
        <w:t xml:space="preserve"> el sobrante se prorratea a rentas futuras: </w:t>
      </w:r>
      <w:r>
        <w:rPr>
          <w:rFonts w:ascii="Consolas" w:hAnsi="Consolas"/>
          <w:color w:val="333333"/>
          <w:sz w:val="20"/>
        </w:rPr>
        <w:t>nueva_renta = (rentas_futuras − pago_adicional) / periodos_restantes</w:t>
      </w:r>
      <w:r>
        <w:rPr>
          <w:sz w:val="20"/>
        </w:rPr>
        <w:t xml:space="preserve">. Cada renta futura conserva </w:t>
      </w:r>
      <w:r>
        <w:rPr>
          <w:rFonts w:ascii="Consolas" w:hAnsi="Consolas"/>
          <w:color w:val="333333"/>
          <w:sz w:val="20"/>
        </w:rPr>
        <w:t>IVA = nueva_renta × 0.16</w:t>
      </w:r>
      <w:r>
        <w:rPr>
          <w:sz w:val="20"/>
        </w:rPr>
        <w:t>.</w:t>
      </w:r>
    </w:p>
    <w:p>
      <w:pPr>
        <w:pStyle w:val="ListBullet"/>
      </w:pPr>
      <w:r>
        <w:rPr>
          <w:b/>
          <w:sz w:val="20"/>
        </w:rPr>
        <w:t>AF:</w:t>
      </w:r>
      <w:r>
        <w:rPr>
          <w:sz w:val="20"/>
        </w:rPr>
        <w:t xml:space="preserve"> el cliente decide aplicar a próxima renta o abonar a capital → recalcula </w:t>
      </w:r>
      <w:r>
        <w:rPr>
          <w:rFonts w:ascii="Consolas" w:hAnsi="Consolas"/>
          <w:color w:val="333333"/>
          <w:sz w:val="20"/>
        </w:rPr>
        <w:t>PMT(i, periodos_restantes, −saldo, 0)</w:t>
      </w:r>
      <w:r>
        <w:rPr>
          <w:sz w:val="20"/>
        </w:rPr>
        <w:t xml:space="preserve">; la nueva renta lleva su IVA = </w:t>
      </w:r>
      <w:r>
        <w:rPr>
          <w:rFonts w:ascii="Consolas" w:hAnsi="Consolas"/>
          <w:color w:val="333333"/>
          <w:sz w:val="20"/>
        </w:rPr>
        <w:t>nueva_renta × 0.16</w:t>
      </w:r>
      <w:r>
        <w:rPr>
          <w:sz w:val="20"/>
        </w:rPr>
        <w:t>.</w:t>
      </w:r>
    </w:p>
    <w:p>
      <w:pPr>
        <w:pStyle w:val="ListBullet"/>
      </w:pPr>
      <w:r>
        <w:rPr>
          <w:b/>
          <w:sz w:val="20"/>
        </w:rPr>
        <w:t>El pago adicional NO tiene IVA propio</w:t>
      </w:r>
      <w:r>
        <w:rPr>
          <w:sz w:val="20"/>
        </w:rPr>
        <w:t>; solo se recalcula el IVA de la renta futura.</w:t>
      </w:r>
    </w:p>
    <w:p>
      <w:pPr>
        <w:pStyle w:val="ListBullet"/>
      </w:pPr>
      <w:r>
        <w:rPr>
          <w:b/>
          <w:sz w:val="20"/>
        </w:rPr>
        <w:t>Referencia:</w:t>
      </w:r>
      <w:r>
        <w:rPr>
          <w:sz w:val="20"/>
        </w:rPr>
        <w:t xml:space="preserve"> </w:t>
      </w:r>
      <w:r>
        <w:rPr>
          <w:rFonts w:ascii="Consolas" w:hAnsi="Consolas"/>
          <w:color w:val="333333"/>
          <w:sz w:val="20"/>
        </w:rPr>
        <w:t>server/CLAUDE.md §4.10</w:t>
      </w:r>
      <w:r>
        <w:rPr>
          <w:sz w:val="20"/>
        </w:rPr>
        <w:t xml:space="preserve">; </w:t>
      </w:r>
      <w:r>
        <w:rPr>
          <w:rFonts w:ascii="Consolas" w:hAnsi="Consolas"/>
          <w:color w:val="333333"/>
          <w:sz w:val="20"/>
        </w:rPr>
        <w:t>docs/LOGICA_COBRANZA.md:288-307</w:t>
      </w:r>
      <w:r>
        <w:rPr>
          <w:sz w:val="20"/>
        </w:rPr>
        <w:t>.</w:t>
      </w:r>
    </w:p>
    <w:p>
      <w:pPr>
        <w:spacing w:before="240" w:after="80"/>
      </w:pPr>
      <w:r>
        <w:rPr>
          <w:b/>
          <w:color w:val="112239"/>
          <w:sz w:val="26"/>
        </w:rPr>
        <w:t>5. Cierre del contrato</w:t>
      </w:r>
    </w:p>
    <w:p>
      <w:pPr>
        <w:spacing w:before="160" w:after="80"/>
      </w:pPr>
      <w:r>
        <w:rPr>
          <w:b/>
          <w:color w:val="112239"/>
          <w:sz w:val="22"/>
        </w:rPr>
        <w:t>5.1 IVA del valor de rescate / residual — AP (display PDF)</w:t>
      </w:r>
    </w:p>
    <w:p>
      <w:pPr>
        <w:pStyle w:val="ListBullet"/>
      </w:pPr>
      <w:r>
        <w:rPr>
          <w:b/>
          <w:sz w:val="20"/>
        </w:rPr>
        <w:t>Tipo:</w:t>
      </w:r>
      <w:r>
        <w:rPr>
          <w:sz w:val="20"/>
        </w:rPr>
        <w:t xml:space="preserve"> Trasladado (display informativo).</w:t>
      </w:r>
    </w:p>
    <w:p>
      <w:pPr>
        <w:pStyle w:val="ListBullet"/>
      </w:pPr>
      <w:r>
        <w:rPr>
          <w:b/>
          <w:sz w:val="20"/>
        </w:rPr>
        <w:t>Regla / Fórmula:</w:t>
      </w:r>
      <w:r>
        <w:rPr>
          <w:sz w:val="20"/>
        </w:rPr>
        <w:t xml:space="preserve"> </w:t>
      </w:r>
      <w:r>
        <w:rPr>
          <w:rFonts w:ascii="Consolas" w:hAnsi="Consolas"/>
          <w:color w:val="333333"/>
          <w:sz w:val="20"/>
        </w:rPr>
        <w:t>IVA_rescate = valorResidualResuelto × 0.16</w:t>
      </w:r>
      <w:r>
        <w:rPr>
          <w:sz w:val="20"/>
        </w:rPr>
        <w:t xml:space="preserve">; </w:t>
      </w:r>
      <w:r>
        <w:rPr>
          <w:rFonts w:ascii="Consolas" w:hAnsi="Consolas"/>
          <w:color w:val="333333"/>
          <w:sz w:val="20"/>
        </w:rPr>
        <w:t>Total = valorResidualResuelto × 1.16</w:t>
      </w:r>
      <w:r>
        <w:rPr>
          <w:sz w:val="20"/>
        </w:rPr>
        <w:t>.</w:t>
      </w:r>
    </w:p>
    <w:p>
      <w:pPr>
        <w:pStyle w:val="ListBullet"/>
      </w:pPr>
      <w:r>
        <w:rPr>
          <w:sz w:val="20"/>
        </w:rPr>
        <w:t xml:space="preserve">El residual SIN IVA </w:t>
      </w:r>
      <w:r>
        <w:rPr>
          <w:b/>
          <w:sz w:val="20"/>
        </w:rPr>
        <w:t>no entra al PMT</w:t>
      </w:r>
      <w:r>
        <w:rPr>
          <w:sz w:val="20"/>
        </w:rPr>
        <w:t xml:space="preserve"> (es solo display, sección 4 del PDF).</w:t>
      </w:r>
    </w:p>
    <w:p>
      <w:pPr>
        <w:pStyle w:val="ListBullet"/>
      </w:pPr>
      <w:r>
        <w:rPr>
          <w:b/>
          <w:sz w:val="20"/>
        </w:rPr>
        <w:t>Referencia:</w:t>
      </w:r>
      <w:r>
        <w:rPr>
          <w:sz w:val="20"/>
        </w:rPr>
        <w:t xml:space="preserve"> </w:t>
      </w:r>
      <w:r>
        <w:rPr>
          <w:rFonts w:ascii="Consolas" w:hAnsi="Consolas"/>
          <w:color w:val="333333"/>
          <w:sz w:val="20"/>
        </w:rPr>
        <w:t>client/src/lib/cotizacion/calculos.ts:432-437</w:t>
      </w:r>
      <w:r>
        <w:rPr>
          <w:sz w:val="20"/>
        </w:rPr>
        <w:t xml:space="preserve">, </w:t>
      </w:r>
      <w:r>
        <w:rPr>
          <w:rFonts w:ascii="Consolas" w:hAnsi="Consolas"/>
          <w:color w:val="333333"/>
          <w:sz w:val="20"/>
        </w:rPr>
        <w:t>:600-606</w:t>
      </w:r>
      <w:r>
        <w:rPr>
          <w:sz w:val="20"/>
        </w:rPr>
        <w:t xml:space="preserve">; </w:t>
      </w:r>
      <w:r>
        <w:rPr>
          <w:rFonts w:ascii="Consolas" w:hAnsi="Consolas"/>
          <w:color w:val="333333"/>
          <w:sz w:val="20"/>
        </w:rPr>
        <w:t>server/CLAUDE.md:187-188</w:t>
      </w:r>
      <w:r>
        <w:rPr>
          <w:sz w:val="20"/>
        </w:rPr>
        <w:t>.</w:t>
      </w:r>
    </w:p>
    <w:p>
      <w:pPr>
        <w:spacing w:before="160" w:after="80"/>
      </w:pPr>
      <w:r>
        <w:rPr>
          <w:b/>
          <w:color w:val="112239"/>
          <w:sz w:val="22"/>
        </w:rPr>
        <w:t>5.2 IVA de la opción de compra — AF (display PDF)</w:t>
      </w:r>
    </w:p>
    <w:p>
      <w:pPr>
        <w:pStyle w:val="ListBullet"/>
      </w:pPr>
      <w:r>
        <w:rPr>
          <w:b/>
          <w:sz w:val="20"/>
        </w:rPr>
        <w:t>Tipo:</w:t>
      </w:r>
      <w:r>
        <w:rPr>
          <w:sz w:val="20"/>
        </w:rPr>
        <w:t xml:space="preserve"> Trasladado (display informativo).</w:t>
      </w:r>
    </w:p>
    <w:p>
      <w:pPr>
        <w:pStyle w:val="ListBullet"/>
      </w:pPr>
      <w:r>
        <w:rPr>
          <w:b/>
          <w:sz w:val="20"/>
        </w:rPr>
        <w:t>Regla / Fórmula:</w:t>
      </w:r>
      <w:r>
        <w:rPr>
          <w:sz w:val="20"/>
        </w:rPr>
        <w:t xml:space="preserve"> opción fija al 2% de </w:t>
      </w:r>
      <w:r>
        <w:rPr>
          <w:rFonts w:ascii="Consolas" w:hAnsi="Consolas"/>
          <w:color w:val="333333"/>
          <w:sz w:val="20"/>
        </w:rPr>
        <w:t>baseBien</w:t>
      </w:r>
      <w:r>
        <w:rPr>
          <w:sz w:val="20"/>
        </w:rPr>
        <w:t xml:space="preserve">. </w:t>
      </w:r>
      <w:r>
        <w:rPr>
          <w:rFonts w:ascii="Consolas" w:hAnsi="Consolas"/>
          <w:color w:val="333333"/>
          <w:sz w:val="20"/>
        </w:rPr>
        <w:t>IVA_opción = (baseBien × 0.02) × 0.16</w:t>
      </w:r>
      <w:r>
        <w:rPr>
          <w:sz w:val="20"/>
        </w:rPr>
        <w:t xml:space="preserve">; </w:t>
      </w:r>
      <w:r>
        <w:rPr>
          <w:rFonts w:ascii="Consolas" w:hAnsi="Consolas"/>
          <w:color w:val="333333"/>
          <w:sz w:val="20"/>
        </w:rPr>
        <w:t>Total = (baseBien × 0.02) × 1.16</w:t>
      </w:r>
      <w:r>
        <w:rPr>
          <w:sz w:val="20"/>
        </w:rPr>
        <w:t>.</w:t>
      </w:r>
    </w:p>
    <w:p>
      <w:pPr>
        <w:pStyle w:val="ListBullet"/>
      </w:pPr>
      <w:r>
        <w:rPr>
          <w:b/>
          <w:sz w:val="20"/>
        </w:rPr>
        <w:t>Referencia:</w:t>
      </w:r>
      <w:r>
        <w:rPr>
          <w:sz w:val="20"/>
        </w:rPr>
        <w:t xml:space="preserve"> </w:t>
      </w:r>
      <w:r>
        <w:rPr>
          <w:rFonts w:ascii="Consolas" w:hAnsi="Consolas"/>
          <w:color w:val="333333"/>
          <w:sz w:val="20"/>
        </w:rPr>
        <w:t>server/CLAUDE.md:190-192</w:t>
      </w:r>
      <w:r>
        <w:rPr>
          <w:sz w:val="20"/>
        </w:rPr>
        <w:t xml:space="preserve">; </w:t>
      </w:r>
      <w:r>
        <w:rPr>
          <w:rFonts w:ascii="Consolas" w:hAnsi="Consolas"/>
          <w:color w:val="333333"/>
          <w:sz w:val="20"/>
        </w:rPr>
        <w:t>server/src/services/leaseCalculator.ts:337-343</w:t>
      </w:r>
      <w:r>
        <w:rPr>
          <w:sz w:val="20"/>
        </w:rPr>
        <w:t>.</w:t>
      </w:r>
    </w:p>
    <w:p>
      <w:pPr>
        <w:spacing w:before="160" w:after="80"/>
      </w:pPr>
      <w:r>
        <w:rPr>
          <w:b/>
          <w:color w:val="112239"/>
          <w:sz w:val="22"/>
        </w:rPr>
        <w:t>5.3 Depósito en garantía (AP) — SIN IVA</w:t>
      </w:r>
    </w:p>
    <w:p>
      <w:pPr>
        <w:pStyle w:val="ListBullet"/>
      </w:pPr>
      <w:r>
        <w:rPr>
          <w:b/>
          <w:sz w:val="20"/>
        </w:rPr>
        <w:t>Tipo:</w:t>
      </w:r>
      <w:r>
        <w:rPr>
          <w:sz w:val="20"/>
        </w:rPr>
        <w:t xml:space="preserve"> N/A (no es ingreso fiscal; es garantía que se devuelve).</w:t>
      </w:r>
    </w:p>
    <w:p>
      <w:pPr>
        <w:pStyle w:val="ListBullet"/>
      </w:pPr>
      <w:r>
        <w:rPr>
          <w:b/>
          <w:sz w:val="20"/>
        </w:rPr>
        <w:t>Regla:</w:t>
      </w:r>
      <w:r>
        <w:rPr>
          <w:sz w:val="20"/>
        </w:rPr>
        <w:t xml:space="preserve"> El depósito entra </w:t>
      </w:r>
      <w:r>
        <w:rPr>
          <w:b/>
          <w:sz w:val="20"/>
        </w:rPr>
        <w:t>sin IVA</w:t>
      </w:r>
      <w:r>
        <w:rPr>
          <w:sz w:val="20"/>
        </w:rPr>
        <w:t xml:space="preserve"> como FV del PMT (saldo final). </w:t>
      </w:r>
      <w:r>
        <w:rPr>
          <w:b/>
          <w:sz w:val="20"/>
        </w:rPr>
        <w:t>No se aplica IVA</w:t>
      </w:r>
      <w:r>
        <w:rPr>
          <w:sz w:val="20"/>
        </w:rPr>
        <w:t xml:space="preserve"> porque es garantía, no ingreso.</w:t>
      </w:r>
    </w:p>
    <w:p>
      <w:pPr>
        <w:pStyle w:val="ListBullet"/>
      </w:pPr>
      <w:r>
        <w:rPr>
          <w:b/>
          <w:sz w:val="20"/>
        </w:rPr>
        <w:t>Referencia:</w:t>
      </w:r>
      <w:r>
        <w:rPr>
          <w:sz w:val="20"/>
        </w:rPr>
        <w:t xml:space="preserve"> </w:t>
      </w:r>
      <w:r>
        <w:rPr>
          <w:rFonts w:ascii="Consolas" w:hAnsi="Consolas"/>
          <w:color w:val="333333"/>
          <w:sz w:val="20"/>
        </w:rPr>
        <w:t>client/src/lib/cotizacion/calculos.ts:390-391</w:t>
      </w:r>
      <w:r>
        <w:rPr>
          <w:sz w:val="20"/>
        </w:rPr>
        <w:t xml:space="preserve">, </w:t>
      </w:r>
      <w:r>
        <w:rPr>
          <w:rFonts w:ascii="Consolas" w:hAnsi="Consolas"/>
          <w:color w:val="333333"/>
          <w:sz w:val="20"/>
        </w:rPr>
        <w:t>:417</w:t>
      </w:r>
      <w:r>
        <w:rPr>
          <w:sz w:val="20"/>
        </w:rPr>
        <w:t xml:space="preserve">; </w:t>
      </w:r>
      <w:r>
        <w:rPr>
          <w:rFonts w:ascii="Consolas" w:hAnsi="Consolas"/>
          <w:color w:val="333333"/>
          <w:sz w:val="20"/>
        </w:rPr>
        <w:t>server/src/services/leaseCalculator.ts:230</w:t>
      </w:r>
      <w:r>
        <w:rPr>
          <w:sz w:val="20"/>
        </w:rPr>
        <w:t>.</w:t>
      </w:r>
    </w:p>
    <w:p>
      <w:pPr>
        <w:spacing w:before="240" w:after="80"/>
      </w:pPr>
      <w:r>
        <w:rPr>
          <w:b/>
          <w:color w:val="112239"/>
          <w:sz w:val="26"/>
        </w:rPr>
        <w:t>6. Entero y acreditamiento ante el SAT (conciliación)</w:t>
      </w:r>
    </w:p>
    <w:p>
      <w:pPr>
        <w:spacing w:before="160" w:after="80"/>
      </w:pPr>
      <w:r>
        <w:rPr>
          <w:b/>
          <w:color w:val="112239"/>
          <w:sz w:val="22"/>
        </w:rPr>
        <w:t>6.1 IVA trasladado vs. acreditable</w:t>
      </w:r>
    </w:p>
    <w:p>
      <w:pPr>
        <w:pStyle w:val="ListBullet"/>
      </w:pPr>
      <w:r>
        <w:rPr>
          <w:b/>
          <w:sz w:val="20"/>
        </w:rPr>
        <w:t>IVA trasladado</w:t>
      </w:r>
      <w:r>
        <w:rPr>
          <w:sz w:val="20"/>
        </w:rPr>
        <w:t xml:space="preserve"> (que Inyecta cobra al cliente y entera al SAT): IVA de renta, IVA de moratorios, IVA de opción/residual, e IVA del enganche y de la comisión (estos dos últimos son pass-through).</w:t>
      </w:r>
    </w:p>
    <w:p>
      <w:pPr>
        <w:pStyle w:val="ListBullet"/>
      </w:pPr>
      <w:r>
        <w:rPr>
          <w:b/>
          <w:sz w:val="20"/>
        </w:rPr>
        <w:t>IVA acreditable</w:t>
      </w:r>
      <w:r>
        <w:rPr>
          <w:sz w:val="20"/>
        </w:rPr>
        <w:t xml:space="preserve"> (a favor de Inyecta): IVA del bien comprado; el IVA de comisión adelantado al SAT en modalidad financiada.</w:t>
      </w:r>
    </w:p>
    <w:p>
      <w:pPr>
        <w:pStyle w:val="ListBullet"/>
      </w:pPr>
      <w:r>
        <w:rPr>
          <w:b/>
          <w:sz w:val="20"/>
        </w:rPr>
        <w:t>Ganancia sin IVA:</w:t>
      </w:r>
      <w:r>
        <w:rPr>
          <w:sz w:val="20"/>
        </w:rPr>
        <w:t xml:space="preserve"> la utilidad de Inyecta (</w:t>
      </w:r>
      <w:r>
        <w:rPr>
          <w:rFonts w:ascii="Consolas" w:hAnsi="Consolas"/>
          <w:color w:val="333333"/>
          <w:sz w:val="20"/>
        </w:rPr>
        <w:t>comisión + intereses + opción</w:t>
      </w:r>
      <w:r>
        <w:rPr>
          <w:sz w:val="20"/>
        </w:rPr>
        <w:t xml:space="preserve">) se calcula </w:t>
      </w:r>
      <w:r>
        <w:rPr>
          <w:b/>
          <w:sz w:val="20"/>
        </w:rPr>
        <w:t>TODA sin IVA</w:t>
      </w:r>
      <w:r>
        <w:rPr>
          <w:sz w:val="20"/>
        </w:rPr>
        <w:t xml:space="preserve">. El IVA es de paso. </w:t>
      </w:r>
      <w:r>
        <w:rPr>
          <w:rFonts w:ascii="Consolas" w:hAnsi="Consolas"/>
          <w:color w:val="333333"/>
          <w:sz w:val="20"/>
        </w:rPr>
        <w:t>interesIvaComision</w:t>
      </w:r>
      <w:r>
        <w:rPr>
          <w:sz w:val="20"/>
        </w:rPr>
        <w:t xml:space="preserve"> SÍ es ingreso real y entra en intereses.</w:t>
      </w:r>
    </w:p>
    <w:p>
      <w:pPr>
        <w:pStyle w:val="ListBullet"/>
      </w:pPr>
      <w:r>
        <w:rPr>
          <w:b/>
          <w:sz w:val="20"/>
        </w:rPr>
        <w:t>Referencia:</w:t>
      </w:r>
      <w:r>
        <w:rPr>
          <w:sz w:val="20"/>
        </w:rPr>
        <w:t xml:space="preserve"> </w:t>
      </w:r>
      <w:r>
        <w:rPr>
          <w:rFonts w:ascii="Consolas" w:hAnsi="Consolas"/>
          <w:color w:val="333333"/>
          <w:sz w:val="20"/>
        </w:rPr>
        <w:t>client/src/lib/cotizacion/calculos.ts:523-541</w:t>
      </w:r>
      <w:r>
        <w:rPr>
          <w:sz w:val="20"/>
        </w:rPr>
        <w:t xml:space="preserve">; </w:t>
      </w:r>
      <w:r>
        <w:rPr>
          <w:rFonts w:ascii="Consolas" w:hAnsi="Consolas"/>
          <w:color w:val="333333"/>
          <w:sz w:val="20"/>
        </w:rPr>
        <w:t>server/src/services/leaseCalculator.ts:305-323</w:t>
      </w:r>
      <w:r>
        <w:rPr>
          <w:sz w:val="20"/>
        </w:rPr>
        <w:t>.</w:t>
      </w:r>
    </w:p>
    <w:p>
      <w:pPr>
        <w:spacing w:before="160" w:after="80"/>
      </w:pPr>
      <w:r>
        <w:rPr>
          <w:b/>
          <w:color w:val="112239"/>
          <w:sz w:val="22"/>
        </w:rPr>
        <w:t>6.2 Identidad de reconciliación del IVA del bien</w:t>
      </w:r>
    </w:p>
    <w:p>
      <w:pPr>
        <w:spacing w:before="40" w:after="40"/>
        <w:ind w:left="360"/>
      </w:pPr>
      <w:r>
        <w:rPr>
          <w:b/>
          <w:color w:val="664400"/>
          <w:sz w:val="19"/>
        </w:rPr>
        <w:t>Verificación contable clave</w:t>
      </w:r>
      <w:r>
        <w:rPr>
          <w:color w:val="664400"/>
          <w:sz w:val="19"/>
        </w:rPr>
        <w:t xml:space="preserve"> (cierre de contrato):</w:t>
      </w:r>
    </w:p>
    <w:p>
      <w:pPr>
        <w:spacing w:before="40" w:after="120"/>
        <w:ind w:left="360"/>
      </w:pPr>
      <w:r>
        <w:rPr>
          <w:rFonts w:ascii="Consolas" w:hAnsi="Consolas"/>
          <w:color w:val="222222"/>
          <w:sz w:val="18"/>
        </w:rPr>
        <w:t>IVA del enganche  +  (IVA de las rentas atribuible a la parte financiada del bien)</w:t>
        <w:br/>
        <w:t xml:space="preserve">        =  IVA total del bien  =  16% × valorSinIVA</w:t>
      </w:r>
    </w:p>
    <w:p>
      <w:pPr>
        <w:pStyle w:val="ListBullet"/>
      </w:pPr>
      <w:r>
        <w:rPr>
          <w:b/>
          <w:sz w:val="20"/>
        </w:rPr>
        <w:t>Referencia:</w:t>
      </w:r>
      <w:r>
        <w:rPr>
          <w:sz w:val="20"/>
        </w:rPr>
        <w:t xml:space="preserve"> </w:t>
      </w:r>
      <w:r>
        <w:rPr>
          <w:rFonts w:ascii="Consolas" w:hAnsi="Consolas"/>
          <w:color w:val="333333"/>
          <w:sz w:val="20"/>
        </w:rPr>
        <w:t>server/CLAUDE.md:384-385</w:t>
      </w:r>
      <w:r>
        <w:rPr>
          <w:sz w:val="20"/>
        </w:rPr>
        <w:t>.</w:t>
      </w:r>
    </w:p>
    <w:p>
      <w:pPr>
        <w:pStyle w:val="ListBullet"/>
      </w:pPr>
      <w:r>
        <w:rPr>
          <w:sz w:val="20"/>
        </w:rPr>
        <w:t xml:space="preserve">⚠️ </w:t>
      </w:r>
      <w:r>
        <w:rPr>
          <w:b/>
          <w:sz w:val="20"/>
        </w:rPr>
        <w:t>Importante:</w:t>
      </w:r>
      <w:r>
        <w:rPr>
          <w:sz w:val="20"/>
        </w:rPr>
        <w:t xml:space="preserve"> El sistema </w:t>
      </w:r>
      <w:r>
        <w:rPr>
          <w:b/>
          <w:sz w:val="20"/>
        </w:rPr>
        <w:t>NO valida automáticamente</w:t>
      </w:r>
      <w:r>
        <w:rPr>
          <w:sz w:val="20"/>
        </w:rPr>
        <w:t xml:space="preserve"> esta identidad. Es responsabilidad de </w:t>
      </w:r>
      <w:r>
        <w:rPr>
          <w:b/>
          <w:sz w:val="20"/>
        </w:rPr>
        <w:t>auditoría externa / el contador</w:t>
      </w:r>
      <w:r>
        <w:rPr>
          <w:sz w:val="20"/>
        </w:rPr>
        <w:t>. (Ver gaps.)</w:t>
      </w:r>
    </w:p>
    <w:p>
      <w:pPr>
        <w:spacing w:before="240" w:after="80"/>
      </w:pPr>
      <w:r>
        <w:rPr>
          <w:b/>
          <w:color w:val="112239"/>
          <w:sz w:val="26"/>
        </w:rPr>
        <w:t>7. Facturación CFDI 4.0</w:t>
      </w:r>
    </w:p>
    <w:p>
      <w:pPr>
        <w:spacing w:before="160" w:after="80"/>
      </w:pPr>
      <w:r>
        <w:rPr>
          <w:b/>
          <w:color w:val="112239"/>
          <w:sz w:val="22"/>
        </w:rPr>
        <w:t>7.1 IVA trasladado en CFDI INGRESO (renta)</w:t>
      </w:r>
    </w:p>
    <w:p>
      <w:pPr>
        <w:pStyle w:val="ListBullet"/>
      </w:pPr>
      <w:r>
        <w:rPr>
          <w:rFonts w:ascii="Consolas" w:hAnsi="Consolas"/>
          <w:color w:val="333333"/>
          <w:sz w:val="20"/>
        </w:rPr>
        <w:t>IVA = renta_neta × 0.16</w:t>
      </w:r>
      <w:r>
        <w:rPr>
          <w:sz w:val="20"/>
        </w:rPr>
        <w:t xml:space="preserve">; </w:t>
      </w:r>
      <w:r>
        <w:rPr>
          <w:rFonts w:ascii="Consolas" w:hAnsi="Consolas"/>
          <w:color w:val="333333"/>
          <w:sz w:val="20"/>
        </w:rPr>
        <w:t>renta_con_IVA = renta_neta × 1.16</w:t>
      </w:r>
      <w:r>
        <w:rPr>
          <w:sz w:val="20"/>
        </w:rPr>
        <w:t>.</w:t>
      </w:r>
    </w:p>
    <w:p>
      <w:pPr>
        <w:pStyle w:val="ListBullet"/>
      </w:pPr>
      <w:r>
        <w:rPr>
          <w:b/>
          <w:sz w:val="20"/>
        </w:rPr>
        <w:t>Referencia:</w:t>
      </w:r>
      <w:r>
        <w:rPr>
          <w:sz w:val="20"/>
        </w:rPr>
        <w:t xml:space="preserve"> </w:t>
      </w:r>
      <w:r>
        <w:rPr>
          <w:rFonts w:ascii="Consolas" w:hAnsi="Consolas"/>
          <w:color w:val="333333"/>
          <w:sz w:val="20"/>
        </w:rPr>
        <w:t>server/src/services/leaseCalculator.ts:261-263</w:t>
      </w:r>
      <w:r>
        <w:rPr>
          <w:sz w:val="20"/>
        </w:rPr>
        <w:t xml:space="preserve">; </w:t>
      </w:r>
      <w:r>
        <w:rPr>
          <w:rFonts w:ascii="Consolas" w:hAnsi="Consolas"/>
          <w:color w:val="333333"/>
          <w:sz w:val="20"/>
        </w:rPr>
        <w:t>server/src/routes/invoices.ts:26,181</w:t>
      </w:r>
      <w:r>
        <w:rPr>
          <w:sz w:val="20"/>
        </w:rPr>
        <w:t xml:space="preserve">; </w:t>
      </w:r>
      <w:r>
        <w:rPr>
          <w:rFonts w:ascii="Consolas" w:hAnsi="Consolas"/>
          <w:color w:val="333333"/>
          <w:sz w:val="20"/>
        </w:rPr>
        <w:t>server/CLAUDE.md §4.6</w:t>
      </w:r>
      <w:r>
        <w:rPr>
          <w:sz w:val="20"/>
        </w:rPr>
        <w:t>.</w:t>
      </w:r>
    </w:p>
    <w:p>
      <w:pPr>
        <w:spacing w:before="160" w:after="80"/>
      </w:pPr>
      <w:r>
        <w:rPr>
          <w:b/>
          <w:color w:val="112239"/>
          <w:sz w:val="22"/>
        </w:rPr>
        <w:t>7.2 Objeto de impuesto (ObjetoImp)</w:t>
      </w:r>
    </w:p>
    <w:p>
      <w:pPr>
        <w:pStyle w:val="ListBullet"/>
      </w:pPr>
      <w:r>
        <w:rPr>
          <w:b/>
          <w:sz w:val="20"/>
        </w:rPr>
        <w:t>Todos</w:t>
      </w:r>
      <w:r>
        <w:rPr>
          <w:sz w:val="20"/>
        </w:rPr>
        <w:t xml:space="preserve"> los conceptos llevan </w:t>
      </w:r>
      <w:r>
        <w:rPr>
          <w:rFonts w:ascii="Consolas" w:hAnsi="Consolas"/>
          <w:color w:val="333333"/>
          <w:sz w:val="20"/>
        </w:rPr>
        <w:t>ObjetoImp = "02"</w:t>
      </w:r>
      <w:r>
        <w:rPr>
          <w:sz w:val="20"/>
        </w:rPr>
        <w:t xml:space="preserve"> (objeto de impuesto / aplica IVA). </w:t>
      </w:r>
      <w:r>
        <w:rPr>
          <w:b/>
          <w:sz w:val="20"/>
        </w:rPr>
        <w:t>No hay conceptos exentos</w:t>
      </w:r>
      <w:r>
        <w:rPr>
          <w:sz w:val="20"/>
        </w:rPr>
        <w:t xml:space="preserve"> (</w:t>
      </w:r>
      <w:r>
        <w:rPr>
          <w:rFonts w:ascii="Consolas" w:hAnsi="Consolas"/>
          <w:color w:val="333333"/>
          <w:sz w:val="20"/>
        </w:rPr>
        <w:t>"01"</w:t>
      </w:r>
      <w:r>
        <w:rPr>
          <w:sz w:val="20"/>
        </w:rPr>
        <w:t>) en el sistema.</w:t>
      </w:r>
    </w:p>
    <w:p>
      <w:pPr>
        <w:pStyle w:val="ListBullet"/>
      </w:pPr>
      <w:r>
        <w:rPr>
          <w:b/>
          <w:sz w:val="20"/>
        </w:rPr>
        <w:t>Referencia:</w:t>
      </w:r>
      <w:r>
        <w:rPr>
          <w:sz w:val="20"/>
        </w:rPr>
        <w:t xml:space="preserve"> </w:t>
      </w:r>
      <w:r>
        <w:rPr>
          <w:rFonts w:ascii="Consolas" w:hAnsi="Consolas"/>
          <w:color w:val="333333"/>
          <w:sz w:val="20"/>
        </w:rPr>
        <w:t>server/src/services/cfdiProvider.ts:126</w:t>
      </w:r>
      <w:r>
        <w:rPr>
          <w:sz w:val="20"/>
        </w:rPr>
        <w:t xml:space="preserve">, </w:t>
      </w:r>
      <w:r>
        <w:rPr>
          <w:rFonts w:ascii="Consolas" w:hAnsi="Consolas"/>
          <w:color w:val="333333"/>
          <w:sz w:val="20"/>
        </w:rPr>
        <w:t>:244</w:t>
      </w:r>
      <w:r>
        <w:rPr>
          <w:sz w:val="20"/>
        </w:rPr>
        <w:t>.</w:t>
      </w:r>
    </w:p>
    <w:p>
      <w:pPr>
        <w:spacing w:before="160" w:after="80"/>
      </w:pPr>
      <w:r>
        <w:rPr>
          <w:b/>
          <w:color w:val="112239"/>
          <w:sz w:val="22"/>
        </w:rPr>
        <w:t>7.3 Complemento de Pago 2.0 (Pagos20)</w:t>
      </w:r>
    </w:p>
    <w:p>
      <w:pPr>
        <w:pStyle w:val="ListBullet"/>
      </w:pPr>
      <w:r>
        <w:rPr>
          <w:sz w:val="20"/>
        </w:rPr>
        <w:t xml:space="preserve">En CFDI tipo </w:t>
      </w:r>
      <w:r>
        <w:rPr>
          <w:b/>
          <w:sz w:val="20"/>
        </w:rPr>
        <w:t>PAGO</w:t>
      </w:r>
      <w:r>
        <w:rPr>
          <w:sz w:val="20"/>
        </w:rPr>
        <w:t xml:space="preserve"> que liquida una factura INGRESO PPD: bloque </w:t>
      </w:r>
      <w:r>
        <w:rPr>
          <w:rFonts w:ascii="Consolas" w:hAnsi="Consolas"/>
          <w:color w:val="333333"/>
          <w:sz w:val="20"/>
        </w:rPr>
        <w:t>pago20:DoctoRelacionado</w:t>
      </w:r>
      <w:r>
        <w:rPr>
          <w:sz w:val="20"/>
        </w:rPr>
        <w:t xml:space="preserve"> por factura, con </w:t>
      </w:r>
      <w:r>
        <w:rPr>
          <w:rFonts w:ascii="Consolas" w:hAnsi="Consolas"/>
          <w:color w:val="333333"/>
          <w:sz w:val="20"/>
        </w:rPr>
        <w:t>ObjetoImpDR = "02"</w:t>
      </w:r>
      <w:r>
        <w:rPr>
          <w:sz w:val="20"/>
        </w:rPr>
        <w:t>. Los conceptos del comprobante van en 0; los importes (saldoAnterior, importePagado, saldoInsoluto) van en el complemento.</w:t>
      </w:r>
    </w:p>
    <w:p>
      <w:pPr>
        <w:pStyle w:val="ListBullet"/>
      </w:pPr>
      <w:r>
        <w:rPr>
          <w:b/>
          <w:sz w:val="20"/>
        </w:rPr>
        <w:t>Referencia:</w:t>
      </w:r>
      <w:r>
        <w:rPr>
          <w:sz w:val="20"/>
        </w:rPr>
        <w:t xml:space="preserve"> </w:t>
      </w:r>
      <w:r>
        <w:rPr>
          <w:rFonts w:ascii="Consolas" w:hAnsi="Consolas"/>
          <w:color w:val="333333"/>
          <w:sz w:val="20"/>
        </w:rPr>
        <w:t>server/src/services/cfdiProvider.ts:141-142</w:t>
      </w:r>
      <w:r>
        <w:rPr>
          <w:sz w:val="20"/>
        </w:rPr>
        <w:t xml:space="preserve">; </w:t>
      </w:r>
      <w:r>
        <w:rPr>
          <w:rFonts w:ascii="Consolas" w:hAnsi="Consolas"/>
          <w:color w:val="333333"/>
          <w:sz w:val="20"/>
        </w:rPr>
        <w:t>server/src/routes/invoices.ts:227-278</w:t>
      </w:r>
      <w:r>
        <w:rPr>
          <w:sz w:val="20"/>
        </w:rPr>
        <w:t>.</w:t>
      </w:r>
    </w:p>
    <w:p>
      <w:pPr>
        <w:spacing w:before="40" w:after="40"/>
        <w:ind w:left="360"/>
      </w:pPr>
      <w:r>
        <w:rPr>
          <w:color w:val="664400"/>
          <w:sz w:val="19"/>
        </w:rPr>
        <w:t xml:space="preserve">🔶 </w:t>
      </w:r>
      <w:r>
        <w:rPr>
          <w:b/>
          <w:color w:val="664400"/>
          <w:sz w:val="19"/>
        </w:rPr>
        <w:t>DECISIÓN PENDIENTE:</w:t>
      </w:r>
      <w:r>
        <w:rPr>
          <w:color w:val="664400"/>
          <w:sz w:val="19"/>
        </w:rPr>
        <w:t xml:space="preserve"> Categorización CFDI del IVA de comisión (contado vs. financiada) y separación contable de "IVA del enganche" vs. "IVA de comisión" vs. "IVA de renta" en los reportes. El sistema cobra el dinero correctamente, pero </w:t>
      </w:r>
      <w:r>
        <w:rPr>
          <w:b/>
          <w:color w:val="664400"/>
          <w:sz w:val="19"/>
        </w:rPr>
        <w:t>no desglosa estos IVA por separado</w:t>
      </w:r>
      <w:r>
        <w:rPr>
          <w:color w:val="664400"/>
          <w:sz w:val="19"/>
        </w:rPr>
        <w:t xml:space="preserve"> en los reportes.</w:t>
      </w:r>
    </w:p>
    <w:p>
      <w:pPr>
        <w:spacing w:before="240" w:after="80"/>
      </w:pPr>
      <w:r>
        <w:rPr>
          <w:b/>
          <w:color w:val="112239"/>
          <w:sz w:val="26"/>
        </w:rPr>
        <w:t>8. Brechas conocidas (gaps) relevantes para el contador</w:t>
      </w:r>
    </w:p>
    <w:p>
      <w:r>
        <w:t>Estas son limitaciones reales del sistema, no errores. Requieren proceso manual o decisión:</w:t>
      </w:r>
    </w:p>
    <w:p>
      <w:pPr>
        <w:pStyle w:val="ListNumber"/>
      </w:pPr>
      <w:r>
        <w:rPr>
          <w:b/>
          <w:sz w:val="20"/>
        </w:rPr>
        <w:t>IVA exento / tasa 0%:</w:t>
      </w:r>
      <w:r>
        <w:rPr>
          <w:sz w:val="20"/>
        </w:rPr>
        <w:t xml:space="preserve"> no soportado. El sistema asume 16% para </w:t>
      </w:r>
      <w:r>
        <w:rPr>
          <w:b/>
          <w:sz w:val="20"/>
        </w:rPr>
        <w:t>todas</w:t>
      </w:r>
      <w:r>
        <w:rPr>
          <w:sz w:val="20"/>
        </w:rPr>
        <w:t xml:space="preserve"> las operaciones (no maneja arrendamientos exentos, vivienda, educación, exportadores, tasa fronteriza).</w:t>
      </w:r>
    </w:p>
    <w:p>
      <w:pPr>
        <w:pStyle w:val="ListNumber"/>
      </w:pPr>
      <w:r>
        <w:rPr>
          <w:b/>
          <w:sz w:val="20"/>
        </w:rPr>
        <w:t>Cambio de tasa de IVA:</w:t>
      </w:r>
      <w:r>
        <w:rPr>
          <w:sz w:val="20"/>
        </w:rPr>
        <w:t xml:space="preserve"> la tasa es literal </w:t>
      </w:r>
      <w:r>
        <w:rPr>
          <w:rFonts w:ascii="Consolas" w:hAnsi="Consolas"/>
          <w:color w:val="333333"/>
          <w:sz w:val="20"/>
        </w:rPr>
        <w:t>0.16</w:t>
      </w:r>
      <w:r>
        <w:rPr>
          <w:sz w:val="20"/>
        </w:rPr>
        <w:t xml:space="preserve"> en todo el código. Una reforma fiscal requiere editar constantes y migrar operaciones vigentes.</w:t>
      </w:r>
    </w:p>
    <w:p>
      <w:pPr>
        <w:pStyle w:val="ListNumber"/>
      </w:pPr>
      <w:r>
        <w:rPr>
          <w:b/>
          <w:sz w:val="20"/>
        </w:rPr>
        <w:t>Segregación de IVA acreditable vs. trasladado en reportes:</w:t>
      </w:r>
      <w:r>
        <w:rPr>
          <w:sz w:val="20"/>
        </w:rPr>
        <w:t xml:space="preserve"> el CFDI lo distingue en el XML, pero </w:t>
      </w:r>
      <w:r>
        <w:rPr>
          <w:b/>
          <w:sz w:val="20"/>
        </w:rPr>
        <w:t>no hay reporte interno</w:t>
      </w:r>
      <w:r>
        <w:rPr>
          <w:sz w:val="20"/>
        </w:rPr>
        <w:t xml:space="preserve"> que separe el IVA acreditable por concepto. Mapeo manual del contador.</w:t>
      </w:r>
    </w:p>
    <w:p>
      <w:pPr>
        <w:pStyle w:val="ListNumber"/>
      </w:pPr>
      <w:r>
        <w:rPr>
          <w:b/>
          <w:sz w:val="20"/>
        </w:rPr>
        <w:t>Desglose contable de IVA por origen:</w:t>
      </w:r>
      <w:r>
        <w:rPr>
          <w:sz w:val="20"/>
        </w:rPr>
        <w:t xml:space="preserve"> los reportes no separan "IVA del enganche" / "IVA de comisión" / "IVA de renta".</w:t>
      </w:r>
    </w:p>
    <w:p>
      <w:pPr>
        <w:pStyle w:val="ListNumber"/>
      </w:pPr>
      <w:r>
        <w:rPr>
          <w:b/>
          <w:sz w:val="20"/>
        </w:rPr>
        <w:t>Reconciliación automática del IVA del bien (§6.2):</w:t>
      </w:r>
      <w:r>
        <w:rPr>
          <w:sz w:val="20"/>
        </w:rPr>
        <w:t xml:space="preserve"> no se valida en sistema; es tarea de auditoría externa.</w:t>
      </w:r>
    </w:p>
    <w:p>
      <w:pPr>
        <w:pStyle w:val="ListNumber"/>
      </w:pPr>
      <w:r>
        <w:rPr>
          <w:b/>
          <w:sz w:val="20"/>
        </w:rPr>
        <w:t>IVA en devoluciones, cancelaciones o rescisiones:</w:t>
      </w:r>
      <w:r>
        <w:rPr>
          <w:sz w:val="20"/>
        </w:rPr>
        <w:t xml:space="preserve"> </w:t>
      </w:r>
      <w:r>
        <w:rPr>
          <w:b/>
          <w:sz w:val="20"/>
        </w:rPr>
        <w:t>no documentado</w:t>
      </w:r>
      <w:r>
        <w:rPr>
          <w:sz w:val="20"/>
        </w:rPr>
        <w:t xml:space="preserve"> en CLAUDE.md. Gap explícito.</w:t>
      </w:r>
    </w:p>
    <w:p>
      <w:pPr>
        <w:pStyle w:val="ListNumber"/>
      </w:pPr>
      <w:r>
        <w:rPr>
          <w:b/>
          <w:sz w:val="20"/>
        </w:rPr>
        <w:t>Snapshot de IVA al momento exacto del pago:</w:t>
      </w:r>
      <w:r>
        <w:rPr>
          <w:sz w:val="20"/>
        </w:rPr>
        <w:t xml:space="preserve"> no se persiste para auditoría (solo acumulados del período en el Payment, más bitácora).</w:t>
      </w:r>
    </w:p>
    <w:p>
      <w:pPr>
        <w:pStyle w:val="ListNumber"/>
      </w:pPr>
      <w:r>
        <w:rPr>
          <w:b/>
          <w:sz w:val="20"/>
        </w:rPr>
        <w:t>Categorización del IVA por tipo de comprobante</w:t>
      </w:r>
      <w:r>
        <w:rPr>
          <w:sz w:val="20"/>
        </w:rPr>
        <w:t xml:space="preserve"> (ingreso vs. pago vs. nota de crédito): la categorización vive en la facturación/CFDI, no en el motor (descubierto en campo durante T12).</w:t>
      </w:r>
    </w:p>
    <w:p>
      <w:pPr>
        <w:pStyle w:val="ListNumber"/>
      </w:pPr>
      <w:r>
        <w:rPr>
          <w:b/>
          <w:sz w:val="20"/>
        </w:rPr>
        <w:t>Provisión/reserva de IVA moratorio acumulado:</w:t>
      </w:r>
      <w:r>
        <w:rPr>
          <w:sz w:val="20"/>
        </w:rPr>
        <w:t xml:space="preserve"> el cálculo es punto a punto por período, sin agregación de saldos previos en mora.</w:t>
      </w:r>
    </w:p>
    <w:p>
      <w:pPr>
        <w:spacing w:before="240" w:after="80"/>
      </w:pPr>
      <w:r>
        <w:rPr>
          <w:b/>
          <w:color w:val="112239"/>
          <w:sz w:val="26"/>
        </w:rPr>
        <w:t>9. Tabla maestra de conceptos de IVA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val="clear" w:fill="1B2A47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337"/>
            <w:shd w:val="clear" w:fill="1B2A47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Concepto</w:t>
            </w:r>
          </w:p>
        </w:tc>
        <w:tc>
          <w:tcPr>
            <w:tcW w:type="dxa" w:w="1337"/>
            <w:shd w:val="clear" w:fill="1B2A47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1337"/>
            <w:shd w:val="clear" w:fill="1B2A47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1337"/>
            <w:shd w:val="clear" w:fill="1B2A47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Fórmula</w:t>
            </w:r>
          </w:p>
        </w:tc>
        <w:tc>
          <w:tcPr>
            <w:tcW w:type="dxa" w:w="1337"/>
            <w:shd w:val="clear" w:fill="1B2A47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Tasa</w:t>
            </w:r>
          </w:p>
        </w:tc>
        <w:tc>
          <w:tcPr>
            <w:tcW w:type="dxa" w:w="1337"/>
            <w:shd w:val="clear" w:fill="1B2A47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Referencia clave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</w:r>
            <w:r>
              <w:rPr>
                <w:sz w:val="18"/>
              </w:rPr>
              <w:t>IVA del bien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</w:r>
            <w:r>
              <w:rPr>
                <w:sz w:val="18"/>
              </w:rPr>
              <w:t>Originación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</w:r>
            <w:r>
              <w:rPr>
                <w:sz w:val="18"/>
              </w:rPr>
              <w:t>Acreditable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333333"/>
                <w:sz w:val="18"/>
              </w:rPr>
              <w:t>valorConIVA − valorConIVA/1.16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</w:r>
            <w:r>
              <w:rPr>
                <w:sz w:val="18"/>
              </w:rPr>
              <w:t>16%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</w:r>
            <w:r>
              <w:rPr>
                <w:sz w:val="18"/>
              </w:rPr>
              <w:t>calculos.ts:327-331 / §121</w:t>
            </w:r>
          </w:p>
        </w:tc>
      </w:tr>
      <w:tr>
        <w:tc>
          <w:tcPr>
            <w:tcW w:type="dxa" w:w="1337"/>
            <w:shd w:val="clear" w:fill="F2F5F8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1337"/>
            <w:shd w:val="clear" w:fill="F2F5F8"/>
          </w:tcPr>
          <w:p>
            <w:r>
              <w:rPr>
                <w:sz w:val="18"/>
              </w:rPr>
            </w:r>
            <w:r>
              <w:rPr>
                <w:sz w:val="18"/>
              </w:rPr>
              <w:t>IVA del enganche ⚠️</w:t>
            </w:r>
          </w:p>
        </w:tc>
        <w:tc>
          <w:tcPr>
            <w:tcW w:type="dxa" w:w="1337"/>
            <w:shd w:val="clear" w:fill="F2F5F8"/>
          </w:tcPr>
          <w:p>
            <w:r>
              <w:rPr>
                <w:sz w:val="18"/>
              </w:rPr>
            </w:r>
            <w:r>
              <w:rPr>
                <w:sz w:val="18"/>
              </w:rPr>
              <w:t>Pago inicial</w:t>
            </w:r>
          </w:p>
        </w:tc>
        <w:tc>
          <w:tcPr>
            <w:tcW w:type="dxa" w:w="1337"/>
            <w:shd w:val="clear" w:fill="F2F5F8"/>
          </w:tcPr>
          <w:p>
            <w:r>
              <w:rPr>
                <w:sz w:val="18"/>
              </w:rPr>
            </w:r>
            <w:r>
              <w:rPr>
                <w:sz w:val="18"/>
              </w:rPr>
              <w:t>Trasladado (pass-through)</w:t>
            </w:r>
          </w:p>
        </w:tc>
        <w:tc>
          <w:tcPr>
            <w:tcW w:type="dxa" w:w="1337"/>
            <w:shd w:val="clear" w:fill="F2F5F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333333"/>
                <w:sz w:val="18"/>
              </w:rPr>
              <w:t>enganche × 0.16</w:t>
            </w:r>
          </w:p>
        </w:tc>
        <w:tc>
          <w:tcPr>
            <w:tcW w:type="dxa" w:w="1337"/>
            <w:shd w:val="clear" w:fill="F2F5F8"/>
          </w:tcPr>
          <w:p>
            <w:r>
              <w:rPr>
                <w:sz w:val="18"/>
              </w:rPr>
            </w:r>
            <w:r>
              <w:rPr>
                <w:sz w:val="18"/>
              </w:rPr>
              <w:t>16%</w:t>
            </w:r>
          </w:p>
        </w:tc>
        <w:tc>
          <w:tcPr>
            <w:tcW w:type="dxa" w:w="1337"/>
            <w:shd w:val="clear" w:fill="F2F5F8"/>
          </w:tcPr>
          <w:p>
            <w:r>
              <w:rPr>
                <w:sz w:val="18"/>
              </w:rPr>
            </w:r>
            <w:r>
              <w:rPr>
                <w:sz w:val="18"/>
              </w:rPr>
              <w:t>§4.16 / calculos.ts:472-478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</w:r>
            <w:r>
              <w:rPr>
                <w:sz w:val="18"/>
              </w:rPr>
              <w:t>IVA comisión CONTADO ⚠️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</w:r>
            <w:r>
              <w:rPr>
                <w:sz w:val="18"/>
              </w:rPr>
              <w:t>Pago inicial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</w:r>
            <w:r>
              <w:rPr>
                <w:sz w:val="18"/>
              </w:rPr>
              <w:t>Trasladado (pass-through)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333333"/>
                <w:sz w:val="18"/>
              </w:rPr>
              <w:t>comisión × 0.16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</w:r>
            <w:r>
              <w:rPr>
                <w:sz w:val="18"/>
              </w:rPr>
              <w:t>16%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</w:r>
            <w:r>
              <w:rPr>
                <w:sz w:val="18"/>
              </w:rPr>
              <w:t>§4.17a / leaseCalc:274-283</w:t>
            </w:r>
          </w:p>
        </w:tc>
      </w:tr>
      <w:tr>
        <w:tc>
          <w:tcPr>
            <w:tcW w:type="dxa" w:w="1337"/>
            <w:shd w:val="clear" w:fill="F2F5F8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1337"/>
            <w:shd w:val="clear" w:fill="F2F5F8"/>
          </w:tcPr>
          <w:p>
            <w:r>
              <w:rPr>
                <w:sz w:val="18"/>
              </w:rPr>
            </w:r>
            <w:r>
              <w:rPr>
                <w:sz w:val="18"/>
              </w:rPr>
              <w:t>IVA comisión FINANCIADA</w:t>
            </w:r>
          </w:p>
        </w:tc>
        <w:tc>
          <w:tcPr>
            <w:tcW w:type="dxa" w:w="1337"/>
            <w:shd w:val="clear" w:fill="F2F5F8"/>
          </w:tcPr>
          <w:p>
            <w:r>
              <w:rPr>
                <w:sz w:val="18"/>
              </w:rPr>
            </w:r>
            <w:r>
              <w:rPr>
                <w:sz w:val="18"/>
              </w:rPr>
              <w:t>A lo largo del plazo</w:t>
            </w:r>
          </w:p>
        </w:tc>
        <w:tc>
          <w:tcPr>
            <w:tcW w:type="dxa" w:w="1337"/>
            <w:shd w:val="clear" w:fill="F2F5F8"/>
          </w:tcPr>
          <w:p>
            <w:r>
              <w:rPr>
                <w:sz w:val="18"/>
              </w:rPr>
            </w:r>
            <w:r>
              <w:rPr>
                <w:sz w:val="18"/>
              </w:rPr>
              <w:t>Acreditable (Inyecta) + costo fondeo trasladado</w:t>
            </w:r>
          </w:p>
        </w:tc>
        <w:tc>
          <w:tcPr>
            <w:tcW w:type="dxa" w:w="1337"/>
            <w:shd w:val="clear" w:fill="F2F5F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333333"/>
                <w:sz w:val="18"/>
              </w:rPr>
              <w:t>financiamientoIvaComision = interesIvaComision × 1.16</w:t>
            </w:r>
          </w:p>
        </w:tc>
        <w:tc>
          <w:tcPr>
            <w:tcW w:type="dxa" w:w="1337"/>
            <w:shd w:val="clear" w:fill="F2F5F8"/>
          </w:tcPr>
          <w:p>
            <w:r>
              <w:rPr>
                <w:sz w:val="18"/>
              </w:rPr>
            </w:r>
            <w:r>
              <w:rPr>
                <w:sz w:val="18"/>
              </w:rPr>
              <w:t>16%</w:t>
            </w:r>
          </w:p>
        </w:tc>
        <w:tc>
          <w:tcPr>
            <w:tcW w:type="dxa" w:w="1337"/>
            <w:shd w:val="clear" w:fill="F2F5F8"/>
          </w:tcPr>
          <w:p>
            <w:r>
              <w:rPr>
                <w:sz w:val="18"/>
              </w:rPr>
            </w:r>
            <w:r>
              <w:rPr>
                <w:sz w:val="18"/>
              </w:rPr>
              <w:t>§4.17b / leaseCalc:274-290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</w:r>
            <w:r>
              <w:rPr>
                <w:sz w:val="18"/>
              </w:rPr>
              <w:t>IVA de renta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</w:r>
            <w:r>
              <w:rPr>
                <w:sz w:val="18"/>
              </w:rPr>
              <w:t>Cada período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</w:r>
            <w:r>
              <w:rPr>
                <w:sz w:val="18"/>
              </w:rPr>
              <w:t>Trasladado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333333"/>
                <w:sz w:val="18"/>
              </w:rPr>
              <w:t>renta × 0.16</w:t>
            </w:r>
            <w:r>
              <w:rPr>
                <w:sz w:val="18"/>
              </w:rPr>
              <w:t xml:space="preserve"> (renta total)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</w:r>
            <w:r>
              <w:rPr>
                <w:sz w:val="18"/>
              </w:rPr>
              <w:t>16%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</w:r>
            <w:r>
              <w:rPr>
                <w:sz w:val="18"/>
              </w:rPr>
              <w:t>§4.6 / calculos.ts:430</w:t>
            </w:r>
          </w:p>
        </w:tc>
      </w:tr>
      <w:tr>
        <w:tc>
          <w:tcPr>
            <w:tcW w:type="dxa" w:w="1337"/>
            <w:shd w:val="clear" w:fill="F2F5F8"/>
          </w:tcPr>
          <w:p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1337"/>
            <w:shd w:val="clear" w:fill="F2F5F8"/>
          </w:tcPr>
          <w:p>
            <w:r>
              <w:rPr>
                <w:sz w:val="18"/>
              </w:rPr>
            </w:r>
            <w:r>
              <w:rPr>
                <w:sz w:val="18"/>
              </w:rPr>
              <w:t>IVA renta (display)</w:t>
            </w:r>
          </w:p>
        </w:tc>
        <w:tc>
          <w:tcPr>
            <w:tcW w:type="dxa" w:w="1337"/>
            <w:shd w:val="clear" w:fill="F2F5F8"/>
          </w:tcPr>
          <w:p>
            <w:r>
              <w:rPr>
                <w:sz w:val="18"/>
              </w:rPr>
            </w:r>
            <w:r>
              <w:rPr>
                <w:sz w:val="18"/>
              </w:rPr>
              <w:t>Display PDF</w:t>
            </w:r>
          </w:p>
        </w:tc>
        <w:tc>
          <w:tcPr>
            <w:tcW w:type="dxa" w:w="1337"/>
            <w:shd w:val="clear" w:fill="F2F5F8"/>
          </w:tcPr>
          <w:p>
            <w:r>
              <w:rPr>
                <w:sz w:val="18"/>
              </w:rPr>
            </w:r>
            <w:r>
              <w:rPr>
                <w:sz w:val="18"/>
              </w:rPr>
              <w:t>Truncado</w:t>
            </w:r>
          </w:p>
        </w:tc>
        <w:tc>
          <w:tcPr>
            <w:tcW w:type="dxa" w:w="1337"/>
            <w:shd w:val="clear" w:fill="F2F5F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333333"/>
                <w:sz w:val="18"/>
              </w:rPr>
              <w:t>TRUNC(renta × 1.16, 2)</w:t>
            </w:r>
          </w:p>
        </w:tc>
        <w:tc>
          <w:tcPr>
            <w:tcW w:type="dxa" w:w="1337"/>
            <w:shd w:val="clear" w:fill="F2F5F8"/>
          </w:tcPr>
          <w:p>
            <w:r>
              <w:rPr>
                <w:sz w:val="18"/>
              </w:rPr>
            </w:r>
            <w:r>
              <w:rPr>
                <w:sz w:val="18"/>
              </w:rPr>
              <w:t>16%</w:t>
            </w:r>
          </w:p>
        </w:tc>
        <w:tc>
          <w:tcPr>
            <w:tcW w:type="dxa" w:w="1337"/>
            <w:shd w:val="clear" w:fill="F2F5F8"/>
          </w:tcPr>
          <w:p>
            <w:r>
              <w:rPr>
                <w:sz w:val="18"/>
              </w:rPr>
            </w:r>
            <w:r>
              <w:rPr>
                <w:sz w:val="18"/>
              </w:rPr>
              <w:t>calculos.ts:547-551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</w:r>
            <w:r>
              <w:rPr>
                <w:sz w:val="18"/>
              </w:rPr>
              <w:t>7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</w:r>
            <w:r>
              <w:rPr>
                <w:sz w:val="18"/>
              </w:rPr>
              <w:t>IVA moratorio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</w:r>
            <w:r>
              <w:rPr>
                <w:sz w:val="18"/>
              </w:rPr>
              <w:t>En mora (diario)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</w:r>
            <w:r>
              <w:rPr>
                <w:sz w:val="18"/>
              </w:rPr>
              <w:t>Trasladado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333333"/>
                <w:sz w:val="18"/>
              </w:rPr>
              <w:t>interesMoratorio × 0.16</w:t>
            </w:r>
            <w:r>
              <w:rPr>
                <w:sz w:val="18"/>
              </w:rPr>
              <w:t>; tasa mora = 2× ordinaria/360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</w:r>
            <w:r>
              <w:rPr>
                <w:sz w:val="18"/>
              </w:rPr>
              <w:t>16%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</w:r>
            <w:r>
              <w:rPr>
                <w:sz w:val="18"/>
              </w:rPr>
              <w:t>§4.9 / cobranza.ts:39-44,236</w:t>
            </w:r>
          </w:p>
        </w:tc>
      </w:tr>
      <w:tr>
        <w:tc>
          <w:tcPr>
            <w:tcW w:type="dxa" w:w="1337"/>
            <w:shd w:val="clear" w:fill="F2F5F8"/>
          </w:tcPr>
          <w:p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1337"/>
            <w:shd w:val="clear" w:fill="F2F5F8"/>
          </w:tcPr>
          <w:p>
            <w:r>
              <w:rPr>
                <w:sz w:val="18"/>
              </w:rPr>
            </w:r>
            <w:r>
              <w:rPr>
                <w:sz w:val="18"/>
              </w:rPr>
              <w:t>IVA residual (AP)</w:t>
            </w:r>
          </w:p>
        </w:tc>
        <w:tc>
          <w:tcPr>
            <w:tcW w:type="dxa" w:w="1337"/>
            <w:shd w:val="clear" w:fill="F2F5F8"/>
          </w:tcPr>
          <w:p>
            <w:r>
              <w:rPr>
                <w:sz w:val="18"/>
              </w:rPr>
            </w:r>
            <w:r>
              <w:rPr>
                <w:sz w:val="18"/>
              </w:rPr>
              <w:t>Cierre (display)</w:t>
            </w:r>
          </w:p>
        </w:tc>
        <w:tc>
          <w:tcPr>
            <w:tcW w:type="dxa" w:w="1337"/>
            <w:shd w:val="clear" w:fill="F2F5F8"/>
          </w:tcPr>
          <w:p>
            <w:r>
              <w:rPr>
                <w:sz w:val="18"/>
              </w:rPr>
            </w:r>
            <w:r>
              <w:rPr>
                <w:sz w:val="18"/>
              </w:rPr>
              <w:t>Trasladado</w:t>
            </w:r>
          </w:p>
        </w:tc>
        <w:tc>
          <w:tcPr>
            <w:tcW w:type="dxa" w:w="1337"/>
            <w:shd w:val="clear" w:fill="F2F5F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333333"/>
                <w:sz w:val="18"/>
              </w:rPr>
              <w:t>residual × 0.16</w:t>
            </w:r>
          </w:p>
        </w:tc>
        <w:tc>
          <w:tcPr>
            <w:tcW w:type="dxa" w:w="1337"/>
            <w:shd w:val="clear" w:fill="F2F5F8"/>
          </w:tcPr>
          <w:p>
            <w:r>
              <w:rPr>
                <w:sz w:val="18"/>
              </w:rPr>
            </w:r>
            <w:r>
              <w:rPr>
                <w:sz w:val="18"/>
              </w:rPr>
              <w:t>16%</w:t>
            </w:r>
          </w:p>
        </w:tc>
        <w:tc>
          <w:tcPr>
            <w:tcW w:type="dxa" w:w="1337"/>
            <w:shd w:val="clear" w:fill="F2F5F8"/>
          </w:tcPr>
          <w:p>
            <w:r>
              <w:rPr>
                <w:sz w:val="18"/>
              </w:rPr>
            </w:r>
            <w:r>
              <w:rPr>
                <w:sz w:val="18"/>
              </w:rPr>
              <w:t>§187-188 / calculos.ts:432-437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</w:r>
            <w:r>
              <w:rPr>
                <w:sz w:val="18"/>
              </w:rPr>
              <w:t>9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</w:r>
            <w:r>
              <w:rPr>
                <w:sz w:val="18"/>
              </w:rPr>
              <w:t>IVA opción compra (AF)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</w:r>
            <w:r>
              <w:rPr>
                <w:sz w:val="18"/>
              </w:rPr>
              <w:t>Cierre (display)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</w:r>
            <w:r>
              <w:rPr>
                <w:sz w:val="18"/>
              </w:rPr>
              <w:t>Trasladado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333333"/>
                <w:sz w:val="18"/>
              </w:rPr>
              <w:t>(baseBien × 0.02) × 0.16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</w:r>
            <w:r>
              <w:rPr>
                <w:sz w:val="18"/>
              </w:rPr>
              <w:t>16%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</w:r>
            <w:r>
              <w:rPr>
                <w:sz w:val="18"/>
              </w:rPr>
              <w:t>§190-192</w:t>
            </w:r>
          </w:p>
        </w:tc>
      </w:tr>
      <w:tr>
        <w:tc>
          <w:tcPr>
            <w:tcW w:type="dxa" w:w="1337"/>
            <w:shd w:val="clear" w:fill="F2F5F8"/>
          </w:tcPr>
          <w:p>
            <w:r>
              <w:rPr>
                <w:sz w:val="18"/>
              </w:rPr>
            </w:r>
            <w:r>
              <w:rPr>
                <w:sz w:val="18"/>
              </w:rPr>
              <w:t>10</w:t>
            </w:r>
          </w:p>
        </w:tc>
        <w:tc>
          <w:tcPr>
            <w:tcW w:type="dxa" w:w="1337"/>
            <w:shd w:val="clear" w:fill="F2F5F8"/>
          </w:tcPr>
          <w:p>
            <w:r>
              <w:rPr>
                <w:sz w:val="18"/>
              </w:rPr>
            </w:r>
            <w:r>
              <w:rPr>
                <w:sz w:val="18"/>
              </w:rPr>
              <w:t>Depósito garantía (AP)</w:t>
            </w:r>
          </w:p>
        </w:tc>
        <w:tc>
          <w:tcPr>
            <w:tcW w:type="dxa" w:w="1337"/>
            <w:shd w:val="clear" w:fill="F2F5F8"/>
          </w:tcPr>
          <w:p>
            <w:r>
              <w:rPr>
                <w:sz w:val="18"/>
              </w:rPr>
            </w:r>
            <w:r>
              <w:rPr>
                <w:sz w:val="18"/>
              </w:rPr>
              <w:t>Pago inicial</w:t>
            </w:r>
          </w:p>
        </w:tc>
        <w:tc>
          <w:tcPr>
            <w:tcW w:type="dxa" w:w="1337"/>
            <w:shd w:val="clear" w:fill="F2F5F8"/>
          </w:tcPr>
          <w:p>
            <w:r>
              <w:rPr>
                <w:sz w:val="18"/>
              </w:rPr>
            </w:r>
            <w:r>
              <w:rPr>
                <w:sz w:val="18"/>
              </w:rPr>
              <w:t>N/A (sin IVA)</w:t>
            </w:r>
          </w:p>
        </w:tc>
        <w:tc>
          <w:tcPr>
            <w:tcW w:type="dxa" w:w="1337"/>
            <w:shd w:val="clear" w:fill="F2F5F8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337"/>
            <w:shd w:val="clear" w:fill="F2F5F8"/>
          </w:tcPr>
          <w:p>
            <w:r>
              <w:rPr>
                <w:sz w:val="18"/>
              </w:rPr>
            </w:r>
            <w:r>
              <w:rPr>
                <w:sz w:val="18"/>
              </w:rPr>
              <w:t>n/a</w:t>
            </w:r>
          </w:p>
        </w:tc>
        <w:tc>
          <w:tcPr>
            <w:tcW w:type="dxa" w:w="1337"/>
            <w:shd w:val="clear" w:fill="F2F5F8"/>
          </w:tcPr>
          <w:p>
            <w:r>
              <w:rPr>
                <w:sz w:val="18"/>
              </w:rPr>
            </w:r>
            <w:r>
              <w:rPr>
                <w:sz w:val="18"/>
              </w:rPr>
              <w:t>calculos.ts:390-391</w:t>
            </w:r>
          </w:p>
        </w:tc>
      </w:tr>
    </w:tbl>
    <w:p/>
    <w:p>
      <w:r>
        <w:t>⚠️ = Divergencia conocida del Excel oficial.</w:t>
      </w:r>
    </w:p>
    <w:p>
      <w:r>
        <w:t xml:space="preserve">*Fin del documento. Toda fórmula y referencia es trazable al código fuente o a </w:t>
      </w:r>
      <w:r>
        <w:rPr>
          <w:rFonts w:ascii="Consolas" w:hAnsi="Consolas"/>
          <w:color w:val="333333"/>
          <w:sz w:val="19"/>
        </w:rPr>
        <w:t>server/CLAUDE.md</w:t>
      </w:r>
      <w:r>
        <w:t>. El punto marcado 🔶 (categorización CFDI del IVA de comisión) requiere decisión del contador antes de operaciones reales.*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