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Hochschule des Bundes für öffentliche Verwaltung</w:t>
      </w:r>
    </w:p>
    <w:p>
      <w:pPr>
        <w:spacing w:after="7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Fachbereich Kriminalpolizei · Modul 11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Modulprüfung M11 — Posterpräsentation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40"/>
          <w:szCs w:val="40"/>
        </w:rPr>
        <w:t xml:space="preserve">Quellen- und</w:t>
      </w:r>
    </w:p>
    <w:p>
      <w:pPr>
        <w:spacing w:after="3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6"/>
          <w:szCs w:val="26"/>
        </w:rPr>
        <w:t xml:space="preserve">Literaturverzeichnis</w:t>
      </w:r>
    </w:p>
    <w:p>
      <w:pPr>
        <w:spacing w:after="100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3"/>
          <w:szCs w:val="23"/>
        </w:rPr>
        <w:t xml:space="preserve">BGH, Beschluss vom 10. Juli 2024 – StB 29/24, StB 30/24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Gruppenarbeit · 88. AG Kurs C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Stand: August 2026</w:t>
      </w:r>
    </w:p>
    <w:p>
      <w:r>
        <w:br w:type="page"/>
      </w:r>
    </w:p>
    <w:p>
      <w:pPr>
        <w:pBdr>
          <w:bottom w:val="single" w:color="1F3864" w:sz="8" w:space="6"/>
        </w:pBdr>
        <w:spacing w:after="1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Inhalt</w:t>
      </w:r>
    </w:p>
    <w:p>
      <w:r>
        <w:br w:type="page"/>
      </w:r>
    </w:p>
    <w:p>
      <w:pPr>
        <w:spacing w:after="100" w:before="60" w:line="276"/>
        <w:jc w:val="both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Poster zur Modulprüfung M11 · Thema 5 — Mitgliedschaftliche Beteiligung an der PKK im Ausland, § 129a Abs. 1 Nr. 1, § 129b Abs. 1 StGB. Grundentscheidung: BGH, Beschluss vom 10. Juli 2024 — StB 29/24, StB 30/24.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I. Rechtsprechung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Grundentscheidung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Beschluss vom 10.07.2024 – StB 29/24, StB 30/24, ECLI:DE:BGH:2024:100724BSTB29.24.0.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Weitere herangezogene Entscheidungen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Urteil vom 09.07.2015 – 3 StR 537/14, BGHSt 60, 308 (Zurechnung an sich legaler Beteiligungsakte).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Urteil vom 15.06.2022 – 3 StR 295/21, BGHSt 67, 87 (Gelder als Tatmittel beim Organisationsdelikt).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Beschluss vom 26.03.2009 – StB 20/08, BGHSt 53, 238 (Prüfungsumfang des Beschwerdegerichts im Eröffnungsverfahren).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Beschluss vom 06.05.2014 – 3 StR 265/13 (kein völkerrechtlicher Rechtfertigungsgrund für Anschläge der PKK).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Urteil vom 02.06.2021 – 3 StR 21/21, BGHSt 66, 137 (Vereinigungsbegriff nach neuem Recht).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Urteil vom 14.08.2009 – 3 StR 552/08, BGHSt 54, 69 (Verbandsleben und Gruppenwille).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Beschluss vom 22.07.2020 – AK 17/20 (zum reklamierten „Selbstverteidigungsrecht“ der PKK).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Beschluss vom 22.03.2018 – StB 32/17.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BGH, Beschluss vom 28.06.2018 – StB 11/18.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OLG Stuttgart, 5. Strafsenat, Hauptverhandlung seit 23.04.2026, Az. 5 St 38 OJs 10/19 (2) — das durch den Beschluss eröffnete Verfahren; ein Urteil liegt bislang nicht vor.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II. Kommentarliteratur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Münchener Kommentar zum Strafgesetzbuch, 4. Auflage, §§ 129, 129a, 129b StGB (Schäfer/Anstötz).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Nomos Kommentar zum Strafgesetzbuch (NK-StGB), 10. Auflage, Kommentierung zu §§ 129, 129a, 129b StGB.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Fischer, Strafgesetzbuch mit Nebengesetzen, aktuelle Auflage, §§ 129 ff. sowie § 74c StGB.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Leipziger Kommentar zum Strafgesetzbuch, 13. Auflage, § 74c StGB (Lohse).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Lackner/Kühl/Heger, Strafgesetzbuch, aktuelle Auflage, § 74c StGB.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BeckOK StPO (Ritscher), KK-StPO (Schneider) sowie Löwe-Rosenberg (Stuckenberg), jeweils zu § 203 StPO.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III. Aufsätze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Ambos, Kai: Die Verfolgungsermächtigung im Rahmen von § 129b StGB, ZIS 2016, S. 505 ff.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IV. Gesetzestexte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Strafgesetzbuch (StGB), insbesondere §§ 3, 15, 73, 73b, 73c, 74, 74c, 129, 129a, 129b, 211, 212.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Strafprozessordnung (StPO), insbesondere §§ 111e, 112, 152 Abs. 2, 203, 207, 210, 261, 304, 306, 307, 464, 477 ff.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Gerichtsverfassungsgesetz (GVG), insbesondere §§ 120, 122, 142a.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Vereinsgesetz (VereinsG), insbesondere § 20.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Gesetz über die Entschädigung für Strafverfolgungsmaßnahmen (StrEG), insbesondere § 2.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V. Amtliche Quellen und Lageberichte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Bundesministerium des Innern und für Heimat: Definitionssystem Politisch motivierte Kriminalität (KPMD-PMK), aktuelle Fassung.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Bundesministerium des Innern und für Heimat / Bundeskriminalamt: Politisch motivierte Kriminalität — Bundesweite Fallzahlen, aktuelle Ausgabe.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Bundesministerium des Innern und für Heimat / Bundesamt für Verfassungsschutz: Verfassungsschutzbericht 2025, veröffentlicht am 30.06.2026, Abschnitt „Auslandsbezogener Extremismus/Terrorismus“, darin „Arbeiterpartei Kurdistans (PKK)“.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Bundesamt für Verfassungsschutz: Themenseite und Glossareintrag „Arbeiterpartei Kurdistans (PKK)“.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Bundeskriminalamt: Themenseite „Politisch motivierte Kriminalität -ausländische Ideologie-“.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Landesamt für Verfassungsschutz Baden-Württemberg: Darstellungen zu Struktur, Aktivitäten und Finanzierung der PKK.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Bundesministerium des Innern: Verbotsverfügung gegen die PKK und Teilorganisationen vom 26.11.1993 (Betätigungsverbot).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Rat der Europäischen Union: Liste der Personen, Vereinigungen und Körperschaften nach dem Gemeinsamen Standpunkt 2001/931/GASP (EU-Terrorliste), jeweils aktuelle Fassung.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VI. Bildnachweise</w:t>
      </w:r>
    </w:p>
    <w:p>
      <w:pPr>
        <w:spacing w:after="100" w:before="60" w:line="276"/>
        <w:jc w:val="both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Alle Abbildungen dienen der Veranschaulichung im Rahmen von Unterricht und Lehre (§ 60a UrhG). Urheber und Lizenz sind vor der Abgabe von der jeweiligen Quellenseite zu ergänzen.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b/>
          <w:bCs/>
          <w:color w:val="000000"/>
          <w:sz w:val="21"/>
          <w:szCs w:val="21"/>
        </w:rPr>
        <w:t xml:space="preserve">Abbildung 1 — Titelbereich.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 Flagge der Arbeiterpartei Kurdistans. Wikimedia Commons, Datei „Flag of Kurdistan Workers' Party.svg". URL: upload.wikimedia.org/wikipedia/commons/d/df/ — </w:t>
      </w:r>
      <w:r>
        <w:rPr>
          <w:rFonts w:ascii="Cambria" w:cs="Cambria" w:eastAsia="Cambria" w:hAnsi="Cambria"/>
          <w:i/>
          <w:iCs/>
          <w:color w:val="000000"/>
          <w:sz w:val="21"/>
          <w:szCs w:val="21"/>
        </w:rPr>
        <w:t xml:space="preserve">Urheber und Lizenzangabe von der Dateibeschreibungsseite ergänzen; bei Wikimedia Commons ist die Nennung der Lizenz verpflichtend.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b/>
          <w:bCs/>
          <w:color w:val="000000"/>
          <w:sz w:val="21"/>
          <w:szCs w:val="21"/>
        </w:rPr>
        <w:t xml:space="preserve">Abbildung 2 — Spalte III.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 Der Tagesspiegel, Bilddatei zu einem Beitrag über eine Demonstration kurdischer Gruppen in Deutschland. URL: tagesspiegel.de/images/10798969 — </w:t>
      </w:r>
      <w:r>
        <w:rPr>
          <w:rFonts w:ascii="Cambria" w:cs="Cambria" w:eastAsia="Cambria" w:hAnsi="Cambria"/>
          <w:i/>
          <w:iCs/>
          <w:color w:val="000000"/>
          <w:sz w:val="21"/>
          <w:szCs w:val="21"/>
        </w:rPr>
        <w:t xml:space="preserve">Fotografin oder Fotograf beziehungsweise Bildagentur sowie Erscheinungsdatum aus dem zugehörigen Artikel ergänzen.</w:t>
      </w:r>
    </w:p>
    <w:p>
      <w:pPr>
        <w:pStyle w:val="ListParagraph"/>
        <w:numPr>
          <w:ilvl w:val="0"/>
          <w:numId w:val="1"/>
        </w:numPr>
        <w:spacing w:after="50" w:before="30" w:line="264"/>
      </w:pPr>
      <w:r>
        <w:rPr>
          <w:rFonts w:ascii="Cambria" w:cs="Cambria" w:eastAsia="Cambria" w:hAnsi="Cambria"/>
          <w:b/>
          <w:bCs/>
          <w:color w:val="000000"/>
          <w:sz w:val="21"/>
          <w:szCs w:val="21"/>
        </w:rPr>
        <w:t xml:space="preserve">Abbildung 3 — Spalte IV.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 Zeit Online, November 2025, Bilddatei zu einem Beitrag über den Besuch bei Abdullah Öcalan. URL: img.zeit.de/politik/2025-11/ — </w:t>
      </w:r>
      <w:r>
        <w:rPr>
          <w:rFonts w:ascii="Cambria" w:cs="Cambria" w:eastAsia="Cambria" w:hAnsi="Cambria"/>
          <w:i/>
          <w:iCs/>
          <w:color w:val="000000"/>
          <w:sz w:val="21"/>
          <w:szCs w:val="21"/>
        </w:rPr>
        <w:t xml:space="preserve">Fotografin oder Fotograf beziehungsweise Bildagentur sowie Erscheinungsdatum aus dem zugehörigen Artikel ergänzen.</w:t>
      </w:r>
    </w:p>
    <w:p>
      <w:pPr>
        <w:pStyle w:val="Heading1"/>
        <w:pBdr>
          <w:bottom w:val="single" w:color="1F3864" w:sz="8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VII. Hinweise zur Verwendung</w:t>
      </w:r>
    </w:p>
    <w:p>
      <w:pPr>
        <w:spacing w:after="100" w:before="60" w:line="276"/>
        <w:jc w:val="both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Die Sachverhaltsdarstellung beruht ausschließlich auf den Feststellungen des Beschlusses; Anklageschrift und Ermittlungsakte sind nicht öffentlich zugänglich. Angaben zum Verfahrensstand geben den Stand August 2026 wieder.</w:t>
      </w:r>
    </w:p>
    <w:p>
      <w:pPr>
        <w:spacing w:after="100" w:before="60" w:line="276"/>
        <w:jc w:val="both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Bei Onlinequellen ist das jeweilige Abrufdatum zu ergänzen. Die Zitierweise folgt der im Studiengang eingeführten Konvention.</w:t>
      </w:r>
    </w:p>
    <w:sectPr>
      <w:headerReference w:type="default" r:id="rId7"/>
      <w:footerReference w:type="default" r:id="rId8"/>
      <w:pgSz w:w="11906" w:h="16838" w:orient="portrait"/>
      <w:pgMar w:top="1247" w:right="1133" w:bottom="1133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Seite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von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100"/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M11 · Poster Thema 5 · Quellen- und Literaturverzeichnis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M11 Poster — Quellen- und Literaturverzeichnis</dc:title>
  <dc:creator>Gruppe M11</dc:creator>
  <cp:lastModifiedBy>Un-named</cp:lastModifiedBy>
  <cp:revision>1</cp:revision>
  <dcterms:created xsi:type="dcterms:W3CDTF">2026-08-31T09:45:40.653Z</dcterms:created>
  <dcterms:modified xsi:type="dcterms:W3CDTF">2026-08-31T09:45:40.664Z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