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Hochschule des Bundes für öffentliche Verwaltung</w:t>
      </w:r>
    </w:p>
    <w:p>
      <w:pPr>
        <w:spacing w:after="7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Fachbereich Kriminalpolizei · Modul 11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5C8A"/>
          <w:sz w:val="24"/>
          <w:szCs w:val="24"/>
        </w:rPr>
        <w:t xml:space="preserve">Modulprüfung M11 — Posterpräsentation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0"/>
          <w:szCs w:val="40"/>
        </w:rPr>
        <w:t xml:space="preserve">Quellen- und</w:t>
      </w:r>
    </w:p>
    <w:p>
      <w:pPr>
        <w:spacing w:after="3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Literaturverzeichnis</w:t>
      </w:r>
    </w:p>
    <w:p>
      <w:pPr>
        <w:spacing w:after="10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3"/>
          <w:szCs w:val="23"/>
        </w:rPr>
        <w:t xml:space="preserve">BGH, Beschluss vom 10. Juli 2024 – StB 29/24, StB 30/24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Gruppenarbeit · 88. AG Kurs C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Stand: August 2026</w:t>
      </w:r>
    </w:p>
    <w:p>
      <w:r>
        <w:br w:type="page"/>
      </w:r>
    </w:p>
    <w:p>
      <w:pPr>
        <w:pBdr>
          <w:bottom w:val="single" w:color="1F3864" w:sz="8" w:space="6"/>
        </w:pBdr>
        <w:spacing w:after="1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Inhalt</w:t>
      </w:r>
    </w:p>
    <w:p>
      <w:r>
        <w:br w:type="page"/>
      </w:r>
    </w:p>
    <w:p>
      <w:pPr>
        <w:spacing w:after="100" w:before="60" w:line="276"/>
        <w:jc w:val="both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Poster zur Modulprüfung M11 · Thema 5 — Mitgliedschaftliche Beteiligung an der PKK im Ausland, § 129a Abs. 1 Nr. 1, § 129b Abs. 1 StGB. Grundentscheidung: BGH, Beschluss vom 10. Juli 2024 — StB 29/24, StB 30/24.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I. Rechtsprechung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Grundentscheidung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BGH, Beschluss vom 10.07.2024 – StB 29/24, StB 30/24, ECLI:DE:BGH:2024:100724BSTB29.24.0.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Weitere herangezogene Entscheidungen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BGH, Urteil vom 09.07.2015 – 3 StR 537/14, BGHSt 60, 308 (Zurechnung an sich legaler Beteiligungsakte).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BGH, Urteil vom 15.06.2022 – 3 StR 295/21, BGHSt 67, 87 (Gelder als Tatmittel beim Organisationsdelikt).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BGH, Beschluss vom 26.03.2009 – StB 20/08, BGHSt 53, 238 (Prüfungsumfang des Beschwerdegerichts im Eröffnungsverfahren).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BGH, Beschluss vom 06.05.2014 – 3 StR 265/13 (kein völkerrechtlicher Rechtfertigungsgrund für Anschläge der PKK).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BGH, Urteil vom 02.06.2021 – 3 StR 21/21, BGHSt 66, 137 (Vereinigungsbegriff nach neuem Recht).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BGH, Urteil vom 14.08.2009 – 3 StR 552/08, BGHSt 54, 69 (Verbandsleben und Gruppenwille).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BGH, Beschluss vom 22.07.2020 – AK 17/20 (zum reklamierten „Selbstverteidigungsrecht“ der PKK).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BGH, Beschluss vom 22.03.2018 – StB 32/17.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BGH, Beschluss vom 28.06.2018 – StB 11/18.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OLG Stuttgart, 5. Strafsenat, Hauptverhandlung seit 23.04.2026, Az. 5 St 38 OJs 10/19 (2) — das durch den Beschluss eröffnete Verfahren; ein Urteil liegt bislang nicht vor.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II. Kommentarliteratur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Münchener Kommentar zum Strafgesetzbuch, 4. Auflage, §§ 129, 129a, 129b StGB (Schäfer/Anstötz).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Nomos Kommentar zum Strafgesetzbuch (NK-StGB), 10. Auflage, Kommentierung zu §§ 129, 129a, 129b StGB.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Fischer, Strafgesetzbuch mit Nebengesetzen, aktuelle Auflage, §§ 129 ff. sowie § 74c StGB.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Leipziger Kommentar zum Strafgesetzbuch, 13. Auflage, § 74c StGB (Lohse).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Lackner/Kühl/Heger, Strafgesetzbuch, aktuelle Auflage, § 74c StGB.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BeckOK StPO (Ritscher), KK-StPO (Schneider) sowie Löwe-Rosenberg (Stuckenberg), jeweils zu § 203 StPO.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III. Aufsätze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Ambos, Kai: Die Verfolgungsermächtigung im Rahmen von § 129b StGB, ZIS 2016, S. 505 ff.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IV. Gesetzestexte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Strafgesetzbuch (StGB), insbesondere §§ 3, 15, 73, 73b, 73c, 74, 74c, 129, 129a, 129b, 211, 212.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Strafprozessordnung (StPO), insbesondere §§ 111e, 112, 152 Abs. 2, 203, 207, 210, 261, 304, 306, 307, 464, 477 ff.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Gerichtsverfassungsgesetz (GVG), insbesondere §§ 120, 122, 142a.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Vereinsgesetz (VereinsG), insbesondere § 20.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Gesetz über die Entschädigung für Strafverfolgungsmaßnahmen (StrEG), insbesondere § 2.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V. Amtliche Quellen und Lageberichte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Bundesministerium des Innern und für Heimat: Definitionssystem Politisch motivierte Kriminalität (KPMD-PMK), aktuelle Fassung.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Bundesministerium des Innern und für Heimat / Bundeskriminalamt: Politisch motivierte Kriminalität — Bundesweite Fallzahlen, aktuelle Ausgabe.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Bundesministerium des Innern und für Heimat / Bundesamt für Verfassungsschutz: Verfassungsschutzbericht 2025, veröffentlicht am 30.06.2026, Abschnitt „Auslandsbezogener Extremismus/Terrorismus“, darin „Arbeiterpartei Kurdistans (PKK)“.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Bundesamt für Verfassungsschutz: Themenseite und Glossareintrag „Arbeiterpartei Kurdistans (PKK)“.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Bundeskriminalamt: Themenseite „Politisch motivierte Kriminalität -ausländische Ideologie-“.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Landesamt für Verfassungsschutz Baden-Württemberg: Darstellungen zu Struktur, Aktivitäten und Finanzierung der PKK.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Bundesministerium des Innern: Verbotsverfügung gegen die PKK und Teilorganisationen vom 26.11.1993 (Betätigungsverbot).</w:t>
      </w:r>
    </w:p>
    <w:p>
      <w:pPr>
        <w:pStyle w:val="ListParagraph"/>
        <w:numPr>
          <w:ilvl w:val="0"/>
          <w:numId w:val="1"/>
        </w:numPr>
        <w:spacing w:after="50" w:before="30" w:line="264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Rat der Europäischen Union: Liste der Personen, Vereinigungen und Körperschaften nach dem Gemeinsamen Standpunkt 2001/931/GASP (EU-Terrorliste), jeweils aktuelle Fassung.</w:t>
      </w:r>
    </w:p>
    <w:p>
      <w:pPr>
        <w:pStyle w:val="Heading1"/>
        <w:pBdr>
          <w:bottom w:val="single" w:color="1F386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VI. Hinweise zur Verwendung</w:t>
      </w:r>
    </w:p>
    <w:p>
      <w:pPr>
        <w:spacing w:after="100" w:before="60" w:line="276"/>
        <w:jc w:val="both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Die Sachverhaltsdarstellung beruht ausschließlich auf den Feststellungen des Beschlusses; Anklageschrift und Ermittlungsakte sind nicht öffentlich zugänglich. Angaben zum Verfahrensstand geben den Stand August 2026 wieder.</w:t>
      </w:r>
    </w:p>
    <w:p>
      <w:pPr>
        <w:spacing w:after="100" w:before="60" w:line="276"/>
        <w:jc w:val="both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Bei Onlinequellen ist das jeweilige Abrufdatum zu ergänzen. Die Zitierweise folgt der im Studiengang eingeführten Konvention.</w:t>
      </w:r>
    </w:p>
    <w:sectPr>
      <w:headerReference w:type="default" r:id="rId7"/>
      <w:footerReference w:type="default" r:id="rId8"/>
      <w:pgSz w:w="11906" w:h="16838" w:orient="portrait"/>
      <w:pgMar w:top="1247" w:right="1133" w:bottom="1133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Seite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von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spacing w:after="100"/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M11 · Poster Thema 5 · Quellen- und Literaturverzeichnis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M11 Poster — Quellen- und Literaturverzeichnis</dc:title>
  <dc:creator>Gruppe M11</dc:creator>
  <cp:lastModifiedBy>Un-named</cp:lastModifiedBy>
  <cp:revision>1</cp:revision>
  <dcterms:created xsi:type="dcterms:W3CDTF">2026-08-25T10:14:10.903Z</dcterms:created>
  <dcterms:modified xsi:type="dcterms:W3CDTF">2026-08-25T10:14:10.915Z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