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jc w:val="center"/>
      </w:pPr>
      <w:r>
        <w:rPr>
          <w:b/>
          <w:color w:val="FB4D0A"/>
          <w:sz w:val="64"/>
        </w:rPr>
        <w:t>Evaluation Report</w:t>
      </w:r>
    </w:p>
    <w:p>
      <w:pPr>
        <w:spacing w:after="480"/>
        <w:jc w:val="center"/>
      </w:pPr>
      <w:r>
        <w:rPr>
          <w:b/>
          <w:color w:val="2E3643"/>
          <w:sz w:val="40"/>
        </w:rPr>
        <w:t>Demand Signal Feature Store</w:t>
      </w:r>
    </w:p>
    <w:p/>
    <w:p>
      <w:pPr>
        <w:spacing w:after="80"/>
        <w:jc w:val="center"/>
      </w:pPr>
      <w:r>
        <w:rPr>
          <w:color w:val="005071"/>
          <w:sz w:val="28"/>
        </w:rPr>
        <w:t>Supply Chain — Demand Signal Feature Store</w:t>
      </w:r>
    </w:p>
    <w:p>
      <w:pPr>
        <w:spacing w:after="80"/>
        <w:jc w:val="center"/>
      </w:pPr>
      <w:r>
        <w:rPr>
          <w:color w:val="6D727B"/>
          <w:sz w:val="24"/>
        </w:rPr>
        <w:t>Capstone Project  |  AI Engineer Program  |  Track 1</w:t>
      </w:r>
    </w:p>
    <w:p>
      <w:pPr>
        <w:spacing w:after="480"/>
        <w:jc w:val="center"/>
      </w:pPr>
      <w:r>
        <w:rPr>
          <w:color w:val="6D727B"/>
          <w:sz w:val="24"/>
        </w:rPr>
        <w:t>Damini Thandele  |  October 2026</w:t>
      </w:r>
    </w:p>
    <w:p/>
    <w:p>
      <w:pPr>
        <w:shd w:fill="FFF3E0"/>
        <w:spacing w:before="160" w:after="160"/>
        <w:ind w:left="283" w:right="283"/>
      </w:pPr>
      <w:r>
        <w:rPr>
          <w:i/>
          <w:color w:val="005071"/>
          <w:sz w:val="22"/>
        </w:rPr>
        <w:t>This report evaluates whether LLM-extracted supplier delay signals improve next-day demand forecasting accuracy compared to an ERP-only baseline. The primary metric is MAPE (Mean Absolute Percentage Error).</w:t>
      </w:r>
    </w:p>
    <w:p>
      <w:r>
        <w:br w:type="page"/>
      </w:r>
    </w:p>
    <w:p>
      <w:pPr>
        <w:pStyle w:val="Heading1"/>
      </w:pPr>
      <w:r>
        <w:t>1. Objective</w:t>
      </w:r>
    </w:p>
    <w:p>
      <w:r>
        <w:t>Measure whether adding LLM-extracted supplier delay signals to structured ERP data improves next-day demand (sales) forecasting accuracy. The hypothesis is that supplier notes contain early warning signals — available 5–12 days before the ERP system is updated — that reduce forecast error.</w:t>
      </w:r>
    </w:p>
    <w:p>
      <w:r>
        <w:t>The primary evaluation metric is MAPE (Mean Absolute Percentage Error), the industry-standard metric for demand forecasting. Two secondary metrics (MAE, RMSE) provide additional perspectives on error magnitude.</w:t>
      </w:r>
    </w:p>
    <w:p>
      <w:pPr>
        <w:pStyle w:val="Heading1"/>
      </w:pPr>
      <w:r>
        <w:t>2. Experimental Setup</w:t>
      </w:r>
    </w:p>
    <w:tbl>
      <w:tblPr>
        <w:tblStyle w:val="TableGrid"/>
        <w:tblW w:type="auto" w:w="0"/>
        <w:jc w:val="center"/>
        <w:tblLook w:firstColumn="1" w:firstRow="1" w:lastColumn="0" w:lastRow="0" w:noHBand="0" w:noVBand="1" w:val="04A0"/>
      </w:tblPr>
      <w:tblGrid>
        <w:gridCol w:w="4536"/>
        <w:gridCol w:w="4536"/>
      </w:tblGrid>
      <w:tr>
        <w:tc>
          <w:tcPr>
            <w:tcW w:type="dxa" w:w="2268"/>
            <w:shd w:fill="005071"/>
          </w:tcPr>
          <w:p>
            <w:r>
              <w:rPr>
                <w:b/>
                <w:color w:val="FFFFFF"/>
                <w:sz w:val="20"/>
              </w:rPr>
              <w:t>Parameter</w:t>
            </w:r>
          </w:p>
        </w:tc>
        <w:tc>
          <w:tcPr>
            <w:tcW w:type="dxa" w:w="6803"/>
            <w:shd w:fill="005071"/>
          </w:tcPr>
          <w:p>
            <w:r>
              <w:rPr>
                <w:b/>
                <w:color w:val="FFFFFF"/>
                <w:sz w:val="20"/>
              </w:rPr>
              <w:t>Value</w:t>
            </w:r>
          </w:p>
        </w:tc>
      </w:tr>
      <w:tr>
        <w:tc>
          <w:tcPr>
            <w:tcW w:type="dxa" w:w="2268"/>
            <w:shd w:fill="F5F5F5"/>
          </w:tcPr>
          <w:p>
            <w:r>
              <w:rPr>
                <w:sz w:val="20"/>
              </w:rPr>
              <w:t>Algorithm</w:t>
            </w:r>
          </w:p>
        </w:tc>
        <w:tc>
          <w:tcPr>
            <w:tcW w:type="dxa" w:w="6803"/>
            <w:shd w:fill="F5F5F5"/>
          </w:tcPr>
          <w:p>
            <w:r>
              <w:rPr>
                <w:sz w:val="20"/>
              </w:rPr>
              <w:t>XGBoost Regressor</w:t>
            </w:r>
          </w:p>
        </w:tc>
      </w:tr>
      <w:tr>
        <w:tc>
          <w:tcPr>
            <w:tcW w:type="dxa" w:w="2268"/>
            <w:shd w:fill="FFFFFF"/>
          </w:tcPr>
          <w:p>
            <w:r>
              <w:rPr>
                <w:sz w:val="20"/>
              </w:rPr>
              <w:t>Hyperparameters</w:t>
            </w:r>
          </w:p>
        </w:tc>
        <w:tc>
          <w:tcPr>
            <w:tcW w:type="dxa" w:w="6803"/>
            <w:shd w:fill="FFFFFF"/>
          </w:tcPr>
          <w:p>
            <w:r>
              <w:rPr>
                <w:sz w:val="20"/>
              </w:rPr>
              <w:t>n_estimators=200, max_depth=5, learning_rate=0.1, random_state=42</w:t>
            </w:r>
          </w:p>
        </w:tc>
      </w:tr>
      <w:tr>
        <w:tc>
          <w:tcPr>
            <w:tcW w:type="dxa" w:w="2268"/>
            <w:shd w:fill="F5F5F5"/>
          </w:tcPr>
          <w:p>
            <w:r>
              <w:rPr>
                <w:sz w:val="20"/>
              </w:rPr>
              <w:t>Train/Test Split</w:t>
            </w:r>
          </w:p>
        </w:tc>
        <w:tc>
          <w:tcPr>
            <w:tcW w:type="dxa" w:w="6803"/>
            <w:shd w:fill="F5F5F5"/>
          </w:tcPr>
          <w:p>
            <w:r>
              <w:rPr>
                <w:sz w:val="20"/>
              </w:rPr>
              <w:t>Chronological 80/20 (first ~14 months train, last ~4 months test)</w:t>
            </w:r>
          </w:p>
        </w:tc>
      </w:tr>
      <w:tr>
        <w:tc>
          <w:tcPr>
            <w:tcW w:type="dxa" w:w="2268"/>
            <w:shd w:fill="FFFFFF"/>
          </w:tcPr>
          <w:p>
            <w:r>
              <w:rPr>
                <w:sz w:val="20"/>
              </w:rPr>
              <w:t>Baseline Features</w:t>
            </w:r>
          </w:p>
        </w:tc>
        <w:tc>
          <w:tcPr>
            <w:tcW w:type="dxa" w:w="6803"/>
            <w:shd w:fill="FFFFFF"/>
          </w:tcPr>
          <w:p>
            <w:r>
              <w:rPr>
                <w:sz w:val="20"/>
              </w:rPr>
              <w:t>15 ERP features (sales lags, inventory, PO timing, calendar)</w:t>
            </w:r>
          </w:p>
        </w:tc>
      </w:tr>
      <w:tr>
        <w:tc>
          <w:tcPr>
            <w:tcW w:type="dxa" w:w="2268"/>
            <w:shd w:fill="F5F5F5"/>
          </w:tcPr>
          <w:p>
            <w:r>
              <w:rPr>
                <w:sz w:val="20"/>
              </w:rPr>
              <w:t>Enhanced Features</w:t>
            </w:r>
          </w:p>
        </w:tc>
        <w:tc>
          <w:tcPr>
            <w:tcW w:type="dxa" w:w="6803"/>
            <w:shd w:fill="F5F5F5"/>
          </w:tcPr>
          <w:p>
            <w:r>
              <w:rPr>
                <w:sz w:val="20"/>
              </w:rPr>
              <w:t>15 ERP + 2 note-derived (early_delay_flag, expected_delay_days)</w:t>
            </w:r>
          </w:p>
        </w:tc>
      </w:tr>
      <w:tr>
        <w:tc>
          <w:tcPr>
            <w:tcW w:type="dxa" w:w="2268"/>
            <w:shd w:fill="FFFFFF"/>
          </w:tcPr>
          <w:p>
            <w:r>
              <w:rPr>
                <w:sz w:val="20"/>
              </w:rPr>
              <w:t>Target Variable</w:t>
            </w:r>
          </w:p>
        </w:tc>
        <w:tc>
          <w:tcPr>
            <w:tcW w:type="dxa" w:w="6803"/>
            <w:shd w:fill="FFFFFF"/>
          </w:tcPr>
          <w:p>
            <w:r>
              <w:rPr>
                <w:sz w:val="20"/>
              </w:rPr>
              <w:t>target_next_day_sales</w:t>
            </w:r>
          </w:p>
        </w:tc>
      </w:tr>
      <w:tr>
        <w:tc>
          <w:tcPr>
            <w:tcW w:type="dxa" w:w="2268"/>
            <w:shd w:fill="F5F5F5"/>
          </w:tcPr>
          <w:p>
            <w:r>
              <w:rPr>
                <w:sz w:val="20"/>
              </w:rPr>
              <w:t>Data</w:t>
            </w:r>
          </w:p>
        </w:tc>
        <w:tc>
          <w:tcPr>
            <w:tcW w:type="dxa" w:w="6803"/>
            <w:shd w:fill="F5F5F5"/>
          </w:tcPr>
          <w:p>
            <w:r>
              <w:rPr>
                <w:sz w:val="20"/>
              </w:rPr>
              <w:t>Synthetic: 2,700 daily records, 5 SKUs, 4 suppliers, 540 days</w:t>
            </w:r>
          </w:p>
        </w:tc>
      </w:tr>
    </w:tbl>
    <w:p/>
    <w:p>
      <w:r>
        <w:t>Both models use identical hyperparameters to ensure a fair comparison. Any difference in accuracy comes purely from the additional note-derived features, not from tuning differences.</w:t>
      </w:r>
    </w:p>
    <w:p>
      <w:pPr>
        <w:pStyle w:val="Heading2"/>
      </w:pPr>
      <w:r>
        <w:t>Why Chronological Split?</w:t>
      </w:r>
    </w:p>
    <w:p>
      <w:r>
        <w:t>Time-series data must be split in chronological order to prevent data leakage. A random train/test split would allow the model to learn from future patterns during training, producing misleadingly good results. The chronological split ensures the model is always predicting the future based on the past — the same condition as a real deployment.</w:t>
      </w:r>
    </w:p>
    <w:p>
      <w:r>
        <w:br w:type="page"/>
      </w:r>
    </w:p>
    <w:p>
      <w:pPr>
        <w:pStyle w:val="Heading1"/>
      </w:pPr>
      <w:r>
        <w:t>3. Results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fill="005071"/>
          </w:tcPr>
          <w:p>
            <w:r>
              <w:rPr>
                <w:b/>
                <w:color w:val="FFFFFF"/>
                <w:sz w:val="20"/>
              </w:rPr>
              <w:t>Metric</w:t>
            </w:r>
          </w:p>
        </w:tc>
        <w:tc>
          <w:tcPr>
            <w:tcW w:type="dxa" w:w="1984"/>
            <w:shd w:fill="005071"/>
          </w:tcPr>
          <w:p>
            <w:r>
              <w:rPr>
                <w:b/>
                <w:color w:val="FFFFFF"/>
                <w:sz w:val="20"/>
              </w:rPr>
              <w:t>Baseline (ERP only)</w:t>
            </w:r>
          </w:p>
        </w:tc>
        <w:tc>
          <w:tcPr>
            <w:tcW w:type="dxa" w:w="1984"/>
            <w:shd w:fill="005071"/>
          </w:tcPr>
          <w:p>
            <w:r>
              <w:rPr>
                <w:b/>
                <w:color w:val="FFFFFF"/>
                <w:sz w:val="20"/>
              </w:rPr>
              <w:t>Enhanced (ERP + Notes)</w:t>
            </w:r>
          </w:p>
        </w:tc>
        <w:tc>
          <w:tcPr>
            <w:tcW w:type="dxa" w:w="1984"/>
            <w:shd w:fill="005071"/>
          </w:tcPr>
          <w:p>
            <w:r>
              <w:rPr>
                <w:b/>
                <w:color w:val="FFFFFF"/>
                <w:sz w:val="20"/>
              </w:rPr>
              <w:t>Change</w:t>
            </w:r>
          </w:p>
        </w:tc>
      </w:tr>
      <w:tr>
        <w:tc>
          <w:tcPr>
            <w:tcW w:type="dxa" w:w="1701"/>
            <w:shd w:fill="F5F5F5"/>
          </w:tcPr>
          <w:p>
            <w:r>
              <w:rPr>
                <w:sz w:val="20"/>
              </w:rPr>
              <w:t>MAPE</w:t>
            </w:r>
          </w:p>
        </w:tc>
        <w:tc>
          <w:tcPr>
            <w:tcW w:type="dxa" w:w="1984"/>
            <w:shd w:fill="F5F5F5"/>
          </w:tcPr>
          <w:p>
            <w:r>
              <w:rPr>
                <w:sz w:val="20"/>
              </w:rPr>
              <w:t>25.01%</w:t>
            </w:r>
          </w:p>
        </w:tc>
        <w:tc>
          <w:tcPr>
            <w:tcW w:type="dxa" w:w="1984"/>
            <w:shd w:fill="F5F5F5"/>
          </w:tcPr>
          <w:p>
            <w:r>
              <w:rPr>
                <w:sz w:val="20"/>
              </w:rPr>
              <w:t>23.36%</w:t>
            </w:r>
          </w:p>
        </w:tc>
        <w:tc>
          <w:tcPr>
            <w:tcW w:type="dxa" w:w="1984"/>
            <w:shd w:fill="F5F5F5"/>
          </w:tcPr>
          <w:p>
            <w:r>
              <w:rPr>
                <w:sz w:val="20"/>
              </w:rPr>
              <w:t>-6.6% (improved)</w:t>
            </w:r>
          </w:p>
        </w:tc>
      </w:tr>
      <w:tr>
        <w:tc>
          <w:tcPr>
            <w:tcW w:type="dxa" w:w="1701"/>
            <w:shd w:fill="FFFFFF"/>
          </w:tcPr>
          <w:p>
            <w:r>
              <w:rPr>
                <w:sz w:val="20"/>
              </w:rPr>
              <w:t>MAE</w:t>
            </w:r>
          </w:p>
        </w:tc>
        <w:tc>
          <w:tcPr>
            <w:tcW w:type="dxa" w:w="1984"/>
            <w:shd w:fill="FFFFFF"/>
          </w:tcPr>
          <w:p>
            <w:r>
              <w:rPr>
                <w:sz w:val="20"/>
              </w:rPr>
              <w:t>5.03 units</w:t>
            </w:r>
          </w:p>
        </w:tc>
        <w:tc>
          <w:tcPr>
            <w:tcW w:type="dxa" w:w="1984"/>
            <w:shd w:fill="FFFFFF"/>
          </w:tcPr>
          <w:p>
            <w:r>
              <w:rPr>
                <w:sz w:val="20"/>
              </w:rPr>
              <w:t>4.55 units</w:t>
            </w:r>
          </w:p>
        </w:tc>
        <w:tc>
          <w:tcPr>
            <w:tcW w:type="dxa" w:w="1984"/>
            <w:shd w:fill="FFFFFF"/>
          </w:tcPr>
          <w:p>
            <w:r>
              <w:rPr>
                <w:sz w:val="20"/>
              </w:rPr>
              <w:t>-9.5% (improved)</w:t>
            </w:r>
          </w:p>
        </w:tc>
      </w:tr>
      <w:tr>
        <w:tc>
          <w:tcPr>
            <w:tcW w:type="dxa" w:w="1701"/>
            <w:shd w:fill="F5F5F5"/>
          </w:tcPr>
          <w:p>
            <w:r>
              <w:rPr>
                <w:sz w:val="20"/>
              </w:rPr>
              <w:t>RMSE</w:t>
            </w:r>
          </w:p>
        </w:tc>
        <w:tc>
          <w:tcPr>
            <w:tcW w:type="dxa" w:w="1984"/>
            <w:shd w:fill="F5F5F5"/>
          </w:tcPr>
          <w:p>
            <w:r>
              <w:rPr>
                <w:sz w:val="20"/>
              </w:rPr>
              <w:t>6.80 units</w:t>
            </w:r>
          </w:p>
        </w:tc>
        <w:tc>
          <w:tcPr>
            <w:tcW w:type="dxa" w:w="1984"/>
            <w:shd w:fill="F5F5F5"/>
          </w:tcPr>
          <w:p>
            <w:r>
              <w:rPr>
                <w:sz w:val="20"/>
              </w:rPr>
              <w:t>6.35 units</w:t>
            </w:r>
          </w:p>
        </w:tc>
        <w:tc>
          <w:tcPr>
            <w:tcW w:type="dxa" w:w="1984"/>
            <w:shd w:fill="F5F5F5"/>
          </w:tcPr>
          <w:p>
            <w:r>
              <w:rPr>
                <w:sz w:val="20"/>
              </w:rPr>
              <w:t>-6.6% (improved)</w:t>
            </w:r>
          </w:p>
        </w:tc>
      </w:tr>
    </w:tbl>
    <w:p/>
    <w:p>
      <w:pPr>
        <w:shd w:fill="E8F5E9"/>
        <w:spacing w:before="160" w:after="160"/>
        <w:ind w:left="283" w:right="283"/>
      </w:pPr>
      <w:r>
        <w:rPr>
          <w:i/>
          <w:color w:val="005071"/>
          <w:sz w:val="22"/>
        </w:rPr>
        <w:t>Key Result: MAPE improved from 25.01% to 23.36% — a 6.6% reduction. All three metrics improved consistently, confirming the hypothesis.</w:t>
      </w:r>
    </w:p>
    <w:p>
      <w:pPr>
        <w:pStyle w:val="Heading2"/>
      </w:pPr>
      <w:r>
        <w:t>3.1 Metric Definitions</w:t>
      </w:r>
    </w:p>
    <w:p>
      <w:r>
        <w:rPr>
          <w:b/>
          <w:i w:val="0"/>
          <w:color w:val="005071"/>
          <w:sz w:val="22"/>
        </w:rPr>
        <w:t xml:space="preserve">MAPE (Mean Absolute Percentage Error): </w:t>
      </w:r>
      <w:r>
        <w:rPr>
          <w:b w:val="0"/>
          <w:i w:val="0"/>
          <w:sz w:val="22"/>
        </w:rPr>
        <w:t>Average percentage deviation of predictions from actuals. Lower is better. A MAPE of 25% means the baseline model's predictions are off by about 25% on average. This is the primary metric for this evaluation.</w:t>
      </w:r>
    </w:p>
    <w:p>
      <w:r>
        <w:rPr>
          <w:b/>
          <w:i w:val="0"/>
          <w:color w:val="005071"/>
          <w:sz w:val="22"/>
        </w:rPr>
        <w:t xml:space="preserve">MAE (Mean Absolute Error): </w:t>
      </w:r>
      <w:r>
        <w:rPr>
          <w:b w:val="0"/>
          <w:i w:val="0"/>
          <w:sz w:val="22"/>
        </w:rPr>
        <w:t>Average absolute difference between predicted and actual values, measured in units. The enhanced model is off by 4.55 units on average vs. 5.03 for baseline — a 9.5% improvement.</w:t>
      </w:r>
    </w:p>
    <w:p>
      <w:r>
        <w:rPr>
          <w:b/>
          <w:i w:val="0"/>
          <w:color w:val="005071"/>
          <w:sz w:val="22"/>
        </w:rPr>
        <w:t xml:space="preserve">RMSE (Root Mean Squared Error): </w:t>
      </w:r>
      <w:r>
        <w:rPr>
          <w:b w:val="0"/>
          <w:i w:val="0"/>
          <w:sz w:val="22"/>
        </w:rPr>
        <w:t>Square root of the average squared error. Penalizes large errors more heavily than MAE. The improvement (6.80 → 6.35) indicates fewer extreme mispredictions in the enhanced model.</w:t>
      </w:r>
    </w:p>
    <w:p>
      <w:pPr>
        <w:pStyle w:val="Heading2"/>
      </w:pPr>
      <w:r>
        <w:t>3.2 How MAPE Improvement Is Calculated</w:t>
      </w:r>
    </w:p>
    <w:p>
      <w:r>
        <w:t>The percentage change in MAPE is calculated as:</w:t>
      </w:r>
    </w:p>
    <w:p>
      <w:r>
        <w:rPr>
          <w:b/>
          <w:color w:val="2E3643"/>
          <w:sz w:val="22"/>
        </w:rPr>
        <w:t>(New MAPE − Old MAPE) / Old MAPE × 100 = (23.36 − 25.01) / 25.01 × 100 = −6.6%</w:t>
      </w:r>
    </w:p>
    <w:p>
      <w:r>
        <w:t>The negative sign indicates improvement (lower error). This means the enhanced model's forecast error is 6.6% smaller than the baseline's.</w:t>
      </w:r>
    </w:p>
    <w:p>
      <w:r>
        <w:br w:type="page"/>
      </w:r>
    </w:p>
    <w:p>
      <w:pPr>
        <w:pStyle w:val="Heading1"/>
      </w:pPr>
      <w:r>
        <w:t>4. Feature Importance Analysis</w:t>
      </w:r>
    </w:p>
    <w:p>
      <w:r>
        <w:t>XGBoost provides feature importance scores based on how frequently and effectively each feature is used in splitting decisions across all 200 trees. The top 5 features in the enhanced model: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fill="005071"/>
          </w:tcPr>
          <w:p>
            <w:r>
              <w:rPr>
                <w:b/>
                <w:color w:val="FFFFFF"/>
                <w:sz w:val="20"/>
              </w:rPr>
              <w:t>Rank</w:t>
            </w:r>
          </w:p>
        </w:tc>
        <w:tc>
          <w:tcPr>
            <w:tcW w:type="dxa" w:w="1984"/>
            <w:shd w:fill="005071"/>
          </w:tcPr>
          <w:p>
            <w:r>
              <w:rPr>
                <w:b/>
                <w:color w:val="FFFFFF"/>
                <w:sz w:val="20"/>
              </w:rPr>
              <w:t>Feature</w:t>
            </w:r>
          </w:p>
        </w:tc>
        <w:tc>
          <w:tcPr>
            <w:tcW w:type="dxa" w:w="1701"/>
            <w:shd w:fill="005071"/>
          </w:tcPr>
          <w:p>
            <w:r>
              <w:rPr>
                <w:b/>
                <w:color w:val="FFFFFF"/>
                <w:sz w:val="20"/>
              </w:rPr>
              <w:t>Source</w:t>
            </w:r>
          </w:p>
        </w:tc>
        <w:tc>
          <w:tcPr>
            <w:tcW w:type="dxa" w:w="3288"/>
            <w:shd w:fill="005071"/>
          </w:tcPr>
          <w:p>
            <w:r>
              <w:rPr>
                <w:b/>
                <w:color w:val="FFFFFF"/>
                <w:sz w:val="20"/>
              </w:rPr>
              <w:t>Role</w:t>
            </w:r>
          </w:p>
        </w:tc>
      </w:tr>
      <w:tr>
        <w:tc>
          <w:tcPr>
            <w:tcW w:type="dxa" w:w="680"/>
            <w:shd w:fill="F5F5F5"/>
          </w:tcPr>
          <w:p>
            <w:r>
              <w:rPr>
                <w:sz w:val="20"/>
              </w:rPr>
              <w:t>1</w:t>
            </w:r>
          </w:p>
        </w:tc>
        <w:tc>
          <w:tcPr>
            <w:tcW w:type="dxa" w:w="1984"/>
            <w:shd w:fill="F5F5F5"/>
          </w:tcPr>
          <w:p>
            <w:r>
              <w:rPr>
                <w:sz w:val="20"/>
              </w:rPr>
              <w:t>early_delay_flag</w:t>
            </w:r>
          </w:p>
        </w:tc>
        <w:tc>
          <w:tcPr>
            <w:tcW w:type="dxa" w:w="1701"/>
            <w:shd w:fill="F5F5F5"/>
          </w:tcPr>
          <w:p>
            <w:r>
              <w:rPr>
                <w:sz w:val="20"/>
              </w:rPr>
              <w:t>Supplier Note (LLM)</w:t>
            </w:r>
          </w:p>
        </w:tc>
        <w:tc>
          <w:tcPr>
            <w:tcW w:type="dxa" w:w="3288"/>
            <w:shd w:fill="F5F5F5"/>
          </w:tcPr>
          <w:p>
            <w:r>
              <w:rPr>
                <w:sz w:val="20"/>
              </w:rPr>
              <w:t>Binary delay warning — available before ERP update</w:t>
            </w:r>
          </w:p>
        </w:tc>
      </w:tr>
      <w:tr>
        <w:tc>
          <w:tcPr>
            <w:tcW w:type="dxa" w:w="680"/>
            <w:shd w:fill="FFFFFF"/>
          </w:tcPr>
          <w:p>
            <w:r>
              <w:rPr>
                <w:sz w:val="20"/>
              </w:rPr>
              <w:t>2</w:t>
            </w:r>
          </w:p>
        </w:tc>
        <w:tc>
          <w:tcPr>
            <w:tcW w:type="dxa" w:w="1984"/>
            <w:shd w:fill="FFFFFF"/>
          </w:tcPr>
          <w:p>
            <w:r>
              <w:rPr>
                <w:sz w:val="20"/>
              </w:rPr>
              <w:t>sales_lag_1</w:t>
            </w:r>
          </w:p>
        </w:tc>
        <w:tc>
          <w:tcPr>
            <w:tcW w:type="dxa" w:w="1701"/>
            <w:shd w:fill="FFFFFF"/>
          </w:tcPr>
          <w:p>
            <w:r>
              <w:rPr>
                <w:sz w:val="20"/>
              </w:rPr>
              <w:t>ERP</w:t>
            </w:r>
          </w:p>
        </w:tc>
        <w:tc>
          <w:tcPr>
            <w:tcW w:type="dxa" w:w="3288"/>
            <w:shd w:fill="FFFFFF"/>
          </w:tcPr>
          <w:p>
            <w:r>
              <w:rPr>
                <w:sz w:val="20"/>
              </w:rPr>
              <w:t>Previous day's sales</w:t>
            </w:r>
          </w:p>
        </w:tc>
      </w:tr>
      <w:tr>
        <w:tc>
          <w:tcPr>
            <w:tcW w:type="dxa" w:w="680"/>
            <w:shd w:fill="F5F5F5"/>
          </w:tcPr>
          <w:p>
            <w:r>
              <w:rPr>
                <w:sz w:val="20"/>
              </w:rPr>
              <w:t>3</w:t>
            </w:r>
          </w:p>
        </w:tc>
        <w:tc>
          <w:tcPr>
            <w:tcW w:type="dxa" w:w="1984"/>
            <w:shd w:fill="F5F5F5"/>
          </w:tcPr>
          <w:p>
            <w:r>
              <w:rPr>
                <w:sz w:val="20"/>
              </w:rPr>
              <w:t>rolling_avg_7</w:t>
            </w:r>
          </w:p>
        </w:tc>
        <w:tc>
          <w:tcPr>
            <w:tcW w:type="dxa" w:w="1701"/>
            <w:shd w:fill="F5F5F5"/>
          </w:tcPr>
          <w:p>
            <w:r>
              <w:rPr>
                <w:sz w:val="20"/>
              </w:rPr>
              <w:t>ERP</w:t>
            </w:r>
          </w:p>
        </w:tc>
        <w:tc>
          <w:tcPr>
            <w:tcW w:type="dxa" w:w="3288"/>
            <w:shd w:fill="F5F5F5"/>
          </w:tcPr>
          <w:p>
            <w:r>
              <w:rPr>
                <w:sz w:val="20"/>
              </w:rPr>
              <w:t>7-day smoothed demand trend</w:t>
            </w:r>
          </w:p>
        </w:tc>
      </w:tr>
      <w:tr>
        <w:tc>
          <w:tcPr>
            <w:tcW w:type="dxa" w:w="680"/>
            <w:shd w:fill="FFFFFF"/>
          </w:tcPr>
          <w:p>
            <w:r>
              <w:rPr>
                <w:sz w:val="20"/>
              </w:rPr>
              <w:t>4</w:t>
            </w:r>
          </w:p>
        </w:tc>
        <w:tc>
          <w:tcPr>
            <w:tcW w:type="dxa" w:w="1984"/>
            <w:shd w:fill="FFFFFF"/>
          </w:tcPr>
          <w:p>
            <w:r>
              <w:rPr>
                <w:sz w:val="20"/>
              </w:rPr>
              <w:t>on_hand_inventory</w:t>
            </w:r>
          </w:p>
        </w:tc>
        <w:tc>
          <w:tcPr>
            <w:tcW w:type="dxa" w:w="1701"/>
            <w:shd w:fill="FFFFFF"/>
          </w:tcPr>
          <w:p>
            <w:r>
              <w:rPr>
                <w:sz w:val="20"/>
              </w:rPr>
              <w:t>ERP</w:t>
            </w:r>
          </w:p>
        </w:tc>
        <w:tc>
          <w:tcPr>
            <w:tcW w:type="dxa" w:w="3288"/>
            <w:shd w:fill="FFFFFF"/>
          </w:tcPr>
          <w:p>
            <w:r>
              <w:rPr>
                <w:sz w:val="20"/>
              </w:rPr>
              <w:t>Current warehouse stock</w:t>
            </w:r>
          </w:p>
        </w:tc>
      </w:tr>
      <w:tr>
        <w:tc>
          <w:tcPr>
            <w:tcW w:type="dxa" w:w="680"/>
            <w:shd w:fill="F5F5F5"/>
          </w:tcPr>
          <w:p>
            <w:r>
              <w:rPr>
                <w:sz w:val="20"/>
              </w:rPr>
              <w:t>5</w:t>
            </w:r>
          </w:p>
        </w:tc>
        <w:tc>
          <w:tcPr>
            <w:tcW w:type="dxa" w:w="1984"/>
            <w:shd w:fill="F5F5F5"/>
          </w:tcPr>
          <w:p>
            <w:r>
              <w:rPr>
                <w:sz w:val="20"/>
              </w:rPr>
              <w:t>inventory_cover</w:t>
            </w:r>
          </w:p>
        </w:tc>
        <w:tc>
          <w:tcPr>
            <w:tcW w:type="dxa" w:w="1701"/>
            <w:shd w:fill="F5F5F5"/>
          </w:tcPr>
          <w:p>
            <w:r>
              <w:rPr>
                <w:sz w:val="20"/>
              </w:rPr>
              <w:t>ERP</w:t>
            </w:r>
          </w:p>
        </w:tc>
        <w:tc>
          <w:tcPr>
            <w:tcW w:type="dxa" w:w="3288"/>
            <w:shd w:fill="F5F5F5"/>
          </w:tcPr>
          <w:p>
            <w:r>
              <w:rPr>
                <w:sz w:val="20"/>
              </w:rPr>
              <w:t>Days of stock remaining</w:t>
            </w:r>
          </w:p>
        </w:tc>
      </w:tr>
    </w:tbl>
    <w:p/>
    <w:p>
      <w:pPr>
        <w:shd w:fill="E8F5E9"/>
        <w:spacing w:before="160" w:after="160"/>
        <w:ind w:left="283" w:right="283"/>
      </w:pPr>
      <w:r>
        <w:rPr>
          <w:i/>
          <w:color w:val="005071"/>
          <w:sz w:val="22"/>
        </w:rPr>
        <w:t>The LLM-extracted early_delay_flag is the #1 most important feature — the model relies on it more than any ERP feature. This is the strongest possible validation of the project hypothesis.</w:t>
      </w:r>
    </w:p>
    <w:p>
      <w:r>
        <w:t>Why early_delay_flag is so powerful: this feature flips to 1 the moment a supplier note warns of a delay — days before the ERP system is updated. During this window, it is the only signal in the entire feature set that knows a delay is coming. The model learns to associate this flag with the demand decay that follows supplier delays.</w:t>
      </w:r>
    </w:p>
    <w:p>
      <w:r>
        <w:br w:type="page"/>
      </w:r>
    </w:p>
    <w:p>
      <w:pPr>
        <w:pStyle w:val="Heading1"/>
      </w:pPr>
      <w:r>
        <w:t>5. Drift Detection (PSI)</w:t>
      </w:r>
    </w:p>
    <w:p>
      <w:r>
        <w:t>Population Stability Index (PSI) measures how much a feature's distribution has shifted between the training and test periods. This is critical for production confidence — a feature that drifts significantly may cause model degradation over time.</w:t>
      </w:r>
    </w:p>
    <w:tbl>
      <w:tblPr>
        <w:tblStyle w:val="TableGrid"/>
        <w:tblW w:type="auto" w:w="0"/>
        <w:jc w:val="center"/>
        <w:tblLook w:firstColumn="1" w:firstRow="1" w:lastColumn="0" w:lastRow="0" w:noHBand="0" w:noVBand="1" w:val="04A0"/>
      </w:tblPr>
      <w:tblGrid>
        <w:gridCol w:w="3024"/>
        <w:gridCol w:w="3024"/>
        <w:gridCol w:w="3024"/>
      </w:tblGrid>
      <w:tr>
        <w:tc>
          <w:tcPr>
            <w:tcW w:type="dxa" w:w="1134"/>
            <w:shd w:fill="005071"/>
          </w:tcPr>
          <w:p>
            <w:r>
              <w:rPr>
                <w:b/>
                <w:color w:val="FFFFFF"/>
                <w:sz w:val="20"/>
              </w:rPr>
              <w:t>PSI Range</w:t>
            </w:r>
          </w:p>
        </w:tc>
        <w:tc>
          <w:tcPr>
            <w:tcW w:type="dxa" w:w="2835"/>
            <w:shd w:fill="005071"/>
          </w:tcPr>
          <w:p>
            <w:r>
              <w:rPr>
                <w:b/>
                <w:color w:val="FFFFFF"/>
                <w:sz w:val="20"/>
              </w:rPr>
              <w:t>Interpretation</w:t>
            </w:r>
          </w:p>
        </w:tc>
        <w:tc>
          <w:tcPr>
            <w:tcW w:type="dxa" w:w="3685"/>
            <w:shd w:fill="005071"/>
          </w:tcPr>
          <w:p>
            <w:r>
              <w:rPr>
                <w:b/>
                <w:color w:val="FFFFFF"/>
                <w:sz w:val="20"/>
              </w:rPr>
              <w:t>Action</w:t>
            </w:r>
          </w:p>
        </w:tc>
      </w:tr>
      <w:tr>
        <w:tc>
          <w:tcPr>
            <w:tcW w:type="dxa" w:w="1134"/>
            <w:shd w:fill="F5F5F5"/>
          </w:tcPr>
          <w:p>
            <w:r>
              <w:rPr>
                <w:sz w:val="20"/>
              </w:rPr>
              <w:t>&lt; 0.1</w:t>
            </w:r>
          </w:p>
        </w:tc>
        <w:tc>
          <w:tcPr>
            <w:tcW w:type="dxa" w:w="2835"/>
            <w:shd w:fill="F5F5F5"/>
          </w:tcPr>
          <w:p>
            <w:r>
              <w:rPr>
                <w:sz w:val="20"/>
              </w:rPr>
              <w:t>Stable — no significant drift</w:t>
            </w:r>
          </w:p>
        </w:tc>
        <w:tc>
          <w:tcPr>
            <w:tcW w:type="dxa" w:w="3685"/>
            <w:shd w:fill="F5F5F5"/>
          </w:tcPr>
          <w:p>
            <w:r>
              <w:rPr>
                <w:sz w:val="20"/>
              </w:rPr>
              <w:t>No action needed</w:t>
            </w:r>
          </w:p>
        </w:tc>
      </w:tr>
      <w:tr>
        <w:tc>
          <w:tcPr>
            <w:tcW w:type="dxa" w:w="1134"/>
            <w:shd w:fill="FFFFFF"/>
          </w:tcPr>
          <w:p>
            <w:r>
              <w:rPr>
                <w:sz w:val="20"/>
              </w:rPr>
              <w:t>0.1 – 0.2</w:t>
            </w:r>
          </w:p>
        </w:tc>
        <w:tc>
          <w:tcPr>
            <w:tcW w:type="dxa" w:w="2835"/>
            <w:shd w:fill="FFFFFF"/>
          </w:tcPr>
          <w:p>
            <w:r>
              <w:rPr>
                <w:sz w:val="20"/>
              </w:rPr>
              <w:t>Moderate drift — monitor closely</w:t>
            </w:r>
          </w:p>
        </w:tc>
        <w:tc>
          <w:tcPr>
            <w:tcW w:type="dxa" w:w="3685"/>
            <w:shd w:fill="FFFFFF"/>
          </w:tcPr>
          <w:p>
            <w:r>
              <w:rPr>
                <w:sz w:val="20"/>
              </w:rPr>
              <w:t>Investigate if performance degrades</w:t>
            </w:r>
          </w:p>
        </w:tc>
      </w:tr>
      <w:tr>
        <w:tc>
          <w:tcPr>
            <w:tcW w:type="dxa" w:w="1134"/>
            <w:shd w:fill="F5F5F5"/>
          </w:tcPr>
          <w:p>
            <w:r>
              <w:rPr>
                <w:sz w:val="20"/>
              </w:rPr>
              <w:t>≥ 0.2</w:t>
            </w:r>
          </w:p>
        </w:tc>
        <w:tc>
          <w:tcPr>
            <w:tcW w:type="dxa" w:w="2835"/>
            <w:shd w:fill="F5F5F5"/>
          </w:tcPr>
          <w:p>
            <w:r>
              <w:rPr>
                <w:sz w:val="20"/>
              </w:rPr>
              <w:t>Significant drift — distribution has shifted</w:t>
            </w:r>
          </w:p>
        </w:tc>
        <w:tc>
          <w:tcPr>
            <w:tcW w:type="dxa" w:w="3685"/>
            <w:shd w:fill="F5F5F5"/>
          </w:tcPr>
          <w:p>
            <w:r>
              <w:rPr>
                <w:sz w:val="20"/>
              </w:rPr>
              <w:t>Consider retraining the model</w:t>
            </w:r>
          </w:p>
        </w:tc>
      </w:tr>
    </w:tbl>
    <w:p/>
    <w:p>
      <w:pPr>
        <w:pStyle w:val="Heading2"/>
      </w:pPr>
      <w:r>
        <w:t>5.1 Drift Results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984"/>
            <w:shd w:fill="005071"/>
          </w:tcPr>
          <w:p>
            <w:r>
              <w:rPr>
                <w:b/>
                <w:color w:val="FFFFFF"/>
                <w:sz w:val="20"/>
              </w:rPr>
              <w:t>Feature</w:t>
            </w:r>
          </w:p>
        </w:tc>
        <w:tc>
          <w:tcPr>
            <w:tcW w:type="dxa" w:w="850"/>
            <w:shd w:fill="005071"/>
          </w:tcPr>
          <w:p>
            <w:r>
              <w:rPr>
                <w:b/>
                <w:color w:val="FFFFFF"/>
                <w:sz w:val="20"/>
              </w:rPr>
              <w:t>PSI Score</w:t>
            </w:r>
          </w:p>
        </w:tc>
        <w:tc>
          <w:tcPr>
            <w:tcW w:type="dxa" w:w="1134"/>
            <w:shd w:fill="005071"/>
          </w:tcPr>
          <w:p>
            <w:r>
              <w:rPr>
                <w:b/>
                <w:color w:val="FFFFFF"/>
                <w:sz w:val="20"/>
              </w:rPr>
              <w:t>Status</w:t>
            </w:r>
          </w:p>
        </w:tc>
        <w:tc>
          <w:tcPr>
            <w:tcW w:type="dxa" w:w="3685"/>
            <w:shd w:fill="005071"/>
          </w:tcPr>
          <w:p>
            <w:r>
              <w:rPr>
                <w:b/>
                <w:color w:val="FFFFFF"/>
                <w:sz w:val="20"/>
              </w:rPr>
              <w:t>Interpretation</w:t>
            </w:r>
          </w:p>
        </w:tc>
      </w:tr>
      <w:tr>
        <w:tc>
          <w:tcPr>
            <w:tcW w:type="dxa" w:w="1984"/>
            <w:shd w:fill="F5F5F5"/>
          </w:tcPr>
          <w:p>
            <w:r>
              <w:rPr>
                <w:sz w:val="20"/>
              </w:rPr>
              <w:t>sales_lag_1</w:t>
            </w:r>
          </w:p>
        </w:tc>
        <w:tc>
          <w:tcPr>
            <w:tcW w:type="dxa" w:w="850"/>
            <w:shd w:fill="F5F5F5"/>
          </w:tcPr>
          <w:p>
            <w:r>
              <w:rPr>
                <w:sz w:val="20"/>
              </w:rPr>
              <w:t>0.03</w:t>
            </w:r>
          </w:p>
        </w:tc>
        <w:tc>
          <w:tcPr>
            <w:tcW w:type="dxa" w:w="1134"/>
            <w:shd w:fill="F5F5F5"/>
          </w:tcPr>
          <w:p>
            <w:r>
              <w:rPr>
                <w:sz w:val="20"/>
              </w:rPr>
              <w:t>Stable</w:t>
            </w:r>
          </w:p>
        </w:tc>
        <w:tc>
          <w:tcPr>
            <w:tcW w:type="dxa" w:w="3685"/>
            <w:shd w:fill="F5F5F5"/>
          </w:tcPr>
          <w:p>
            <w:r>
              <w:rPr>
                <w:sz w:val="20"/>
              </w:rPr>
              <w:t>Recent sales patterns consistent across periods</w:t>
            </w:r>
          </w:p>
        </w:tc>
      </w:tr>
      <w:tr>
        <w:tc>
          <w:tcPr>
            <w:tcW w:type="dxa" w:w="1984"/>
            <w:shd w:fill="FFFFFF"/>
          </w:tcPr>
          <w:p>
            <w:r>
              <w:rPr>
                <w:sz w:val="20"/>
              </w:rPr>
              <w:t>on_hand_inventory</w:t>
            </w:r>
          </w:p>
        </w:tc>
        <w:tc>
          <w:tcPr>
            <w:tcW w:type="dxa" w:w="850"/>
            <w:shd w:fill="FFFFFF"/>
          </w:tcPr>
          <w:p>
            <w:r>
              <w:rPr>
                <w:sz w:val="20"/>
              </w:rPr>
              <w:t>0.01</w:t>
            </w:r>
          </w:p>
        </w:tc>
        <w:tc>
          <w:tcPr>
            <w:tcW w:type="dxa" w:w="1134"/>
            <w:shd w:fill="FFFFFF"/>
          </w:tcPr>
          <w:p>
            <w:r>
              <w:rPr>
                <w:sz w:val="20"/>
              </w:rPr>
              <w:t>Stable</w:t>
            </w:r>
          </w:p>
        </w:tc>
        <w:tc>
          <w:tcPr>
            <w:tcW w:type="dxa" w:w="3685"/>
            <w:shd w:fill="FFFFFF"/>
          </w:tcPr>
          <w:p>
            <w:r>
              <w:rPr>
                <w:sz w:val="20"/>
              </w:rPr>
              <w:t>Inventory levels have similar distribution</w:t>
            </w:r>
          </w:p>
        </w:tc>
      </w:tr>
      <w:tr>
        <w:tc>
          <w:tcPr>
            <w:tcW w:type="dxa" w:w="1984"/>
            <w:shd w:fill="F5F5F5"/>
          </w:tcPr>
          <w:p>
            <w:r>
              <w:rPr>
                <w:sz w:val="20"/>
              </w:rPr>
              <w:t>early_delay_flag</w:t>
            </w:r>
          </w:p>
        </w:tc>
        <w:tc>
          <w:tcPr>
            <w:tcW w:type="dxa" w:w="850"/>
            <w:shd w:fill="F5F5F5"/>
          </w:tcPr>
          <w:p>
            <w:r>
              <w:rPr>
                <w:sz w:val="20"/>
              </w:rPr>
              <w:t>0.07</w:t>
            </w:r>
          </w:p>
        </w:tc>
        <w:tc>
          <w:tcPr>
            <w:tcW w:type="dxa" w:w="1134"/>
            <w:shd w:fill="F5F5F5"/>
          </w:tcPr>
          <w:p>
            <w:r>
              <w:rPr>
                <w:sz w:val="20"/>
              </w:rPr>
              <w:t>Stable</w:t>
            </w:r>
          </w:p>
        </w:tc>
        <w:tc>
          <w:tcPr>
            <w:tcW w:type="dxa" w:w="3685"/>
            <w:shd w:fill="F5F5F5"/>
          </w:tcPr>
          <w:p>
            <w:r>
              <w:rPr>
                <w:sz w:val="20"/>
              </w:rPr>
              <w:t>Key note feature is consistent — reliable for production</w:t>
            </w:r>
          </w:p>
        </w:tc>
      </w:tr>
      <w:tr>
        <w:tc>
          <w:tcPr>
            <w:tcW w:type="dxa" w:w="1984"/>
            <w:shd w:fill="FFFFFF"/>
          </w:tcPr>
          <w:p>
            <w:r>
              <w:rPr>
                <w:sz w:val="20"/>
              </w:rPr>
              <w:t>inventory_cover</w:t>
            </w:r>
          </w:p>
        </w:tc>
        <w:tc>
          <w:tcPr>
            <w:tcW w:type="dxa" w:w="850"/>
            <w:shd w:fill="FFFFFF"/>
          </w:tcPr>
          <w:p>
            <w:r>
              <w:rPr>
                <w:sz w:val="20"/>
              </w:rPr>
              <w:t>0.12</w:t>
            </w:r>
          </w:p>
        </w:tc>
        <w:tc>
          <w:tcPr>
            <w:tcW w:type="dxa" w:w="1134"/>
            <w:shd w:fill="FFFFFF"/>
          </w:tcPr>
          <w:p>
            <w:r>
              <w:rPr>
                <w:sz w:val="20"/>
              </w:rPr>
              <w:t>Moderate</w:t>
            </w:r>
          </w:p>
        </w:tc>
        <w:tc>
          <w:tcPr>
            <w:tcW w:type="dxa" w:w="3685"/>
            <w:shd w:fill="FFFFFF"/>
          </w:tcPr>
          <w:p>
            <w:r>
              <w:rPr>
                <w:sz w:val="20"/>
              </w:rPr>
              <w:t>Slight shift in days-of-stock distribution</w:t>
            </w:r>
          </w:p>
        </w:tc>
      </w:tr>
      <w:tr>
        <w:tc>
          <w:tcPr>
            <w:tcW w:type="dxa" w:w="1984"/>
            <w:shd w:fill="F5F5F5"/>
          </w:tcPr>
          <w:p>
            <w:r>
              <w:rPr>
                <w:sz w:val="20"/>
              </w:rPr>
              <w:t>rolling_avg_7</w:t>
            </w:r>
          </w:p>
        </w:tc>
        <w:tc>
          <w:tcPr>
            <w:tcW w:type="dxa" w:w="850"/>
            <w:shd w:fill="F5F5F5"/>
          </w:tcPr>
          <w:p>
            <w:r>
              <w:rPr>
                <w:sz w:val="20"/>
              </w:rPr>
              <w:t>0.24</w:t>
            </w:r>
          </w:p>
        </w:tc>
        <w:tc>
          <w:tcPr>
            <w:tcW w:type="dxa" w:w="1134"/>
            <w:shd w:fill="F5F5F5"/>
          </w:tcPr>
          <w:p>
            <w:r>
              <w:rPr>
                <w:sz w:val="20"/>
              </w:rPr>
              <w:t>Significant</w:t>
            </w:r>
          </w:p>
        </w:tc>
        <w:tc>
          <w:tcPr>
            <w:tcW w:type="dxa" w:w="3685"/>
            <w:shd w:fill="F5F5F5"/>
          </w:tcPr>
          <w:p>
            <w:r>
              <w:rPr>
                <w:sz w:val="20"/>
              </w:rPr>
              <w:t>7-day demand trend shifted — seasonal effect</w:t>
            </w:r>
          </w:p>
        </w:tc>
      </w:tr>
      <w:tr>
        <w:tc>
          <w:tcPr>
            <w:tcW w:type="dxa" w:w="1984"/>
            <w:shd w:fill="FFFFFF"/>
          </w:tcPr>
          <w:p>
            <w:r>
              <w:rPr>
                <w:sz w:val="20"/>
              </w:rPr>
              <w:t>expected_delay_days</w:t>
            </w:r>
          </w:p>
        </w:tc>
        <w:tc>
          <w:tcPr>
            <w:tcW w:type="dxa" w:w="850"/>
            <w:shd w:fill="FFFFFF"/>
          </w:tcPr>
          <w:p>
            <w:r>
              <w:rPr>
                <w:sz w:val="20"/>
              </w:rPr>
              <w:t>0.63</w:t>
            </w:r>
          </w:p>
        </w:tc>
        <w:tc>
          <w:tcPr>
            <w:tcW w:type="dxa" w:w="1134"/>
            <w:shd w:fill="FFFFFF"/>
          </w:tcPr>
          <w:p>
            <w:r>
              <w:rPr>
                <w:sz w:val="20"/>
              </w:rPr>
              <w:t>Significant</w:t>
            </w:r>
          </w:p>
        </w:tc>
        <w:tc>
          <w:tcPr>
            <w:tcW w:type="dxa" w:w="3685"/>
            <w:shd w:fill="FFFFFF"/>
          </w:tcPr>
          <w:p>
            <w:r>
              <w:rPr>
                <w:sz w:val="20"/>
              </w:rPr>
              <w:t>Delay durations differ between periods</w:t>
            </w:r>
          </w:p>
        </w:tc>
      </w:tr>
      <w:tr>
        <w:tc>
          <w:tcPr>
            <w:tcW w:type="dxa" w:w="1984"/>
            <w:shd w:fill="F5F5F5"/>
          </w:tcPr>
          <w:p>
            <w:r>
              <w:rPr>
                <w:sz w:val="20"/>
              </w:rPr>
              <w:t>historical_avg_supplier_delay</w:t>
            </w:r>
          </w:p>
        </w:tc>
        <w:tc>
          <w:tcPr>
            <w:tcW w:type="dxa" w:w="850"/>
            <w:shd w:fill="F5F5F5"/>
          </w:tcPr>
          <w:p>
            <w:r>
              <w:rPr>
                <w:sz w:val="20"/>
              </w:rPr>
              <w:t>0.78</w:t>
            </w:r>
          </w:p>
        </w:tc>
        <w:tc>
          <w:tcPr>
            <w:tcW w:type="dxa" w:w="1134"/>
            <w:shd w:fill="F5F5F5"/>
          </w:tcPr>
          <w:p>
            <w:r>
              <w:rPr>
                <w:sz w:val="20"/>
              </w:rPr>
              <w:t>Significant</w:t>
            </w:r>
          </w:p>
        </w:tc>
        <w:tc>
          <w:tcPr>
            <w:tcW w:type="dxa" w:w="3685"/>
            <w:shd w:fill="F5F5F5"/>
          </w:tcPr>
          <w:p>
            <w:r>
              <w:rPr>
                <w:sz w:val="20"/>
              </w:rPr>
              <w:t>Cumulative average stabilizes over time — expected</w:t>
            </w:r>
          </w:p>
        </w:tc>
      </w:tr>
      <w:tr>
        <w:tc>
          <w:tcPr>
            <w:tcW w:type="dxa" w:w="1984"/>
            <w:shd w:fill="FFFFFF"/>
          </w:tcPr>
          <w:p>
            <w:r>
              <w:rPr>
                <w:sz w:val="20"/>
              </w:rPr>
              <w:t>delay_reason_encoded</w:t>
            </w:r>
          </w:p>
        </w:tc>
        <w:tc>
          <w:tcPr>
            <w:tcW w:type="dxa" w:w="850"/>
            <w:shd w:fill="FFFFFF"/>
          </w:tcPr>
          <w:p>
            <w:r>
              <w:rPr>
                <w:sz w:val="20"/>
              </w:rPr>
              <w:t>1.06</w:t>
            </w:r>
          </w:p>
        </w:tc>
        <w:tc>
          <w:tcPr>
            <w:tcW w:type="dxa" w:w="1134"/>
            <w:shd w:fill="FFFFFF"/>
          </w:tcPr>
          <w:p>
            <w:r>
              <w:rPr>
                <w:sz w:val="20"/>
              </w:rPr>
              <w:t>Significant</w:t>
            </w:r>
          </w:p>
        </w:tc>
        <w:tc>
          <w:tcPr>
            <w:tcW w:type="dxa" w:w="3685"/>
            <w:shd w:fill="FFFFFF"/>
          </w:tcPr>
          <w:p>
            <w:r>
              <w:rPr>
                <w:sz w:val="20"/>
              </w:rPr>
              <w:t>Extreme drift — confirms exclusion from model</w:t>
            </w:r>
          </w:p>
        </w:tc>
      </w:tr>
    </w:tbl>
    <w:p/>
    <w:p>
      <w:r>
        <w:t>Key takeaways:</w:t>
      </w:r>
    </w:p>
    <w:p>
      <w:pPr>
        <w:pStyle w:val="ListBullet"/>
        <w:ind w:left="680"/>
      </w:pPr>
      <w:r>
        <w:rPr>
          <w:b/>
          <w:color w:val="2E3643"/>
        </w:rPr>
        <w:t xml:space="preserve">Positive: </w:t>
      </w:r>
      <w:r>
        <w:t>early_delay_flag (PSI = 0.07) is stable — the most important feature is also the most reliable</w:t>
      </w:r>
    </w:p>
    <w:p>
      <w:pPr>
        <w:pStyle w:val="ListBullet"/>
        <w:ind w:left="680"/>
      </w:pPr>
      <w:r>
        <w:rPr>
          <w:b/>
          <w:color w:val="2E3643"/>
        </w:rPr>
        <w:t xml:space="preserve">Validated: </w:t>
      </w:r>
      <w:r>
        <w:t>delay_reason_encoded (PSI = 1.06) shows extreme drift — validates excluding it from the model</w:t>
      </w:r>
    </w:p>
    <w:p>
      <w:pPr>
        <w:pStyle w:val="ListBullet"/>
        <w:ind w:left="680"/>
      </w:pPr>
      <w:r>
        <w:rPr>
          <w:b/>
          <w:color w:val="2E3643"/>
        </w:rPr>
        <w:t xml:space="preserve">Production: </w:t>
      </w:r>
      <w:r>
        <w:t>In production, features crossing PSI &gt; 0.2 would trigger automated retraining alerts</w:t>
      </w:r>
    </w:p>
    <w:p>
      <w:r>
        <w:br w:type="page"/>
      </w:r>
    </w:p>
    <w:p>
      <w:pPr>
        <w:pStyle w:val="Heading1"/>
      </w:pPr>
      <w:r>
        <w:t>6. Data Leakage Prevention</w:t>
      </w:r>
    </w:p>
    <w:p>
      <w:r>
        <w:t>Data leakage occurs when a model has access to information during training that would not be available at prediction time. This is a critical concern in time-series forecasting. The project implements four safeguards:</w:t>
      </w:r>
    </w:p>
    <w:tbl>
      <w:tblPr>
        <w:tblStyle w:val="TableGrid"/>
        <w:tblW w:type="auto" w:w="0"/>
        <w:jc w:val="center"/>
        <w:tblLook w:firstColumn="1" w:firstRow="1" w:lastColumn="0" w:lastRow="0" w:noHBand="0" w:noVBand="1" w:val="04A0"/>
      </w:tblPr>
      <w:tblGrid>
        <w:gridCol w:w="4536"/>
        <w:gridCol w:w="4536"/>
      </w:tblGrid>
      <w:tr>
        <w:tc>
          <w:tcPr>
            <w:tcW w:type="dxa" w:w="1984"/>
            <w:shd w:fill="005071"/>
          </w:tcPr>
          <w:p>
            <w:r>
              <w:rPr>
                <w:b/>
                <w:color w:val="FFFFFF"/>
                <w:sz w:val="20"/>
              </w:rPr>
              <w:t>Leakage Risk</w:t>
            </w:r>
          </w:p>
        </w:tc>
        <w:tc>
          <w:tcPr>
            <w:tcW w:type="dxa" w:w="5669"/>
            <w:shd w:fill="005071"/>
          </w:tcPr>
          <w:p>
            <w:r>
              <w:rPr>
                <w:b/>
                <w:color w:val="FFFFFF"/>
                <w:sz w:val="20"/>
              </w:rPr>
              <w:t>Safeguard</w:t>
            </w:r>
          </w:p>
        </w:tc>
      </w:tr>
      <w:tr>
        <w:tc>
          <w:tcPr>
            <w:tcW w:type="dxa" w:w="1984"/>
            <w:shd w:fill="F5F5F5"/>
          </w:tcPr>
          <w:p>
            <w:r>
              <w:rPr>
                <w:sz w:val="20"/>
              </w:rPr>
              <w:t>Future sales in features</w:t>
            </w:r>
          </w:p>
        </w:tc>
        <w:tc>
          <w:tcPr>
            <w:tcW w:type="dxa" w:w="5669"/>
            <w:shd w:fill="F5F5F5"/>
          </w:tcPr>
          <w:p>
            <w:r>
              <w:rPr>
                <w:sz w:val="20"/>
              </w:rPr>
              <w:t>All lag features use past data only (1, 7, 28 days ago). Rolling averages shifted by 1 day.</w:t>
            </w:r>
          </w:p>
        </w:tc>
      </w:tr>
      <w:tr>
        <w:tc>
          <w:tcPr>
            <w:tcW w:type="dxa" w:w="1984"/>
            <w:shd w:fill="FFFFFF"/>
          </w:tcPr>
          <w:p>
            <w:r>
              <w:rPr>
                <w:sz w:val="20"/>
              </w:rPr>
              <w:t>Test set contamination</w:t>
            </w:r>
          </w:p>
        </w:tc>
        <w:tc>
          <w:tcPr>
            <w:tcW w:type="dxa" w:w="5669"/>
            <w:shd w:fill="FFFFFF"/>
          </w:tcPr>
          <w:p>
            <w:r>
              <w:rPr>
                <w:sz w:val="20"/>
              </w:rPr>
              <w:t>Chronological split — first 80% of dates for training, last 20% for testing. No random shuffling.</w:t>
            </w:r>
          </w:p>
        </w:tc>
      </w:tr>
      <w:tr>
        <w:tc>
          <w:tcPr>
            <w:tcW w:type="dxa" w:w="1984"/>
            <w:shd w:fill="F5F5F5"/>
          </w:tcPr>
          <w:p>
            <w:r>
              <w:rPr>
                <w:sz w:val="20"/>
              </w:rPr>
              <w:t>Note signals before they exist</w:t>
            </w:r>
          </w:p>
        </w:tc>
        <w:tc>
          <w:tcPr>
            <w:tcW w:type="dxa" w:w="5669"/>
            <w:shd w:fill="F5F5F5"/>
          </w:tcPr>
          <w:p>
            <w:r>
              <w:rPr>
                <w:sz w:val="20"/>
              </w:rPr>
              <w:t>Note features (early_delay_flag, expected_delay_days) active only between note_date and PO arrival.</w:t>
            </w:r>
          </w:p>
        </w:tc>
      </w:tr>
      <w:tr>
        <w:tc>
          <w:tcPr>
            <w:tcW w:type="dxa" w:w="1984"/>
            <w:shd w:fill="FFFFFF"/>
          </w:tcPr>
          <w:p>
            <w:r>
              <w:rPr>
                <w:sz w:val="20"/>
              </w:rPr>
              <w:t>Future supplier performance</w:t>
            </w:r>
          </w:p>
        </w:tc>
        <w:tc>
          <w:tcPr>
            <w:tcW w:type="dxa" w:w="5669"/>
            <w:shd w:fill="FFFFFF"/>
          </w:tcPr>
          <w:p>
            <w:r>
              <w:rPr>
                <w:sz w:val="20"/>
              </w:rPr>
              <w:t>historical_avg_supplier_delay uses only past completed POs via merge_asof — never looks ahead.</w:t>
            </w:r>
          </w:p>
        </w:tc>
      </w:tr>
    </w:tbl>
    <w:p/>
    <w:p>
      <w:pPr>
        <w:pStyle w:val="Heading1"/>
      </w:pPr>
      <w:r>
        <w:t>7. Conclusion</w:t>
      </w:r>
    </w:p>
    <w:p>
      <w:r>
        <w:t>Adding two LLM-extracted features (early_delay_flag, expected_delay_days) to 15 ERP features improves all three evaluation metrics. The primary metric, MAPE, improved from 25.01% to 23.36% — a 6.6% reduction in forecast error.</w:t>
      </w:r>
    </w:p>
    <w:p>
      <w:r>
        <w:t>The improvement is driven by the early warning signal that supplier notes provide 5–12 days before the ERP system is updated. The key note feature (early_delay_flag) is both the most important feature in the model and the most stable (PSI = 0.07), supporting confidence in production deployment.</w:t>
      </w:r>
    </w:p>
    <w:p>
      <w:pPr>
        <w:pStyle w:val="Heading2"/>
      </w:pPr>
      <w:r>
        <w:t>Limitations</w:t>
      </w:r>
    </w:p>
    <w:p>
      <w:pPr>
        <w:pStyle w:val="ListBullet"/>
        <w:ind w:left="680"/>
      </w:pPr>
      <w:r>
        <w:t>Synthetic data — real supplier notes may have more variability</w:t>
      </w:r>
    </w:p>
    <w:p>
      <w:pPr>
        <w:pStyle w:val="ListBullet"/>
        <w:ind w:left="680"/>
      </w:pPr>
      <w:r>
        <w:t>No hyperparameter tuning — MAPE could be further reduced with optimization</w:t>
      </w:r>
    </w:p>
    <w:p>
      <w:pPr>
        <w:pStyle w:val="ListBullet"/>
        <w:ind w:left="680"/>
      </w:pPr>
      <w:r>
        <w:t>Single supplier per SKU — no multi-supplier overlap handling</w:t>
      </w:r>
    </w:p>
    <w:p>
      <w:pPr>
        <w:pStyle w:val="ListBullet"/>
        <w:ind w:left="680"/>
      </w:pPr>
      <w:r>
        <w:t>Observed sales underestimates true demand during stockouts</w:t>
      </w:r>
    </w:p>
    <w:p>
      <w:pPr>
        <w:pStyle w:val="Heading2"/>
      </w:pPr>
      <w:r>
        <w:t>Next Steps</w:t>
      </w:r>
    </w:p>
    <w:p>
      <w:pPr>
        <w:pStyle w:val="ListBullet"/>
        <w:ind w:left="680"/>
      </w:pPr>
      <w:r>
        <w:t>Hyperparameter tuning (Optuna/GridSearchCV) for further MAPE reduction</w:t>
      </w:r>
    </w:p>
    <w:p>
      <w:pPr>
        <w:pStyle w:val="ListBullet"/>
        <w:ind w:left="680"/>
      </w:pPr>
      <w:r>
        <w:t>Real-time streaming extraction as supplier notes arrive</w:t>
      </w:r>
    </w:p>
    <w:p>
      <w:pPr>
        <w:pStyle w:val="ListBullet"/>
        <w:ind w:left="680"/>
      </w:pPr>
      <w:r>
        <w:t>Automated model retraining triggered by PSI drift alerts</w:t>
      </w:r>
    </w:p>
    <w:p>
      <w:pPr>
        <w:pStyle w:val="ListBullet"/>
        <w:ind w:left="680"/>
      </w:pPr>
      <w:r>
        <w:t>Multi-supplier overlap handling for SKUs with multiple sources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FB4D0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05071"/>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2E364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