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b/>
          <w:color w:val="FB4D0A"/>
          <w:sz w:val="64"/>
        </w:rPr>
        <w:t>Evaluation Report</w:t>
      </w:r>
    </w:p>
    <w:p>
      <w:pPr>
        <w:spacing w:after="480"/>
        <w:jc w:val="center"/>
      </w:pPr>
      <w:r>
        <w:rPr>
          <w:b/>
          <w:color w:val="2E3643"/>
          <w:sz w:val="40"/>
        </w:rPr>
        <w:t>Demand Signal Feature Store</w:t>
      </w:r>
    </w:p>
    <w:p/>
    <w:p>
      <w:pPr>
        <w:spacing w:after="80"/>
        <w:jc w:val="center"/>
      </w:pPr>
      <w:r>
        <w:rPr>
          <w:color w:val="6D727B"/>
          <w:sz w:val="24"/>
        </w:rPr>
        <w:t>Capstone Project  |  AI Engineer Program  |  Track 1</w:t>
      </w:r>
    </w:p>
    <w:p>
      <w:pPr>
        <w:jc w:val="center"/>
      </w:pPr>
      <w:r>
        <w:rPr>
          <w:color w:val="6D727B"/>
          <w:sz w:val="24"/>
        </w:rPr>
        <w:t>Damini Thandele  |  October 2026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Measure whether LLM-extracted supplier delay signals improve next-day demand forecasting accuracy compared to an ERP-only baseline. The primary metric is MAPE.</w:t>
      </w:r>
    </w:p>
    <w:p>
      <w:pPr>
        <w:pStyle w:val="Heading1"/>
      </w:pPr>
      <w:r>
        <w:t>2. Experimental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005071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803"/>
            <w:shd w:fill="005071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Algorithm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20"/>
              </w:rPr>
              <w:t>XGBoost Regressor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sz w:val="20"/>
              </w:rPr>
              <w:t>Hyperparameters</w:t>
            </w:r>
          </w:p>
        </w:tc>
        <w:tc>
          <w:tcPr>
            <w:tcW w:type="dxa" w:w="6803"/>
            <w:shd w:fill="FFFFFF"/>
          </w:tcPr>
          <w:p>
            <w:r>
              <w:rPr>
                <w:sz w:val="20"/>
              </w:rPr>
              <w:t>n_estimators=200, max_depth=5, learning_rate=0.1, random_state=42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Train/Test Split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20"/>
              </w:rPr>
              <w:t>Chronological 80/20 (first ~14 months train, last ~4 months test)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sz w:val="20"/>
              </w:rPr>
              <w:t>Baseline Features</w:t>
            </w:r>
          </w:p>
        </w:tc>
        <w:tc>
          <w:tcPr>
            <w:tcW w:type="dxa" w:w="6803"/>
            <w:shd w:fill="FFFFFF"/>
          </w:tcPr>
          <w:p>
            <w:r>
              <w:rPr>
                <w:sz w:val="20"/>
              </w:rPr>
              <w:t>15 ERP features (sales lags, inventory, PO timing, calendar)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Enhanced Features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20"/>
              </w:rPr>
              <w:t>15 ERP + 2 note-derived (early_delay_flag, expected_delay_days)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sz w:val="20"/>
              </w:rPr>
              <w:t>Target Variable</w:t>
            </w:r>
          </w:p>
        </w:tc>
        <w:tc>
          <w:tcPr>
            <w:tcW w:type="dxa" w:w="6803"/>
            <w:shd w:fill="FFFFFF"/>
          </w:tcPr>
          <w:p>
            <w:r>
              <w:rPr>
                <w:sz w:val="20"/>
              </w:rPr>
              <w:t>target_next_day_sales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20"/>
              </w:rPr>
              <w:t>Synthetic: 2,700 daily records, 5 SKUs, 4 suppliers, 540 days</w:t>
            </w:r>
          </w:p>
        </w:tc>
      </w:tr>
    </w:tbl>
    <w:p/>
    <w:p>
      <w:r>
        <w:t>Both models use identical hyperparameters so any accuracy difference comes purely from the additional features.</w:t>
      </w:r>
    </w:p>
    <w:p>
      <w:pPr>
        <w:pStyle w:val="Heading1"/>
      </w:pPr>
      <w:r>
        <w:t>3.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005071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984"/>
            <w:shd w:fill="005071"/>
          </w:tcPr>
          <w:p>
            <w:r>
              <w:rPr>
                <w:b/>
                <w:color w:val="FFFFFF"/>
                <w:sz w:val="20"/>
              </w:rPr>
              <w:t>Baseline (ERP only)</w:t>
            </w:r>
          </w:p>
        </w:tc>
        <w:tc>
          <w:tcPr>
            <w:tcW w:type="dxa" w:w="1984"/>
            <w:shd w:fill="005071"/>
          </w:tcPr>
          <w:p>
            <w:r>
              <w:rPr>
                <w:b/>
                <w:color w:val="FFFFFF"/>
                <w:sz w:val="20"/>
              </w:rPr>
              <w:t>Enhanced (ERP + Notes)</w:t>
            </w:r>
          </w:p>
        </w:tc>
        <w:tc>
          <w:tcPr>
            <w:tcW w:type="dxa" w:w="1984"/>
            <w:shd w:fill="005071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20"/>
              </w:rPr>
              <w:t>MAPE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20"/>
              </w:rPr>
              <w:t>25.01%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20"/>
              </w:rPr>
              <w:t>23.36%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20"/>
              </w:rPr>
              <w:t>-6.6% (improved)</w:t>
            </w:r>
          </w:p>
        </w:tc>
      </w:tr>
      <w:tr>
        <w:tc>
          <w:tcPr>
            <w:tcW w:type="dxa" w:w="1701"/>
            <w:shd w:fill="FFFFFF"/>
          </w:tcPr>
          <w:p>
            <w:r>
              <w:rPr>
                <w:sz w:val="20"/>
              </w:rPr>
              <w:t>MAE</w:t>
            </w:r>
          </w:p>
        </w:tc>
        <w:tc>
          <w:tcPr>
            <w:tcW w:type="dxa" w:w="1984"/>
            <w:shd w:fill="FFFFFF"/>
          </w:tcPr>
          <w:p>
            <w:r>
              <w:rPr>
                <w:sz w:val="20"/>
              </w:rPr>
              <w:t>5.03 units</w:t>
            </w:r>
          </w:p>
        </w:tc>
        <w:tc>
          <w:tcPr>
            <w:tcW w:type="dxa" w:w="1984"/>
            <w:shd w:fill="FFFFFF"/>
          </w:tcPr>
          <w:p>
            <w:r>
              <w:rPr>
                <w:sz w:val="20"/>
              </w:rPr>
              <w:t>4.55 units</w:t>
            </w:r>
          </w:p>
        </w:tc>
        <w:tc>
          <w:tcPr>
            <w:tcW w:type="dxa" w:w="1984"/>
            <w:shd w:fill="FFFFFF"/>
          </w:tcPr>
          <w:p>
            <w:r>
              <w:rPr>
                <w:sz w:val="20"/>
              </w:rPr>
              <w:t>-9.5% (improved)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20"/>
              </w:rPr>
              <w:t>RMSE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20"/>
              </w:rPr>
              <w:t>6.80 units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20"/>
              </w:rPr>
              <w:t>6.35 units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20"/>
              </w:rPr>
              <w:t>-6.6% (improved)</w:t>
            </w:r>
          </w:p>
        </w:tc>
      </w:tr>
    </w:tbl>
    <w:p/>
    <w:p>
      <w:pPr>
        <w:shd w:fill="E8F5E9"/>
        <w:spacing w:before="160" w:after="160"/>
        <w:ind w:left="283" w:right="283"/>
      </w:pPr>
      <w:r>
        <w:rPr>
          <w:i/>
          <w:color w:val="005071"/>
          <w:sz w:val="22"/>
        </w:rPr>
        <w:t>MAPE improvement: (23.36 − 25.01) / 25.01 × 100 = −6.6%. All three metrics improved consistently.</w:t>
      </w:r>
    </w:p>
    <w:p>
      <w:pPr>
        <w:pStyle w:val="Heading1"/>
      </w:pPr>
      <w:r>
        <w:t>4. Feature Importance (Top 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005071"/>
          </w:tcPr>
          <w:p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1984"/>
            <w:shd w:fill="005071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701"/>
            <w:shd w:fill="005071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288"/>
            <w:shd w:fill="005071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20"/>
              </w:rPr>
              <w:t>early_delay_flag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20"/>
              </w:rPr>
              <w:t>Supplier Note (LLM)</w:t>
            </w:r>
          </w:p>
        </w:tc>
        <w:tc>
          <w:tcPr>
            <w:tcW w:type="dxa" w:w="3288"/>
            <w:shd w:fill="F5F5F5"/>
          </w:tcPr>
          <w:p>
            <w:r>
              <w:rPr>
                <w:sz w:val="20"/>
              </w:rPr>
              <w:t>Binary delay warning — available before ERP update</w:t>
            </w:r>
          </w:p>
        </w:tc>
      </w:tr>
      <w:tr>
        <w:tc>
          <w:tcPr>
            <w:tcW w:type="dxa" w:w="680"/>
            <w:shd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  <w:shd w:fill="FFFFFF"/>
          </w:tcPr>
          <w:p>
            <w:r>
              <w:rPr>
                <w:sz w:val="20"/>
              </w:rPr>
              <w:t>sales_lag_1</w:t>
            </w:r>
          </w:p>
        </w:tc>
        <w:tc>
          <w:tcPr>
            <w:tcW w:type="dxa" w:w="1701"/>
            <w:shd w:fill="FFFFFF"/>
          </w:tcPr>
          <w:p>
            <w:r>
              <w:rPr>
                <w:sz w:val="20"/>
              </w:rPr>
              <w:t>ERP</w:t>
            </w:r>
          </w:p>
        </w:tc>
        <w:tc>
          <w:tcPr>
            <w:tcW w:type="dxa" w:w="3288"/>
            <w:shd w:fill="FFFFFF"/>
          </w:tcPr>
          <w:p>
            <w:r>
              <w:rPr>
                <w:sz w:val="20"/>
              </w:rPr>
              <w:t>Previous day’s sales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20"/>
              </w:rPr>
              <w:t>rolling_avg_7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20"/>
              </w:rPr>
              <w:t>ERP</w:t>
            </w:r>
          </w:p>
        </w:tc>
        <w:tc>
          <w:tcPr>
            <w:tcW w:type="dxa" w:w="3288"/>
            <w:shd w:fill="F5F5F5"/>
          </w:tcPr>
          <w:p>
            <w:r>
              <w:rPr>
                <w:sz w:val="20"/>
              </w:rPr>
              <w:t>7-day smoothed demand trend</w:t>
            </w:r>
          </w:p>
        </w:tc>
      </w:tr>
      <w:tr>
        <w:tc>
          <w:tcPr>
            <w:tcW w:type="dxa" w:w="680"/>
            <w:shd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4"/>
            <w:shd w:fill="FFFFFF"/>
          </w:tcPr>
          <w:p>
            <w:r>
              <w:rPr>
                <w:sz w:val="20"/>
              </w:rPr>
              <w:t>on_hand_inventory</w:t>
            </w:r>
          </w:p>
        </w:tc>
        <w:tc>
          <w:tcPr>
            <w:tcW w:type="dxa" w:w="1701"/>
            <w:shd w:fill="FFFFFF"/>
          </w:tcPr>
          <w:p>
            <w:r>
              <w:rPr>
                <w:sz w:val="20"/>
              </w:rPr>
              <w:t>ERP</w:t>
            </w:r>
          </w:p>
        </w:tc>
        <w:tc>
          <w:tcPr>
            <w:tcW w:type="dxa" w:w="3288"/>
            <w:shd w:fill="FFFFFF"/>
          </w:tcPr>
          <w:p>
            <w:r>
              <w:rPr>
                <w:sz w:val="20"/>
              </w:rPr>
              <w:t>Current warehouse stock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20"/>
              </w:rPr>
              <w:t>inventory_cover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20"/>
              </w:rPr>
              <w:t>ERP</w:t>
            </w:r>
          </w:p>
        </w:tc>
        <w:tc>
          <w:tcPr>
            <w:tcW w:type="dxa" w:w="3288"/>
            <w:shd w:fill="F5F5F5"/>
          </w:tcPr>
          <w:p>
            <w:r>
              <w:rPr>
                <w:sz w:val="20"/>
              </w:rPr>
              <w:t>Days of stock remaining</w:t>
            </w:r>
          </w:p>
        </w:tc>
      </w:tr>
    </w:tbl>
    <w:p/>
    <w:p>
      <w:r>
        <w:t>The LLM-extracted early_delay_flag is the #1 most important feature, validating that unstructured supplier signals carry unique predictive value.</w:t>
      </w:r>
    </w:p>
    <w:p>
      <w:pPr>
        <w:pStyle w:val="Heading1"/>
      </w:pPr>
      <w:r>
        <w:t>5. Drift Detection (PSI)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fill="005071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134"/>
            <w:shd w:fill="005071"/>
          </w:tcPr>
          <w:p>
            <w:r>
              <w:rPr>
                <w:b/>
                <w:color w:val="FFFFFF"/>
                <w:sz w:val="20"/>
              </w:rPr>
              <w:t>PSI</w:t>
            </w:r>
          </w:p>
        </w:tc>
        <w:tc>
          <w:tcPr>
            <w:tcW w:type="dxa" w:w="1701"/>
            <w:shd w:fill="005071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20"/>
              </w:rPr>
              <w:t>sales_lag_1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20"/>
              </w:rPr>
              <w:t>0.03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20"/>
              </w:rPr>
              <w:t>Stable</w:t>
            </w:r>
          </w:p>
        </w:tc>
      </w:tr>
      <w:tr>
        <w:tc>
          <w:tcPr>
            <w:tcW w:type="dxa" w:w="2835"/>
            <w:shd w:fill="FFFFFF"/>
          </w:tcPr>
          <w:p>
            <w:r>
              <w:rPr>
                <w:sz w:val="20"/>
              </w:rPr>
              <w:t>on_hand_inventory</w:t>
            </w:r>
          </w:p>
        </w:tc>
        <w:tc>
          <w:tcPr>
            <w:tcW w:type="dxa" w:w="1134"/>
            <w:shd w:fill="FFFFFF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1701"/>
            <w:shd w:fill="FFFFFF"/>
          </w:tcPr>
          <w:p>
            <w:r>
              <w:rPr>
                <w:sz w:val="20"/>
              </w:rPr>
              <w:t>Stable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20"/>
              </w:rPr>
              <w:t>early_delay_flag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20"/>
              </w:rPr>
              <w:t>0.07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20"/>
              </w:rPr>
              <w:t>Stable</w:t>
            </w:r>
          </w:p>
        </w:tc>
      </w:tr>
      <w:tr>
        <w:tc>
          <w:tcPr>
            <w:tcW w:type="dxa" w:w="2835"/>
            <w:shd w:fill="FFFFFF"/>
          </w:tcPr>
          <w:p>
            <w:r>
              <w:rPr>
                <w:sz w:val="20"/>
              </w:rPr>
              <w:t>inventory_cover</w:t>
            </w:r>
          </w:p>
        </w:tc>
        <w:tc>
          <w:tcPr>
            <w:tcW w:type="dxa" w:w="1134"/>
            <w:shd w:fill="FFFFFF"/>
          </w:tcPr>
          <w:p>
            <w:r>
              <w:rPr>
                <w:sz w:val="20"/>
              </w:rPr>
              <w:t>0.12</w:t>
            </w:r>
          </w:p>
        </w:tc>
        <w:tc>
          <w:tcPr>
            <w:tcW w:type="dxa" w:w="1701"/>
            <w:shd w:fill="FFFFFF"/>
          </w:tcPr>
          <w:p>
            <w:r>
              <w:rPr>
                <w:sz w:val="20"/>
              </w:rPr>
              <w:t>Moderate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20"/>
              </w:rPr>
              <w:t>rolling_avg_7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20"/>
              </w:rPr>
              <w:t>0.24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20"/>
              </w:rPr>
              <w:t>Significant</w:t>
            </w:r>
          </w:p>
        </w:tc>
      </w:tr>
      <w:tr>
        <w:tc>
          <w:tcPr>
            <w:tcW w:type="dxa" w:w="2835"/>
            <w:shd w:fill="FFFFFF"/>
          </w:tcPr>
          <w:p>
            <w:r>
              <w:rPr>
                <w:sz w:val="20"/>
              </w:rPr>
              <w:t>expected_delay_days</w:t>
            </w:r>
          </w:p>
        </w:tc>
        <w:tc>
          <w:tcPr>
            <w:tcW w:type="dxa" w:w="1134"/>
            <w:shd w:fill="FFFFFF"/>
          </w:tcPr>
          <w:p>
            <w:r>
              <w:rPr>
                <w:sz w:val="20"/>
              </w:rPr>
              <w:t>0.63</w:t>
            </w:r>
          </w:p>
        </w:tc>
        <w:tc>
          <w:tcPr>
            <w:tcW w:type="dxa" w:w="1701"/>
            <w:shd w:fill="FFFFFF"/>
          </w:tcPr>
          <w:p>
            <w:r>
              <w:rPr>
                <w:sz w:val="20"/>
              </w:rPr>
              <w:t>Significant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20"/>
              </w:rPr>
              <w:t>historical_avg_supplier_delay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20"/>
              </w:rPr>
              <w:t>0.78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20"/>
              </w:rPr>
              <w:t>Significant</w:t>
            </w:r>
          </w:p>
        </w:tc>
      </w:tr>
      <w:tr>
        <w:tc>
          <w:tcPr>
            <w:tcW w:type="dxa" w:w="2835"/>
            <w:shd w:fill="FFFFFF"/>
          </w:tcPr>
          <w:p>
            <w:r>
              <w:rPr>
                <w:sz w:val="20"/>
              </w:rPr>
              <w:t>delay_reason_encoded</w:t>
            </w:r>
          </w:p>
        </w:tc>
        <w:tc>
          <w:tcPr>
            <w:tcW w:type="dxa" w:w="1134"/>
            <w:shd w:fill="FFFFFF"/>
          </w:tcPr>
          <w:p>
            <w:r>
              <w:rPr>
                <w:sz w:val="20"/>
              </w:rPr>
              <w:t>1.06</w:t>
            </w:r>
          </w:p>
        </w:tc>
        <w:tc>
          <w:tcPr>
            <w:tcW w:type="dxa" w:w="1701"/>
            <w:shd w:fill="FFFFFF"/>
          </w:tcPr>
          <w:p>
            <w:r>
              <w:rPr>
                <w:sz w:val="20"/>
              </w:rPr>
              <w:t>Significant</w:t>
            </w:r>
          </w:p>
        </w:tc>
      </w:tr>
    </w:tbl>
    <w:p/>
    <w:p>
      <w:r>
        <w:t>Thresholds: &lt;0.1 stable, 0.1–0.2 moderate, ≥0.2 significant. The key note feature (early_delay_flag, PSI = 0.07) is stable. delay_reason_encoded (PSI = 1.06) confirms the decision to exclude it from the model.</w:t>
      </w:r>
    </w:p>
    <w:p>
      <w:pPr>
        <w:pStyle w:val="Heading1"/>
      </w:pPr>
      <w:r>
        <w:t>6. Conclusion</w:t>
      </w:r>
    </w:p>
    <w:p>
      <w:r>
        <w:t>Adding two LLM-extracted features to 15 ERP features reduces MAPE from 25.01% to 23.36% (−6.6%). The improvement is driven by early warning signals available 5–12 days before the ERP system is updated. The key feature is stable (PSI = 0.07), supporting production confidence.</w:t>
      </w:r>
    </w:p>
    <w:p>
      <w:pPr>
        <w:pStyle w:val="Heading2"/>
      </w:pPr>
      <w:r>
        <w:t>Limitations</w:t>
      </w:r>
    </w:p>
    <w:p>
      <w:pPr>
        <w:pStyle w:val="ListBullet"/>
        <w:ind w:left="680"/>
      </w:pPr>
      <w:r>
        <w:t>Synthetic data — real supplier notes may have more variability</w:t>
      </w:r>
    </w:p>
    <w:p>
      <w:pPr>
        <w:pStyle w:val="ListBullet"/>
        <w:ind w:left="680"/>
      </w:pPr>
      <w:r>
        <w:t>No hyperparameter tuning — MAPE could be further reduced with optimization</w:t>
      </w:r>
    </w:p>
    <w:p>
      <w:pPr>
        <w:pStyle w:val="ListBullet"/>
        <w:ind w:left="680"/>
      </w:pPr>
      <w:r>
        <w:t>Single supplier per SKU — no multi-supplier overlap handling</w:t>
      </w:r>
    </w:p>
    <w:p>
      <w:pPr>
        <w:pStyle w:val="ListBullet"/>
        <w:ind w:left="680"/>
      </w:pPr>
      <w:r>
        <w:t>Observed sales underestimates true demand during stockouts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FB4D0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507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